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930E" w14:textId="5D4B13A5" w:rsidR="008A58DB" w:rsidRPr="00104CA0" w:rsidRDefault="008A58DB" w:rsidP="00401CDA">
      <w:pPr>
        <w:snapToGrid w:val="0"/>
        <w:spacing w:afterLines="50" w:after="180" w:line="440" w:lineRule="exact"/>
        <w:jc w:val="both"/>
        <w:rPr>
          <w:rFonts w:ascii="標楷體" w:eastAsia="標楷體" w:hAnsi="標楷體" w:cs="Times New Roman"/>
          <w:color w:val="000000" w:themeColor="text1"/>
          <w:sz w:val="36"/>
          <w:szCs w:val="36"/>
          <w:lang w:eastAsia="zh-HK"/>
        </w:rPr>
      </w:pPr>
      <w:r w:rsidRPr="00104CA0">
        <w:rPr>
          <w:rFonts w:ascii="標楷體" w:eastAsia="標楷體" w:hAnsi="標楷體"/>
          <w:noProof/>
          <w:sz w:val="36"/>
          <w:szCs w:val="36"/>
        </w:rPr>
        <mc:AlternateContent>
          <mc:Choice Requires="wps">
            <w:drawing>
              <wp:anchor distT="45720" distB="45720" distL="114300" distR="114300" simplePos="0" relativeHeight="251659264" behindDoc="0" locked="0" layoutInCell="1" allowOverlap="1" wp14:anchorId="0CE7E9D5" wp14:editId="38024A86">
                <wp:simplePos x="0" y="0"/>
                <wp:positionH relativeFrom="column">
                  <wp:posOffset>0</wp:posOffset>
                </wp:positionH>
                <wp:positionV relativeFrom="page">
                  <wp:posOffset>502920</wp:posOffset>
                </wp:positionV>
                <wp:extent cx="704850" cy="3429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solidFill>
                            <a:srgbClr val="000000"/>
                          </a:solidFill>
                          <a:miter lim="800000"/>
                          <a:headEnd/>
                          <a:tailEnd/>
                        </a:ln>
                      </wps:spPr>
                      <wps:txbx>
                        <w:txbxContent>
                          <w:p w14:paraId="074580F4" w14:textId="5194A91D" w:rsidR="008A58DB" w:rsidRPr="00DC48D4" w:rsidRDefault="008A58DB" w:rsidP="008A58DB">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7E9D5" id="_x0000_t202" coordsize="21600,21600" o:spt="202" path="m,l,21600r21600,l21600,xe">
                <v:stroke joinstyle="miter"/>
                <v:path gradientshapeok="t" o:connecttype="rect"/>
              </v:shapetype>
              <v:shape id="文字方塊 2" o:spid="_x0000_s1026" type="#_x0000_t202" style="position:absolute;left:0;text-align:left;margin-left:0;margin-top:39.6pt;width:55.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">
                <v:textbox>
                  <w:txbxContent>
                    <w:p w14:paraId="074580F4" w14:textId="5194A91D" w:rsidR="008A58DB" w:rsidRPr="00DC48D4" w:rsidRDefault="008A58DB" w:rsidP="008A58DB">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p>
                  </w:txbxContent>
                </v:textbox>
                <w10:wrap type="square" anchory="page"/>
              </v:shape>
            </w:pict>
          </mc:Fallback>
        </mc:AlternateContent>
      </w:r>
      <w:r w:rsidRPr="00104CA0">
        <w:rPr>
          <w:rFonts w:ascii="標楷體" w:eastAsia="標楷體" w:hAnsi="標楷體" w:cs="Times New Roman"/>
          <w:color w:val="000000" w:themeColor="text1"/>
          <w:sz w:val="36"/>
          <w:szCs w:val="36"/>
          <w:lang w:eastAsia="zh-HK"/>
        </w:rPr>
        <w:t>中華民國證券商業同業公會</w:t>
      </w:r>
      <w:r w:rsidRPr="00104CA0">
        <w:rPr>
          <w:rFonts w:ascii="標楷體" w:eastAsia="標楷體" w:hAnsi="標楷體" w:cs="Times New Roman" w:hint="eastAsia"/>
          <w:color w:val="000000" w:themeColor="text1"/>
          <w:sz w:val="36"/>
          <w:szCs w:val="36"/>
          <w:lang w:eastAsia="zh-HK"/>
        </w:rPr>
        <w:t>「</w:t>
      </w:r>
      <w:r w:rsidRPr="00104CA0">
        <w:rPr>
          <w:rFonts w:ascii="標楷體" w:eastAsia="標楷體" w:hAnsi="標楷體" w:cs="Times New Roman"/>
          <w:color w:val="000000" w:themeColor="text1"/>
          <w:sz w:val="36"/>
          <w:szCs w:val="36"/>
          <w:lang w:eastAsia="zh-HK"/>
        </w:rPr>
        <w:t>證券商辦理競價拍賣配售作業處理程序</w:t>
      </w:r>
      <w:r w:rsidRPr="00104CA0">
        <w:rPr>
          <w:rFonts w:ascii="標楷體" w:eastAsia="標楷體" w:hAnsi="標楷體" w:cs="Times New Roman" w:hint="eastAsia"/>
          <w:color w:val="000000" w:themeColor="text1"/>
          <w:sz w:val="36"/>
          <w:szCs w:val="36"/>
          <w:lang w:eastAsia="zh-HK"/>
        </w:rPr>
        <w:t>」修正條文對照表</w:t>
      </w:r>
    </w:p>
    <w:tbl>
      <w:tblPr>
        <w:tblStyle w:val="a7"/>
        <w:tblW w:w="8871" w:type="dxa"/>
        <w:jc w:val="center"/>
        <w:tblLook w:val="04A0" w:firstRow="1" w:lastRow="0" w:firstColumn="1" w:lastColumn="0" w:noHBand="0" w:noVBand="1"/>
      </w:tblPr>
      <w:tblGrid>
        <w:gridCol w:w="3334"/>
        <w:gridCol w:w="3334"/>
        <w:gridCol w:w="2203"/>
      </w:tblGrid>
      <w:tr w:rsidR="008A58DB" w:rsidRPr="00D51FFA" w14:paraId="236E4742" w14:textId="77777777" w:rsidTr="00D111DC">
        <w:trPr>
          <w:trHeight w:val="176"/>
          <w:jc w:val="center"/>
        </w:trPr>
        <w:tc>
          <w:tcPr>
            <w:tcW w:w="3334" w:type="dxa"/>
            <w:vAlign w:val="center"/>
          </w:tcPr>
          <w:p w14:paraId="28BC5AAD" w14:textId="77777777" w:rsidR="008A58DB" w:rsidRPr="006B5B40" w:rsidRDefault="008A58DB" w:rsidP="00D22D3A">
            <w:pPr>
              <w:snapToGrid w:val="0"/>
              <w:jc w:val="center"/>
              <w:rPr>
                <w:rFonts w:ascii="標楷體" w:eastAsia="標楷體" w:hAnsi="標楷體"/>
                <w:szCs w:val="24"/>
              </w:rPr>
            </w:pPr>
            <w:r w:rsidRPr="006B5B40">
              <w:rPr>
                <w:rFonts w:ascii="標楷體" w:eastAsia="標楷體" w:hAnsi="標楷體" w:hint="eastAsia"/>
                <w:szCs w:val="24"/>
              </w:rPr>
              <w:t>修正條文</w:t>
            </w:r>
          </w:p>
        </w:tc>
        <w:tc>
          <w:tcPr>
            <w:tcW w:w="3334" w:type="dxa"/>
            <w:vAlign w:val="center"/>
          </w:tcPr>
          <w:p w14:paraId="5CEF697A" w14:textId="77777777" w:rsidR="008A58DB" w:rsidRPr="006B5B40" w:rsidRDefault="008A58DB" w:rsidP="00D22D3A">
            <w:pPr>
              <w:snapToGrid w:val="0"/>
              <w:jc w:val="center"/>
              <w:rPr>
                <w:rFonts w:ascii="標楷體" w:eastAsia="標楷體" w:hAnsi="標楷體"/>
                <w:szCs w:val="24"/>
              </w:rPr>
            </w:pPr>
            <w:r w:rsidRPr="006B5B40">
              <w:rPr>
                <w:rFonts w:ascii="標楷體" w:eastAsia="標楷體" w:hAnsi="標楷體" w:hint="eastAsia"/>
                <w:szCs w:val="24"/>
              </w:rPr>
              <w:t>現行條文</w:t>
            </w:r>
          </w:p>
        </w:tc>
        <w:tc>
          <w:tcPr>
            <w:tcW w:w="2203" w:type="dxa"/>
            <w:vAlign w:val="center"/>
          </w:tcPr>
          <w:p w14:paraId="67AE43DC" w14:textId="77777777" w:rsidR="008A58DB" w:rsidRPr="006B5B40" w:rsidRDefault="008A58DB" w:rsidP="00D22D3A">
            <w:pPr>
              <w:snapToGrid w:val="0"/>
              <w:jc w:val="center"/>
              <w:rPr>
                <w:rFonts w:ascii="標楷體" w:eastAsia="標楷體" w:hAnsi="標楷體"/>
                <w:szCs w:val="24"/>
              </w:rPr>
            </w:pPr>
            <w:r w:rsidRPr="006B5B40">
              <w:rPr>
                <w:rFonts w:ascii="標楷體" w:eastAsia="標楷體" w:hAnsi="標楷體" w:hint="eastAsia"/>
                <w:szCs w:val="24"/>
              </w:rPr>
              <w:t>說明</w:t>
            </w:r>
          </w:p>
        </w:tc>
      </w:tr>
      <w:tr w:rsidR="008A58DB" w:rsidRPr="00D51FFA" w14:paraId="5A410EF6" w14:textId="77777777" w:rsidTr="00D111DC">
        <w:trPr>
          <w:jc w:val="center"/>
        </w:trPr>
        <w:tc>
          <w:tcPr>
            <w:tcW w:w="3334" w:type="dxa"/>
          </w:tcPr>
          <w:p w14:paraId="042408B0" w14:textId="77777777" w:rsidR="006D484E" w:rsidRPr="00D51FFA" w:rsidRDefault="006D484E" w:rsidP="00D51FFA">
            <w:pPr>
              <w:snapToGrid w:val="0"/>
              <w:spacing w:line="380" w:lineRule="atLeast"/>
              <w:ind w:left="48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肆、開標及得標通知作業程序：</w:t>
            </w:r>
          </w:p>
          <w:p w14:paraId="756E0381" w14:textId="3A73F0FF" w:rsidR="006D484E" w:rsidRPr="00D51FFA" w:rsidRDefault="006D484E"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一、篩選合格件：投標單有本公會「證券商承銷或再行銷售有價證券處理辦法」第十三條之情事者，證交所應予剔除，並應於投標截止日之次一營業日下午三時十五分前完成上述合格件及不合格件之篩選，有關檢核該投資人是否已開立集中保管帳戶及為</w:t>
            </w:r>
            <w:r w:rsidRPr="00D51FFA">
              <w:rPr>
                <w:rFonts w:ascii="標楷體" w:eastAsia="標楷體" w:hAnsi="標楷體" w:hint="eastAsia"/>
                <w:color w:val="000000" w:themeColor="text1"/>
                <w:szCs w:val="24"/>
                <w:u w:val="single"/>
              </w:rPr>
              <w:t>成年</w:t>
            </w:r>
            <w:r w:rsidRPr="00D51FFA">
              <w:rPr>
                <w:rFonts w:ascii="標楷體" w:eastAsia="標楷體" w:hAnsi="標楷體" w:hint="eastAsia"/>
                <w:color w:val="000000" w:themeColor="text1"/>
                <w:szCs w:val="24"/>
              </w:rPr>
              <w:t>之中華民國國民由證交所洽集保結算所辦理。</w:t>
            </w:r>
          </w:p>
          <w:p w14:paraId="18895537" w14:textId="77777777" w:rsidR="006D484E" w:rsidRPr="00D51FFA" w:rsidRDefault="006D484E"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二、合格件數量公告：主辦承銷商應於投標截止日之次一營業日下午四時前於競拍系統辦理合格投標數量公告作業。</w:t>
            </w:r>
          </w:p>
          <w:p w14:paraId="6796E171" w14:textId="1206ED79" w:rsidR="006D484E" w:rsidRPr="00D51FFA" w:rsidRDefault="006D484E"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三、辦理開標：證交所應於投標截止日後次二營業日上午十時邀集相關單位共同監督，完成合格件之電腦開標，並編製得（開）標資料報表等提供予證券商、集保結算所及本公會；集</w:t>
            </w:r>
            <w:r w:rsidRPr="00D51FFA">
              <w:rPr>
                <w:rFonts w:ascii="標楷體" w:eastAsia="標楷體" w:hAnsi="標楷體" w:hint="eastAsia"/>
                <w:color w:val="000000" w:themeColor="text1"/>
                <w:szCs w:val="24"/>
              </w:rPr>
              <w:lastRenderedPageBreak/>
              <w:t>保結算所依上開資料，應將包括得標人姓名、身分證字號或統一編號、出生年月日、戶籍地址、通訊地址、集中保管帳號、電話號碼、得標人經紀商名稱（含分公司名稱）等資料送承銷商辦理寄發得標通知書及公開說明書予得標人之作業。</w:t>
            </w:r>
          </w:p>
          <w:p w14:paraId="22538A50" w14:textId="63A05811" w:rsidR="006D484E" w:rsidRPr="00D51FFA" w:rsidRDefault="006D484E"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四、通知得標人繳款：開標日證交所完成開標後，經紀商至競拍系統下載得（開）標資料，通知得標人辦理得標價款及得標手續費繳交作業，並留存通知紀錄。得標人投標保證金作為得標應繳股款之一部份，得標人應依其所得標金額扣除保證金之差額及加計得標手續費後繳足剩餘款項。</w:t>
            </w:r>
          </w:p>
          <w:p w14:paraId="32F99E1B" w14:textId="79EDE5DE" w:rsidR="008A58DB" w:rsidRPr="00D51FFA" w:rsidRDefault="006D484E"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五、得標人不如期履行繳款義務時，除喪失得標資格外，投標保證金應由承銷商沒入之，承銷商並應依得標人得標價款自行認購。</w:t>
            </w:r>
          </w:p>
        </w:tc>
        <w:tc>
          <w:tcPr>
            <w:tcW w:w="3334" w:type="dxa"/>
          </w:tcPr>
          <w:p w14:paraId="485AA4E0" w14:textId="77777777" w:rsidR="008A58DB" w:rsidRPr="00D51FFA" w:rsidRDefault="008A58DB" w:rsidP="00D51FFA">
            <w:pPr>
              <w:snapToGrid w:val="0"/>
              <w:spacing w:line="380" w:lineRule="atLeast"/>
              <w:ind w:left="48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lastRenderedPageBreak/>
              <w:t>肆、開標及得標通知作業程序：</w:t>
            </w:r>
          </w:p>
          <w:p w14:paraId="4857CAEF" w14:textId="1ACE01D4" w:rsidR="008A58DB" w:rsidRPr="00D51FFA" w:rsidRDefault="008A58DB"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一、篩選合格件：投標單有本公會「證券商承銷或再行銷售有價證券處理辦法」第十三條之情事者，證交所應予剔除，並應於投標截止日之次一營業日下午三時十五分前完成上述合格件及不合格件之篩選，有關檢核該投資人是否已開立集中保管帳戶及為</w:t>
            </w:r>
            <w:r w:rsidRPr="00D51FFA">
              <w:rPr>
                <w:rFonts w:ascii="標楷體" w:eastAsia="標楷體" w:hAnsi="標楷體" w:hint="eastAsia"/>
                <w:color w:val="000000" w:themeColor="text1"/>
                <w:szCs w:val="24"/>
                <w:u w:val="single"/>
              </w:rPr>
              <w:t>年滿二十歲</w:t>
            </w:r>
            <w:r w:rsidRPr="00D51FFA">
              <w:rPr>
                <w:rFonts w:ascii="標楷體" w:eastAsia="標楷體" w:hAnsi="標楷體" w:hint="eastAsia"/>
                <w:color w:val="000000" w:themeColor="text1"/>
                <w:szCs w:val="24"/>
              </w:rPr>
              <w:t>之中華民國國民由證交所洽集保結算所辦理。</w:t>
            </w:r>
          </w:p>
          <w:p w14:paraId="0A0B3152" w14:textId="37059665" w:rsidR="008A58DB" w:rsidRPr="00D51FFA" w:rsidRDefault="008A58DB"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二、合格件數量公告：主辦承銷商應於投標截止日之次一營業日下午四時前於競拍系統辦理合格投標數量公告作業。</w:t>
            </w:r>
          </w:p>
          <w:p w14:paraId="64AF6AEB" w14:textId="2AD8BFB3" w:rsidR="008A58DB" w:rsidRPr="00D51FFA" w:rsidRDefault="008A58DB"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三、辦理開標：證交所應於投標截止日後次二營業日上午十時邀集相關單位共同監督，完成合格件之電腦開標，並編製得（開）標資料報表等提供予證券商、集保結算所及本公會；集</w:t>
            </w:r>
            <w:r w:rsidRPr="00D51FFA">
              <w:rPr>
                <w:rFonts w:ascii="標楷體" w:eastAsia="標楷體" w:hAnsi="標楷體" w:hint="eastAsia"/>
                <w:color w:val="000000" w:themeColor="text1"/>
                <w:szCs w:val="24"/>
              </w:rPr>
              <w:lastRenderedPageBreak/>
              <w:t>保結算所依上開資料，應將包括得標人姓名、身分證字號或統一編號、出生年月日、戶籍地址、通訊地址、集中保管帳號、電話號碼、得標人經紀商名稱（含分公司名稱）等資料送承銷商辦理寄發得標通知書及公開說明書予得標人之作業。</w:t>
            </w:r>
          </w:p>
          <w:p w14:paraId="0C61BBA2" w14:textId="0F2CA53F" w:rsidR="008A58DB" w:rsidRPr="00D51FFA" w:rsidRDefault="008A58DB"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四、通知得標人繳款：開標日證交所完成開標後，經紀商至競拍系統下載得（開）標資料，通知得標人辦理得標價款及得標手續費繳交作業，並留存通知紀錄。得標人投標保證金作為得標應繳股款之一部份，得標人應依其所得標金額扣除保證金之差額及加計得標手續費後繳足剩餘款項。</w:t>
            </w:r>
          </w:p>
          <w:p w14:paraId="1845816B" w14:textId="07A2B931" w:rsidR="008A58DB" w:rsidRPr="00D51FFA" w:rsidRDefault="008A58DB" w:rsidP="00D51FFA">
            <w:pPr>
              <w:snapToGrid w:val="0"/>
              <w:spacing w:line="380" w:lineRule="atLeast"/>
              <w:ind w:leftChars="200" w:left="960" w:hangingChars="200" w:hanging="480"/>
              <w:jc w:val="both"/>
              <w:rPr>
                <w:rFonts w:ascii="標楷體" w:eastAsia="標楷體" w:hAnsi="標楷體"/>
                <w:color w:val="000000" w:themeColor="text1"/>
                <w:szCs w:val="24"/>
              </w:rPr>
            </w:pPr>
            <w:r w:rsidRPr="00D51FFA">
              <w:rPr>
                <w:rFonts w:ascii="標楷體" w:eastAsia="標楷體" w:hAnsi="標楷體" w:hint="eastAsia"/>
                <w:color w:val="000000" w:themeColor="text1"/>
                <w:szCs w:val="24"/>
              </w:rPr>
              <w:t>五、得標人不如期履行繳款義務時，除喪失得標資格外，投標保證金應由承銷商沒入之，承銷商並應依得標人得標價款自行認購。</w:t>
            </w:r>
          </w:p>
        </w:tc>
        <w:tc>
          <w:tcPr>
            <w:tcW w:w="2203" w:type="dxa"/>
          </w:tcPr>
          <w:p w14:paraId="3D82B406" w14:textId="28D7CF89" w:rsidR="008A58DB" w:rsidRPr="00D51FFA" w:rsidRDefault="006D484E" w:rsidP="00D51FFA">
            <w:pPr>
              <w:snapToGrid w:val="0"/>
              <w:spacing w:line="380" w:lineRule="atLeast"/>
              <w:ind w:leftChars="-1" w:left="20" w:hangingChars="9" w:hanging="22"/>
              <w:jc w:val="both"/>
              <w:rPr>
                <w:rFonts w:ascii="標楷體" w:eastAsia="標楷體" w:hAnsi="標楷體"/>
                <w:color w:val="000000"/>
                <w:szCs w:val="24"/>
              </w:rPr>
            </w:pPr>
            <w:r w:rsidRPr="00D51FFA">
              <w:rPr>
                <w:rFonts w:eastAsia="標楷體" w:hint="eastAsia"/>
                <w:szCs w:val="24"/>
              </w:rPr>
              <w:lastRenderedPageBreak/>
              <w:t>110</w:t>
            </w:r>
            <w:r w:rsidRPr="00D51FFA">
              <w:rPr>
                <w:rFonts w:eastAsia="標楷體" w:hint="eastAsia"/>
                <w:szCs w:val="24"/>
              </w:rPr>
              <w:t>年</w:t>
            </w:r>
            <w:r w:rsidRPr="00D51FFA">
              <w:rPr>
                <w:rFonts w:eastAsia="標楷體" w:hint="eastAsia"/>
                <w:szCs w:val="24"/>
              </w:rPr>
              <w:t>1</w:t>
            </w:r>
            <w:r w:rsidRPr="00D51FFA">
              <w:rPr>
                <w:rFonts w:eastAsia="標楷體" w:hint="eastAsia"/>
                <w:szCs w:val="24"/>
              </w:rPr>
              <w:t>月</w:t>
            </w:r>
            <w:r w:rsidRPr="00D51FFA">
              <w:rPr>
                <w:rFonts w:eastAsia="標楷體" w:hint="eastAsia"/>
                <w:szCs w:val="24"/>
              </w:rPr>
              <w:t>13</w:t>
            </w:r>
            <w:r w:rsidRPr="00D51FFA">
              <w:rPr>
                <w:rFonts w:eastAsia="標楷體" w:hint="eastAsia"/>
                <w:szCs w:val="24"/>
              </w:rPr>
              <w:t>日總統令已公布修正民法第</w:t>
            </w:r>
            <w:r w:rsidRPr="00D51FFA">
              <w:rPr>
                <w:rFonts w:eastAsia="標楷體" w:hint="eastAsia"/>
                <w:szCs w:val="24"/>
              </w:rPr>
              <w:t>1</w:t>
            </w:r>
            <w:r w:rsidRPr="00D51FFA">
              <w:rPr>
                <w:rFonts w:eastAsia="標楷體"/>
                <w:szCs w:val="24"/>
              </w:rPr>
              <w:t>2</w:t>
            </w:r>
            <w:r w:rsidRPr="00D51FFA">
              <w:rPr>
                <w:rFonts w:eastAsia="標楷體" w:hint="eastAsia"/>
                <w:szCs w:val="24"/>
              </w:rPr>
              <w:t>條，滿</w:t>
            </w:r>
            <w:r w:rsidRPr="00D51FFA">
              <w:rPr>
                <w:rFonts w:eastAsia="標楷體" w:hint="eastAsia"/>
                <w:szCs w:val="24"/>
              </w:rPr>
              <w:t>18</w:t>
            </w:r>
            <w:r w:rsidRPr="00D51FFA">
              <w:rPr>
                <w:rFonts w:eastAsia="標楷體" w:hint="eastAsia"/>
                <w:szCs w:val="24"/>
              </w:rPr>
              <w:t>歲為成年，並自</w:t>
            </w:r>
            <w:r w:rsidRPr="00D51FFA">
              <w:rPr>
                <w:rFonts w:eastAsia="標楷體" w:hint="eastAsia"/>
                <w:szCs w:val="24"/>
              </w:rPr>
              <w:t>112</w:t>
            </w:r>
            <w:r w:rsidRPr="00D51FFA">
              <w:rPr>
                <w:rFonts w:eastAsia="標楷體" w:hint="eastAsia"/>
                <w:szCs w:val="24"/>
              </w:rPr>
              <w:t>年</w:t>
            </w:r>
            <w:r w:rsidRPr="00D51FFA">
              <w:rPr>
                <w:rFonts w:eastAsia="標楷體" w:hint="eastAsia"/>
                <w:szCs w:val="24"/>
              </w:rPr>
              <w:t>1</w:t>
            </w:r>
            <w:r w:rsidRPr="00D51FFA">
              <w:rPr>
                <w:rFonts w:eastAsia="標楷體" w:hint="eastAsia"/>
                <w:szCs w:val="24"/>
              </w:rPr>
              <w:t>月</w:t>
            </w:r>
            <w:r w:rsidRPr="00D51FFA">
              <w:rPr>
                <w:rFonts w:eastAsia="標楷體" w:hint="eastAsia"/>
                <w:szCs w:val="24"/>
              </w:rPr>
              <w:t>1</w:t>
            </w:r>
            <w:r w:rsidRPr="00D51FFA">
              <w:rPr>
                <w:rFonts w:eastAsia="標楷體" w:hint="eastAsia"/>
                <w:szCs w:val="24"/>
              </w:rPr>
              <w:t>日施行。</w:t>
            </w:r>
            <w:proofErr w:type="gramStart"/>
            <w:r w:rsidRPr="00D51FFA">
              <w:rPr>
                <w:rFonts w:eastAsia="標楷體" w:hint="eastAsia"/>
                <w:szCs w:val="24"/>
              </w:rPr>
              <w:t>爰</w:t>
            </w:r>
            <w:proofErr w:type="gramEnd"/>
            <w:r w:rsidRPr="00D51FFA">
              <w:rPr>
                <w:rFonts w:eastAsia="標楷體" w:hint="eastAsia"/>
                <w:szCs w:val="24"/>
              </w:rPr>
              <w:t>修正肆、</w:t>
            </w:r>
            <w:proofErr w:type="gramStart"/>
            <w:r w:rsidRPr="00D51FFA">
              <w:rPr>
                <w:rFonts w:eastAsia="標楷體" w:hint="eastAsia"/>
                <w:szCs w:val="24"/>
              </w:rPr>
              <w:t>一</w:t>
            </w:r>
            <w:proofErr w:type="gramEnd"/>
            <w:r w:rsidR="00000FF5">
              <w:rPr>
                <w:rFonts w:eastAsia="標楷體" w:hint="eastAsia"/>
                <w:szCs w:val="24"/>
              </w:rPr>
              <w:t>有關</w:t>
            </w:r>
            <w:r w:rsidRPr="00D51FFA">
              <w:rPr>
                <w:rFonts w:eastAsia="標楷體" w:hint="eastAsia"/>
                <w:szCs w:val="24"/>
              </w:rPr>
              <w:t>合格投標單之篩選條件，由「年滿</w:t>
            </w:r>
            <w:r w:rsidRPr="00D51FFA">
              <w:rPr>
                <w:rFonts w:eastAsia="標楷體" w:hint="eastAsia"/>
                <w:szCs w:val="24"/>
              </w:rPr>
              <w:t>20</w:t>
            </w:r>
            <w:r w:rsidRPr="00D51FFA">
              <w:rPr>
                <w:rFonts w:eastAsia="標楷體" w:hint="eastAsia"/>
                <w:szCs w:val="24"/>
              </w:rPr>
              <w:t>歲」之中華民國國民修正為「成年」之中華民國國民。</w:t>
            </w:r>
          </w:p>
        </w:tc>
      </w:tr>
    </w:tbl>
    <w:p w14:paraId="663F7DAC" w14:textId="77777777" w:rsidR="008A58DB" w:rsidRPr="008A58DB" w:rsidRDefault="008A58DB"/>
    <w:sectPr w:rsidR="008A58DB" w:rsidRPr="008A58DB" w:rsidSect="006B5B40">
      <w:pgSz w:w="11906" w:h="16838"/>
      <w:pgMar w:top="1440" w:right="1274" w:bottom="1440" w:left="1800" w:header="851" w:footer="850" w:gutter="0"/>
      <w:pgNumType w:start="6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1AAF" w14:textId="77777777" w:rsidR="0011458B" w:rsidRDefault="0011458B" w:rsidP="008A58DB">
      <w:r>
        <w:separator/>
      </w:r>
    </w:p>
  </w:endnote>
  <w:endnote w:type="continuationSeparator" w:id="0">
    <w:p w14:paraId="4D7DC2CB" w14:textId="77777777" w:rsidR="0011458B" w:rsidRDefault="0011458B" w:rsidP="008A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3C7D" w14:textId="77777777" w:rsidR="0011458B" w:rsidRDefault="0011458B" w:rsidP="008A58DB">
      <w:r>
        <w:separator/>
      </w:r>
    </w:p>
  </w:footnote>
  <w:footnote w:type="continuationSeparator" w:id="0">
    <w:p w14:paraId="6C9514CB" w14:textId="77777777" w:rsidR="0011458B" w:rsidRDefault="0011458B" w:rsidP="008A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DB"/>
    <w:rsid w:val="00000FF5"/>
    <w:rsid w:val="000815E1"/>
    <w:rsid w:val="00104CA0"/>
    <w:rsid w:val="0011458B"/>
    <w:rsid w:val="00197567"/>
    <w:rsid w:val="002920D4"/>
    <w:rsid w:val="002A2AED"/>
    <w:rsid w:val="002B199F"/>
    <w:rsid w:val="00301B5B"/>
    <w:rsid w:val="00310EBF"/>
    <w:rsid w:val="00377886"/>
    <w:rsid w:val="00401CDA"/>
    <w:rsid w:val="00442FDD"/>
    <w:rsid w:val="00554206"/>
    <w:rsid w:val="00622740"/>
    <w:rsid w:val="006B5B40"/>
    <w:rsid w:val="006D484E"/>
    <w:rsid w:val="00747309"/>
    <w:rsid w:val="007725C1"/>
    <w:rsid w:val="007C4E71"/>
    <w:rsid w:val="00846C5B"/>
    <w:rsid w:val="008A58DB"/>
    <w:rsid w:val="00940413"/>
    <w:rsid w:val="009663B7"/>
    <w:rsid w:val="00AB734A"/>
    <w:rsid w:val="00B50965"/>
    <w:rsid w:val="00B51638"/>
    <w:rsid w:val="00C474AF"/>
    <w:rsid w:val="00C90B44"/>
    <w:rsid w:val="00CC18FB"/>
    <w:rsid w:val="00CF13FC"/>
    <w:rsid w:val="00D111DC"/>
    <w:rsid w:val="00D17AC2"/>
    <w:rsid w:val="00D51FFA"/>
    <w:rsid w:val="00F21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6777"/>
  <w15:chartTrackingRefBased/>
  <w15:docId w15:val="{2CCF0A7C-C870-4291-A205-CB0E9C9A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8DB"/>
    <w:pPr>
      <w:tabs>
        <w:tab w:val="center" w:pos="4153"/>
        <w:tab w:val="right" w:pos="8306"/>
      </w:tabs>
      <w:snapToGrid w:val="0"/>
    </w:pPr>
    <w:rPr>
      <w:sz w:val="20"/>
      <w:szCs w:val="20"/>
    </w:rPr>
  </w:style>
  <w:style w:type="character" w:customStyle="1" w:styleId="a4">
    <w:name w:val="頁首 字元"/>
    <w:basedOn w:val="a0"/>
    <w:link w:val="a3"/>
    <w:uiPriority w:val="99"/>
    <w:rsid w:val="008A58DB"/>
    <w:rPr>
      <w:sz w:val="20"/>
      <w:szCs w:val="20"/>
    </w:rPr>
  </w:style>
  <w:style w:type="paragraph" w:styleId="a5">
    <w:name w:val="footer"/>
    <w:basedOn w:val="a"/>
    <w:link w:val="a6"/>
    <w:uiPriority w:val="99"/>
    <w:unhideWhenUsed/>
    <w:rsid w:val="008A58DB"/>
    <w:pPr>
      <w:tabs>
        <w:tab w:val="center" w:pos="4153"/>
        <w:tab w:val="right" w:pos="8306"/>
      </w:tabs>
      <w:snapToGrid w:val="0"/>
    </w:pPr>
    <w:rPr>
      <w:sz w:val="20"/>
      <w:szCs w:val="20"/>
    </w:rPr>
  </w:style>
  <w:style w:type="character" w:customStyle="1" w:styleId="a6">
    <w:name w:val="頁尾 字元"/>
    <w:basedOn w:val="a0"/>
    <w:link w:val="a5"/>
    <w:uiPriority w:val="99"/>
    <w:rsid w:val="008A58DB"/>
    <w:rPr>
      <w:sz w:val="20"/>
      <w:szCs w:val="20"/>
    </w:rPr>
  </w:style>
  <w:style w:type="table" w:styleId="a7">
    <w:name w:val="Table Grid"/>
    <w:basedOn w:val="a1"/>
    <w:uiPriority w:val="39"/>
    <w:rsid w:val="008A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8A58DB"/>
    <w:rPr>
      <w:rFonts w:ascii="細明體" w:eastAsia="細明體" w:hAnsi="Courier New" w:cs="Times New Roman"/>
      <w:szCs w:val="20"/>
    </w:rPr>
  </w:style>
  <w:style w:type="character" w:customStyle="1" w:styleId="a9">
    <w:name w:val="純文字 字元"/>
    <w:basedOn w:val="a0"/>
    <w:link w:val="a8"/>
    <w:rsid w:val="008A58DB"/>
    <w:rPr>
      <w:rFonts w:ascii="細明體" w:eastAsia="細明體" w:hAnsi="Courier New" w:cs="Times New Roman"/>
      <w:szCs w:val="20"/>
    </w:rPr>
  </w:style>
  <w:style w:type="paragraph" w:styleId="HTML">
    <w:name w:val="HTML Preformatted"/>
    <w:basedOn w:val="a"/>
    <w:link w:val="HTML0"/>
    <w:uiPriority w:val="99"/>
    <w:semiHidden/>
    <w:unhideWhenUsed/>
    <w:rsid w:val="008A5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A58D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2</cp:revision>
  <cp:lastPrinted>2022-11-15T01:30:00Z</cp:lastPrinted>
  <dcterms:created xsi:type="dcterms:W3CDTF">2023-01-17T00:14:00Z</dcterms:created>
  <dcterms:modified xsi:type="dcterms:W3CDTF">2023-01-17T00:14:00Z</dcterms:modified>
</cp:coreProperties>
</file>