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DE930E" w14:textId="5D4B13A5" w:rsidR="008A58DB" w:rsidRPr="00104CA0" w:rsidRDefault="008A58DB" w:rsidP="00401CDA">
      <w:pPr>
        <w:snapToGrid w:val="0"/>
        <w:spacing w:afterLines="50" w:after="180" w:line="440" w:lineRule="exact"/>
        <w:jc w:val="both"/>
        <w:rPr>
          <w:rFonts w:ascii="標楷體" w:eastAsia="標楷體" w:hAnsi="標楷體" w:cs="Times New Roman"/>
          <w:color w:val="000000" w:themeColor="text1"/>
          <w:sz w:val="36"/>
          <w:szCs w:val="36"/>
          <w:lang w:eastAsia="zh-HK"/>
        </w:rPr>
      </w:pPr>
      <w:r w:rsidRPr="00104CA0">
        <w:rPr>
          <w:rFonts w:ascii="標楷體" w:eastAsia="標楷體" w:hAnsi="標楷體"/>
          <w:noProof/>
          <w:sz w:val="36"/>
          <w:szCs w:val="36"/>
        </w:rPr>
        <mc:AlternateContent>
          <mc:Choice Requires="wps">
            <w:drawing>
              <wp:anchor distT="45720" distB="45720" distL="114300" distR="114300" simplePos="0" relativeHeight="251659264" behindDoc="0" locked="0" layoutInCell="1" allowOverlap="1" wp14:anchorId="0CE7E9D5" wp14:editId="38024A86">
                <wp:simplePos x="0" y="0"/>
                <wp:positionH relativeFrom="column">
                  <wp:posOffset>0</wp:posOffset>
                </wp:positionH>
                <wp:positionV relativeFrom="page">
                  <wp:posOffset>502920</wp:posOffset>
                </wp:positionV>
                <wp:extent cx="704850" cy="342900"/>
                <wp:effectExtent l="0" t="0" r="19050" b="19050"/>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 cy="342900"/>
                        </a:xfrm>
                        <a:prstGeom prst="rect">
                          <a:avLst/>
                        </a:prstGeom>
                        <a:solidFill>
                          <a:srgbClr val="FFFFFF"/>
                        </a:solidFill>
                        <a:ln w="9525">
                          <a:solidFill>
                            <a:srgbClr val="000000"/>
                          </a:solidFill>
                          <a:miter lim="800000"/>
                          <a:headEnd/>
                          <a:tailEnd/>
                        </a:ln>
                      </wps:spPr>
                      <wps:txbx>
                        <w:txbxContent>
                          <w:p w14:paraId="074580F4" w14:textId="5194A91D" w:rsidR="008A58DB" w:rsidRPr="00DC48D4" w:rsidRDefault="008A58DB" w:rsidP="008A58DB">
                            <w:pPr>
                              <w:spacing w:line="340" w:lineRule="exact"/>
                              <w:jc w:val="center"/>
                              <w:rPr>
                                <w:rFonts w:ascii="Times New Roman" w:eastAsia="標楷體" w:hAnsi="Times New Roman" w:cs="Times New Roman"/>
                                <w:sz w:val="28"/>
                                <w:szCs w:val="28"/>
                              </w:rPr>
                            </w:pPr>
                            <w:r w:rsidRPr="00DC48D4">
                              <w:rPr>
                                <w:rFonts w:ascii="Times New Roman" w:eastAsia="標楷體" w:hAnsi="Times New Roman" w:cs="Times New Roman"/>
                                <w:sz w:val="28"/>
                                <w:szCs w:val="28"/>
                              </w:rPr>
                              <w:t>附件</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CE7E9D5" id="_x0000_t202" coordsize="21600,21600" o:spt="202" path="m,l,21600r21600,l21600,xe">
                <v:stroke joinstyle="miter"/>
                <v:path gradientshapeok="t" o:connecttype="rect"/>
              </v:shapetype>
              <v:shape id="文字方塊 2" o:spid="_x0000_s1026" type="#_x0000_t202" style="position:absolute;left:0;text-align:left;margin-left:0;margin-top:39.6pt;width:55.5pt;height:27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">
                <v:textbox>
                  <w:txbxContent>
                    <w:p w14:paraId="074580F4" w14:textId="5194A91D" w:rsidR="008A58DB" w:rsidRPr="00DC48D4" w:rsidRDefault="008A58DB" w:rsidP="008A58DB">
                      <w:pPr>
                        <w:spacing w:line="340" w:lineRule="exact"/>
                        <w:jc w:val="center"/>
                        <w:rPr>
                          <w:rFonts w:ascii="Times New Roman" w:eastAsia="標楷體" w:hAnsi="Times New Roman" w:cs="Times New Roman"/>
                          <w:sz w:val="28"/>
                          <w:szCs w:val="28"/>
                        </w:rPr>
                      </w:pPr>
                      <w:r w:rsidRPr="00DC48D4">
                        <w:rPr>
                          <w:rFonts w:ascii="Times New Roman" w:eastAsia="標楷體" w:hAnsi="Times New Roman" w:cs="Times New Roman"/>
                          <w:sz w:val="28"/>
                          <w:szCs w:val="28"/>
                        </w:rPr>
                        <w:t>附件</w:t>
                      </w:r>
                    </w:p>
                  </w:txbxContent>
                </v:textbox>
                <w10:wrap type="square" anchory="page"/>
              </v:shape>
            </w:pict>
          </mc:Fallback>
        </mc:AlternateContent>
      </w:r>
      <w:r w:rsidRPr="00104CA0">
        <w:rPr>
          <w:rFonts w:ascii="標楷體" w:eastAsia="標楷體" w:hAnsi="標楷體" w:cs="Times New Roman"/>
          <w:color w:val="000000" w:themeColor="text1"/>
          <w:sz w:val="36"/>
          <w:szCs w:val="36"/>
          <w:lang w:eastAsia="zh-HK"/>
        </w:rPr>
        <w:t>中華民國證券商業同業公會</w:t>
      </w:r>
      <w:r w:rsidRPr="00104CA0">
        <w:rPr>
          <w:rFonts w:ascii="標楷體" w:eastAsia="標楷體" w:hAnsi="標楷體" w:cs="Times New Roman" w:hint="eastAsia"/>
          <w:color w:val="000000" w:themeColor="text1"/>
          <w:sz w:val="36"/>
          <w:szCs w:val="36"/>
          <w:lang w:eastAsia="zh-HK"/>
        </w:rPr>
        <w:t>「</w:t>
      </w:r>
      <w:r w:rsidRPr="00104CA0">
        <w:rPr>
          <w:rFonts w:ascii="標楷體" w:eastAsia="標楷體" w:hAnsi="標楷體" w:cs="Times New Roman"/>
          <w:color w:val="000000" w:themeColor="text1"/>
          <w:sz w:val="36"/>
          <w:szCs w:val="36"/>
          <w:lang w:eastAsia="zh-HK"/>
        </w:rPr>
        <w:t>證券商辦理競價拍賣配售作業處理程序</w:t>
      </w:r>
      <w:r w:rsidRPr="00104CA0">
        <w:rPr>
          <w:rFonts w:ascii="標楷體" w:eastAsia="標楷體" w:hAnsi="標楷體" w:cs="Times New Roman" w:hint="eastAsia"/>
          <w:color w:val="000000" w:themeColor="text1"/>
          <w:sz w:val="36"/>
          <w:szCs w:val="36"/>
          <w:lang w:eastAsia="zh-HK"/>
        </w:rPr>
        <w:t>」修正條文對照表</w:t>
      </w:r>
    </w:p>
    <w:tbl>
      <w:tblPr>
        <w:tblStyle w:val="a7"/>
        <w:tblW w:w="8871" w:type="dxa"/>
        <w:jc w:val="center"/>
        <w:tblLook w:val="04A0" w:firstRow="1" w:lastRow="0" w:firstColumn="1" w:lastColumn="0" w:noHBand="0" w:noVBand="1"/>
      </w:tblPr>
      <w:tblGrid>
        <w:gridCol w:w="3334"/>
        <w:gridCol w:w="3334"/>
        <w:gridCol w:w="2203"/>
      </w:tblGrid>
      <w:tr w:rsidR="008A58DB" w:rsidRPr="00D51FFA" w14:paraId="236E4742" w14:textId="77777777" w:rsidTr="00D111DC">
        <w:trPr>
          <w:trHeight w:val="176"/>
          <w:jc w:val="center"/>
        </w:trPr>
        <w:tc>
          <w:tcPr>
            <w:tcW w:w="3334" w:type="dxa"/>
            <w:vAlign w:val="center"/>
          </w:tcPr>
          <w:p w14:paraId="28BC5AAD" w14:textId="77777777" w:rsidR="008A58DB" w:rsidRPr="006B5B40" w:rsidRDefault="008A58DB" w:rsidP="00D22D3A">
            <w:pPr>
              <w:snapToGrid w:val="0"/>
              <w:jc w:val="center"/>
              <w:rPr>
                <w:rFonts w:ascii="標楷體" w:eastAsia="標楷體" w:hAnsi="標楷體"/>
                <w:szCs w:val="24"/>
              </w:rPr>
            </w:pPr>
            <w:r w:rsidRPr="006B5B40">
              <w:rPr>
                <w:rFonts w:ascii="標楷體" w:eastAsia="標楷體" w:hAnsi="標楷體" w:hint="eastAsia"/>
                <w:szCs w:val="24"/>
              </w:rPr>
              <w:t>修正條文</w:t>
            </w:r>
          </w:p>
        </w:tc>
        <w:tc>
          <w:tcPr>
            <w:tcW w:w="3334" w:type="dxa"/>
            <w:vAlign w:val="center"/>
          </w:tcPr>
          <w:p w14:paraId="5CEF697A" w14:textId="77777777" w:rsidR="008A58DB" w:rsidRPr="006B5B40" w:rsidRDefault="008A58DB" w:rsidP="00D22D3A">
            <w:pPr>
              <w:snapToGrid w:val="0"/>
              <w:jc w:val="center"/>
              <w:rPr>
                <w:rFonts w:ascii="標楷體" w:eastAsia="標楷體" w:hAnsi="標楷體"/>
                <w:szCs w:val="24"/>
              </w:rPr>
            </w:pPr>
            <w:r w:rsidRPr="006B5B40">
              <w:rPr>
                <w:rFonts w:ascii="標楷體" w:eastAsia="標楷體" w:hAnsi="標楷體" w:hint="eastAsia"/>
                <w:szCs w:val="24"/>
              </w:rPr>
              <w:t>現行條文</w:t>
            </w:r>
          </w:p>
        </w:tc>
        <w:tc>
          <w:tcPr>
            <w:tcW w:w="2203" w:type="dxa"/>
            <w:vAlign w:val="center"/>
          </w:tcPr>
          <w:p w14:paraId="67AE43DC" w14:textId="77777777" w:rsidR="008A58DB" w:rsidRPr="006B5B40" w:rsidRDefault="008A58DB" w:rsidP="00D22D3A">
            <w:pPr>
              <w:snapToGrid w:val="0"/>
              <w:jc w:val="center"/>
              <w:rPr>
                <w:rFonts w:ascii="標楷體" w:eastAsia="標楷體" w:hAnsi="標楷體"/>
                <w:szCs w:val="24"/>
              </w:rPr>
            </w:pPr>
            <w:r w:rsidRPr="006B5B40">
              <w:rPr>
                <w:rFonts w:ascii="標楷體" w:eastAsia="標楷體" w:hAnsi="標楷體" w:hint="eastAsia"/>
                <w:szCs w:val="24"/>
              </w:rPr>
              <w:t>說明</w:t>
            </w:r>
          </w:p>
        </w:tc>
      </w:tr>
      <w:tr w:rsidR="008A58DB" w:rsidRPr="00D51FFA" w14:paraId="5A410EF6" w14:textId="77777777" w:rsidTr="00D111DC">
        <w:trPr>
          <w:jc w:val="center"/>
        </w:trPr>
        <w:tc>
          <w:tcPr>
            <w:tcW w:w="3334" w:type="dxa"/>
          </w:tcPr>
          <w:p w14:paraId="042408B0" w14:textId="77777777" w:rsidR="006D484E" w:rsidRPr="00D51FFA" w:rsidRDefault="006D484E" w:rsidP="00D51FFA">
            <w:pPr>
              <w:snapToGrid w:val="0"/>
              <w:spacing w:line="380" w:lineRule="atLeast"/>
              <w:ind w:left="480" w:hangingChars="200" w:hanging="480"/>
              <w:jc w:val="both"/>
              <w:rPr>
                <w:rFonts w:ascii="標楷體" w:eastAsia="標楷體" w:hAnsi="標楷體"/>
                <w:color w:val="000000" w:themeColor="text1"/>
                <w:szCs w:val="24"/>
              </w:rPr>
            </w:pPr>
            <w:r w:rsidRPr="00D51FFA">
              <w:rPr>
                <w:rFonts w:ascii="標楷體" w:eastAsia="標楷體" w:hAnsi="標楷體" w:hint="eastAsia"/>
                <w:color w:val="000000" w:themeColor="text1"/>
                <w:szCs w:val="24"/>
              </w:rPr>
              <w:t>肆、開標及得標通知作業程序：</w:t>
            </w:r>
          </w:p>
          <w:p w14:paraId="756E0381" w14:textId="3A73F0FF" w:rsidR="006D484E" w:rsidRPr="00D51FFA" w:rsidRDefault="006D484E" w:rsidP="00D51FFA">
            <w:pPr>
              <w:snapToGrid w:val="0"/>
              <w:spacing w:line="380" w:lineRule="atLeast"/>
              <w:ind w:leftChars="200" w:left="960" w:hangingChars="200" w:hanging="480"/>
              <w:jc w:val="both"/>
              <w:rPr>
                <w:rFonts w:ascii="標楷體" w:eastAsia="標楷體" w:hAnsi="標楷體"/>
                <w:color w:val="000000" w:themeColor="text1"/>
                <w:szCs w:val="24"/>
              </w:rPr>
            </w:pPr>
            <w:r w:rsidRPr="00D51FFA">
              <w:rPr>
                <w:rFonts w:ascii="標楷體" w:eastAsia="標楷體" w:hAnsi="標楷體" w:hint="eastAsia"/>
                <w:color w:val="000000" w:themeColor="text1"/>
                <w:szCs w:val="24"/>
              </w:rPr>
              <w:t>一、篩選合格件：投標單有本公會「證券商承銷或再行銷售有價證券處理辦法」第十三條之情事者，證交所應予剔除，並應於投標截止日之次一營業日下午三時十五分前完成上述合格件及不合格件之篩選，有關檢核該投資人是否已開立集中保管帳戶及為</w:t>
            </w:r>
            <w:r w:rsidRPr="00D51FFA">
              <w:rPr>
                <w:rFonts w:ascii="標楷體" w:eastAsia="標楷體" w:hAnsi="標楷體" w:hint="eastAsia"/>
                <w:color w:val="000000" w:themeColor="text1"/>
                <w:szCs w:val="24"/>
                <w:u w:val="single"/>
              </w:rPr>
              <w:t>成年</w:t>
            </w:r>
            <w:r w:rsidRPr="00D51FFA">
              <w:rPr>
                <w:rFonts w:ascii="標楷體" w:eastAsia="標楷體" w:hAnsi="標楷體" w:hint="eastAsia"/>
                <w:color w:val="000000" w:themeColor="text1"/>
                <w:szCs w:val="24"/>
              </w:rPr>
              <w:t>之中華民國國民由證交所洽集保結算所辦理。</w:t>
            </w:r>
          </w:p>
          <w:p w14:paraId="18895537" w14:textId="77777777" w:rsidR="006D484E" w:rsidRPr="00D51FFA" w:rsidRDefault="006D484E" w:rsidP="00D51FFA">
            <w:pPr>
              <w:snapToGrid w:val="0"/>
              <w:spacing w:line="380" w:lineRule="atLeast"/>
              <w:ind w:leftChars="200" w:left="960" w:hangingChars="200" w:hanging="480"/>
              <w:jc w:val="both"/>
              <w:rPr>
                <w:rFonts w:ascii="標楷體" w:eastAsia="標楷體" w:hAnsi="標楷體"/>
                <w:color w:val="000000" w:themeColor="text1"/>
                <w:szCs w:val="24"/>
              </w:rPr>
            </w:pPr>
            <w:r w:rsidRPr="00D51FFA">
              <w:rPr>
                <w:rFonts w:ascii="標楷體" w:eastAsia="標楷體" w:hAnsi="標楷體" w:hint="eastAsia"/>
                <w:color w:val="000000" w:themeColor="text1"/>
                <w:szCs w:val="24"/>
              </w:rPr>
              <w:t>二、合格件數量公告：主辦承銷商應於投標截止日之次一營業日下午四時前於競拍系統辦理合格投標數量公告作業。</w:t>
            </w:r>
          </w:p>
          <w:p w14:paraId="6796E171" w14:textId="1206ED79" w:rsidR="006D484E" w:rsidRPr="00D51FFA" w:rsidRDefault="006D484E" w:rsidP="00D51FFA">
            <w:pPr>
              <w:snapToGrid w:val="0"/>
              <w:spacing w:line="380" w:lineRule="atLeast"/>
              <w:ind w:leftChars="200" w:left="960" w:hangingChars="200" w:hanging="480"/>
              <w:jc w:val="both"/>
              <w:rPr>
                <w:rFonts w:ascii="標楷體" w:eastAsia="標楷體" w:hAnsi="標楷體"/>
                <w:color w:val="000000" w:themeColor="text1"/>
                <w:szCs w:val="24"/>
              </w:rPr>
            </w:pPr>
            <w:r w:rsidRPr="00D51FFA">
              <w:rPr>
                <w:rFonts w:ascii="標楷體" w:eastAsia="標楷體" w:hAnsi="標楷體" w:hint="eastAsia"/>
                <w:color w:val="000000" w:themeColor="text1"/>
                <w:szCs w:val="24"/>
              </w:rPr>
              <w:t>三、辦理開標：證交所應於投標截止日後次二營業日上午十時邀集相關單位共同監督，完成合格件之電腦開標，並編製得（開）標資料報表等提供予證券商、集保結算所及本公會；集</w:t>
            </w:r>
            <w:r w:rsidRPr="00D51FFA">
              <w:rPr>
                <w:rFonts w:ascii="標楷體" w:eastAsia="標楷體" w:hAnsi="標楷體" w:hint="eastAsia"/>
                <w:color w:val="000000" w:themeColor="text1"/>
                <w:szCs w:val="24"/>
              </w:rPr>
              <w:lastRenderedPageBreak/>
              <w:t>保結算所依上開資料，應將包括得標人姓名、身分證字號或統一編號、出生年月日、戶籍地址、通訊地址、集中保管帳號、電話號碼、得標人經紀商名稱（含分公司名稱）等資料送承銷商辦理寄發得標通知書及公開說明書予得標人之作業。</w:t>
            </w:r>
          </w:p>
          <w:p w14:paraId="22538A50" w14:textId="63A05811" w:rsidR="006D484E" w:rsidRPr="00D51FFA" w:rsidRDefault="006D484E" w:rsidP="00D51FFA">
            <w:pPr>
              <w:snapToGrid w:val="0"/>
              <w:spacing w:line="380" w:lineRule="atLeast"/>
              <w:ind w:leftChars="200" w:left="960" w:hangingChars="200" w:hanging="480"/>
              <w:jc w:val="both"/>
              <w:rPr>
                <w:rFonts w:ascii="標楷體" w:eastAsia="標楷體" w:hAnsi="標楷體"/>
                <w:color w:val="000000" w:themeColor="text1"/>
                <w:szCs w:val="24"/>
              </w:rPr>
            </w:pPr>
            <w:r w:rsidRPr="00D51FFA">
              <w:rPr>
                <w:rFonts w:ascii="標楷體" w:eastAsia="標楷體" w:hAnsi="標楷體" w:hint="eastAsia"/>
                <w:color w:val="000000" w:themeColor="text1"/>
                <w:szCs w:val="24"/>
              </w:rPr>
              <w:t>四、通知得標人繳款：開標日證交所完成開標後，經紀商至競拍系統下載得（開）標資料，通知得標人辦理得標價款及得標手續費繳交作業，並留存通知紀錄。得標人投標保證金作為得標應繳股款之一部份，得標人應依其所得標金額扣除保證金之差額及加計得標手續費後繳足剩餘款項。</w:t>
            </w:r>
          </w:p>
          <w:p w14:paraId="32F99E1B" w14:textId="79EDE5DE" w:rsidR="008A58DB" w:rsidRPr="00D51FFA" w:rsidRDefault="006D484E" w:rsidP="00D51FFA">
            <w:pPr>
              <w:snapToGrid w:val="0"/>
              <w:spacing w:line="380" w:lineRule="atLeast"/>
              <w:ind w:leftChars="200" w:left="960" w:hangingChars="200" w:hanging="480"/>
              <w:jc w:val="both"/>
              <w:rPr>
                <w:rFonts w:ascii="標楷體" w:eastAsia="標楷體" w:hAnsi="標楷體"/>
                <w:color w:val="000000" w:themeColor="text1"/>
                <w:szCs w:val="24"/>
              </w:rPr>
            </w:pPr>
            <w:r w:rsidRPr="00D51FFA">
              <w:rPr>
                <w:rFonts w:ascii="標楷體" w:eastAsia="標楷體" w:hAnsi="標楷體" w:hint="eastAsia"/>
                <w:color w:val="000000" w:themeColor="text1"/>
                <w:szCs w:val="24"/>
              </w:rPr>
              <w:t>五、得標人不如期履行繳款義務時，除喪失得標資格外，投標保證金應由承銷商沒入之，承銷商並應依得標人得標價款自行認購。</w:t>
            </w:r>
          </w:p>
        </w:tc>
        <w:tc>
          <w:tcPr>
            <w:tcW w:w="3334" w:type="dxa"/>
          </w:tcPr>
          <w:p w14:paraId="485AA4E0" w14:textId="77777777" w:rsidR="008A58DB" w:rsidRPr="00D51FFA" w:rsidRDefault="008A58DB" w:rsidP="00D51FFA">
            <w:pPr>
              <w:snapToGrid w:val="0"/>
              <w:spacing w:line="380" w:lineRule="atLeast"/>
              <w:ind w:left="480" w:hangingChars="200" w:hanging="480"/>
              <w:jc w:val="both"/>
              <w:rPr>
                <w:rFonts w:ascii="標楷體" w:eastAsia="標楷體" w:hAnsi="標楷體"/>
                <w:color w:val="000000" w:themeColor="text1"/>
                <w:szCs w:val="24"/>
              </w:rPr>
            </w:pPr>
            <w:r w:rsidRPr="00D51FFA">
              <w:rPr>
                <w:rFonts w:ascii="標楷體" w:eastAsia="標楷體" w:hAnsi="標楷體" w:hint="eastAsia"/>
                <w:color w:val="000000" w:themeColor="text1"/>
                <w:szCs w:val="24"/>
              </w:rPr>
              <w:lastRenderedPageBreak/>
              <w:t>肆、開標及得標通知作業程序：</w:t>
            </w:r>
          </w:p>
          <w:p w14:paraId="4857CAEF" w14:textId="1ACE01D4" w:rsidR="008A58DB" w:rsidRPr="00D51FFA" w:rsidRDefault="008A58DB" w:rsidP="00D51FFA">
            <w:pPr>
              <w:snapToGrid w:val="0"/>
              <w:spacing w:line="380" w:lineRule="atLeast"/>
              <w:ind w:leftChars="200" w:left="960" w:hangingChars="200" w:hanging="480"/>
              <w:jc w:val="both"/>
              <w:rPr>
                <w:rFonts w:ascii="標楷體" w:eastAsia="標楷體" w:hAnsi="標楷體"/>
                <w:color w:val="000000" w:themeColor="text1"/>
                <w:szCs w:val="24"/>
              </w:rPr>
            </w:pPr>
            <w:r w:rsidRPr="00D51FFA">
              <w:rPr>
                <w:rFonts w:ascii="標楷體" w:eastAsia="標楷體" w:hAnsi="標楷體" w:hint="eastAsia"/>
                <w:color w:val="000000" w:themeColor="text1"/>
                <w:szCs w:val="24"/>
              </w:rPr>
              <w:t>一、篩選合格件：投標單有本公會「證券商承銷或再行銷售有價證券處理辦法」第十三條之情事者，證交所應予剔除，並應於投標截止日之次一營業日下午三時十五分前完成上述合格件及不合格件之篩選，有關檢核該投資人是否已開立集中保管帳戶及為</w:t>
            </w:r>
            <w:r w:rsidRPr="00D51FFA">
              <w:rPr>
                <w:rFonts w:ascii="標楷體" w:eastAsia="標楷體" w:hAnsi="標楷體" w:hint="eastAsia"/>
                <w:color w:val="000000" w:themeColor="text1"/>
                <w:szCs w:val="24"/>
                <w:u w:val="single"/>
              </w:rPr>
              <w:t>年滿二十歲</w:t>
            </w:r>
            <w:r w:rsidRPr="00D51FFA">
              <w:rPr>
                <w:rFonts w:ascii="標楷體" w:eastAsia="標楷體" w:hAnsi="標楷體" w:hint="eastAsia"/>
                <w:color w:val="000000" w:themeColor="text1"/>
                <w:szCs w:val="24"/>
              </w:rPr>
              <w:t>之中華民國國民由證交所洽集保結算所辦理。</w:t>
            </w:r>
          </w:p>
          <w:p w14:paraId="0A0B3152" w14:textId="37059665" w:rsidR="008A58DB" w:rsidRPr="00D51FFA" w:rsidRDefault="008A58DB" w:rsidP="00D51FFA">
            <w:pPr>
              <w:snapToGrid w:val="0"/>
              <w:spacing w:line="380" w:lineRule="atLeast"/>
              <w:ind w:leftChars="200" w:left="960" w:hangingChars="200" w:hanging="480"/>
              <w:jc w:val="both"/>
              <w:rPr>
                <w:rFonts w:ascii="標楷體" w:eastAsia="標楷體" w:hAnsi="標楷體"/>
                <w:color w:val="000000" w:themeColor="text1"/>
                <w:szCs w:val="24"/>
              </w:rPr>
            </w:pPr>
            <w:r w:rsidRPr="00D51FFA">
              <w:rPr>
                <w:rFonts w:ascii="標楷體" w:eastAsia="標楷體" w:hAnsi="標楷體" w:hint="eastAsia"/>
                <w:color w:val="000000" w:themeColor="text1"/>
                <w:szCs w:val="24"/>
              </w:rPr>
              <w:t>二、合格件數量公告：主辦承銷商應於投標截止日之次一營業日下午四時前於競拍系統辦理合格投標數量公告作業。</w:t>
            </w:r>
          </w:p>
          <w:p w14:paraId="64AF6AEB" w14:textId="2AD8BFB3" w:rsidR="008A58DB" w:rsidRPr="00D51FFA" w:rsidRDefault="008A58DB" w:rsidP="00D51FFA">
            <w:pPr>
              <w:snapToGrid w:val="0"/>
              <w:spacing w:line="380" w:lineRule="atLeast"/>
              <w:ind w:leftChars="200" w:left="960" w:hangingChars="200" w:hanging="480"/>
              <w:jc w:val="both"/>
              <w:rPr>
                <w:rFonts w:ascii="標楷體" w:eastAsia="標楷體" w:hAnsi="標楷體"/>
                <w:color w:val="000000" w:themeColor="text1"/>
                <w:szCs w:val="24"/>
              </w:rPr>
            </w:pPr>
            <w:r w:rsidRPr="00D51FFA">
              <w:rPr>
                <w:rFonts w:ascii="標楷體" w:eastAsia="標楷體" w:hAnsi="標楷體" w:hint="eastAsia"/>
                <w:color w:val="000000" w:themeColor="text1"/>
                <w:szCs w:val="24"/>
              </w:rPr>
              <w:t>三、辦理開標：證交所應於投標截止日後次二營業日上午十時邀集相關單位共同監督，完成合格件之電腦開標，並編製得（開）標資料報表等提供予證券商、集保結算所及本公會；集</w:t>
            </w:r>
            <w:r w:rsidRPr="00D51FFA">
              <w:rPr>
                <w:rFonts w:ascii="標楷體" w:eastAsia="標楷體" w:hAnsi="標楷體" w:hint="eastAsia"/>
                <w:color w:val="000000" w:themeColor="text1"/>
                <w:szCs w:val="24"/>
              </w:rPr>
              <w:lastRenderedPageBreak/>
              <w:t>保結算所依上開資料，應將包括得標人姓名、身分證字號或統一編號、出生年月日、戶籍地址、通訊地址、集中保管帳號、電話號碼、得標人經紀商名稱（含分公司名稱）等資料送承銷商辦理寄發得標通知書及公開說明書予得標人之作業。</w:t>
            </w:r>
          </w:p>
          <w:p w14:paraId="0C61BBA2" w14:textId="0F2CA53F" w:rsidR="008A58DB" w:rsidRPr="00D51FFA" w:rsidRDefault="008A58DB" w:rsidP="00D51FFA">
            <w:pPr>
              <w:snapToGrid w:val="0"/>
              <w:spacing w:line="380" w:lineRule="atLeast"/>
              <w:ind w:leftChars="200" w:left="960" w:hangingChars="200" w:hanging="480"/>
              <w:jc w:val="both"/>
              <w:rPr>
                <w:rFonts w:ascii="標楷體" w:eastAsia="標楷體" w:hAnsi="標楷體"/>
                <w:color w:val="000000" w:themeColor="text1"/>
                <w:szCs w:val="24"/>
              </w:rPr>
            </w:pPr>
            <w:r w:rsidRPr="00D51FFA">
              <w:rPr>
                <w:rFonts w:ascii="標楷體" w:eastAsia="標楷體" w:hAnsi="標楷體" w:hint="eastAsia"/>
                <w:color w:val="000000" w:themeColor="text1"/>
                <w:szCs w:val="24"/>
              </w:rPr>
              <w:t>四、通知得標人繳款：開標日證交所完成開標後，經紀商至競拍系統下載得（開）標資料，通知得標人辦理得標價款及得標手續費繳交作業，並留存通知紀錄。得標人投標保證金作為得標應繳股款之一部份，得標人應依其所得標金額扣除保證金之差額及加計得標手續費後繳足剩餘款項。</w:t>
            </w:r>
          </w:p>
          <w:p w14:paraId="1845816B" w14:textId="07A2B931" w:rsidR="008A58DB" w:rsidRPr="00D51FFA" w:rsidRDefault="008A58DB" w:rsidP="00D51FFA">
            <w:pPr>
              <w:snapToGrid w:val="0"/>
              <w:spacing w:line="380" w:lineRule="atLeast"/>
              <w:ind w:leftChars="200" w:left="960" w:hangingChars="200" w:hanging="480"/>
              <w:jc w:val="both"/>
              <w:rPr>
                <w:rFonts w:ascii="標楷體" w:eastAsia="標楷體" w:hAnsi="標楷體"/>
                <w:color w:val="000000" w:themeColor="text1"/>
                <w:szCs w:val="24"/>
              </w:rPr>
            </w:pPr>
            <w:r w:rsidRPr="00D51FFA">
              <w:rPr>
                <w:rFonts w:ascii="標楷體" w:eastAsia="標楷體" w:hAnsi="標楷體" w:hint="eastAsia"/>
                <w:color w:val="000000" w:themeColor="text1"/>
                <w:szCs w:val="24"/>
              </w:rPr>
              <w:t>五、得標人不如期履行繳款義務時，除喪失得標資格外，投標保證金應由承銷商沒入之，承銷商並應依得標人得標價款自行認購。</w:t>
            </w:r>
          </w:p>
        </w:tc>
        <w:tc>
          <w:tcPr>
            <w:tcW w:w="2203" w:type="dxa"/>
          </w:tcPr>
          <w:p w14:paraId="3D82B406" w14:textId="28D7CF89" w:rsidR="008A58DB" w:rsidRPr="00D51FFA" w:rsidRDefault="006D484E" w:rsidP="00D51FFA">
            <w:pPr>
              <w:snapToGrid w:val="0"/>
              <w:spacing w:line="380" w:lineRule="atLeast"/>
              <w:ind w:leftChars="-1" w:left="20" w:hangingChars="9" w:hanging="22"/>
              <w:jc w:val="both"/>
              <w:rPr>
                <w:rFonts w:ascii="標楷體" w:eastAsia="標楷體" w:hAnsi="標楷體"/>
                <w:color w:val="000000"/>
                <w:szCs w:val="24"/>
              </w:rPr>
            </w:pPr>
            <w:r w:rsidRPr="00D51FFA">
              <w:rPr>
                <w:rFonts w:eastAsia="標楷體" w:hint="eastAsia"/>
                <w:szCs w:val="24"/>
              </w:rPr>
              <w:lastRenderedPageBreak/>
              <w:t>110</w:t>
            </w:r>
            <w:r w:rsidRPr="00D51FFA">
              <w:rPr>
                <w:rFonts w:eastAsia="標楷體" w:hint="eastAsia"/>
                <w:szCs w:val="24"/>
              </w:rPr>
              <w:t>年</w:t>
            </w:r>
            <w:r w:rsidRPr="00D51FFA">
              <w:rPr>
                <w:rFonts w:eastAsia="標楷體" w:hint="eastAsia"/>
                <w:szCs w:val="24"/>
              </w:rPr>
              <w:t>1</w:t>
            </w:r>
            <w:r w:rsidRPr="00D51FFA">
              <w:rPr>
                <w:rFonts w:eastAsia="標楷體" w:hint="eastAsia"/>
                <w:szCs w:val="24"/>
              </w:rPr>
              <w:t>月</w:t>
            </w:r>
            <w:r w:rsidRPr="00D51FFA">
              <w:rPr>
                <w:rFonts w:eastAsia="標楷體" w:hint="eastAsia"/>
                <w:szCs w:val="24"/>
              </w:rPr>
              <w:t>13</w:t>
            </w:r>
            <w:r w:rsidRPr="00D51FFA">
              <w:rPr>
                <w:rFonts w:eastAsia="標楷體" w:hint="eastAsia"/>
                <w:szCs w:val="24"/>
              </w:rPr>
              <w:t>日總統令已公布修正民法第</w:t>
            </w:r>
            <w:r w:rsidRPr="00D51FFA">
              <w:rPr>
                <w:rFonts w:eastAsia="標楷體" w:hint="eastAsia"/>
                <w:szCs w:val="24"/>
              </w:rPr>
              <w:t>1</w:t>
            </w:r>
            <w:r w:rsidRPr="00D51FFA">
              <w:rPr>
                <w:rFonts w:eastAsia="標楷體"/>
                <w:szCs w:val="24"/>
              </w:rPr>
              <w:t>2</w:t>
            </w:r>
            <w:r w:rsidRPr="00D51FFA">
              <w:rPr>
                <w:rFonts w:eastAsia="標楷體" w:hint="eastAsia"/>
                <w:szCs w:val="24"/>
              </w:rPr>
              <w:t>條，滿</w:t>
            </w:r>
            <w:r w:rsidRPr="00D51FFA">
              <w:rPr>
                <w:rFonts w:eastAsia="標楷體" w:hint="eastAsia"/>
                <w:szCs w:val="24"/>
              </w:rPr>
              <w:t>18</w:t>
            </w:r>
            <w:r w:rsidRPr="00D51FFA">
              <w:rPr>
                <w:rFonts w:eastAsia="標楷體" w:hint="eastAsia"/>
                <w:szCs w:val="24"/>
              </w:rPr>
              <w:t>歲為成年，並自</w:t>
            </w:r>
            <w:r w:rsidRPr="00D51FFA">
              <w:rPr>
                <w:rFonts w:eastAsia="標楷體" w:hint="eastAsia"/>
                <w:szCs w:val="24"/>
              </w:rPr>
              <w:t>112</w:t>
            </w:r>
            <w:r w:rsidRPr="00D51FFA">
              <w:rPr>
                <w:rFonts w:eastAsia="標楷體" w:hint="eastAsia"/>
                <w:szCs w:val="24"/>
              </w:rPr>
              <w:t>年</w:t>
            </w:r>
            <w:r w:rsidRPr="00D51FFA">
              <w:rPr>
                <w:rFonts w:eastAsia="標楷體" w:hint="eastAsia"/>
                <w:szCs w:val="24"/>
              </w:rPr>
              <w:t>1</w:t>
            </w:r>
            <w:r w:rsidRPr="00D51FFA">
              <w:rPr>
                <w:rFonts w:eastAsia="標楷體" w:hint="eastAsia"/>
                <w:szCs w:val="24"/>
              </w:rPr>
              <w:t>月</w:t>
            </w:r>
            <w:r w:rsidRPr="00D51FFA">
              <w:rPr>
                <w:rFonts w:eastAsia="標楷體" w:hint="eastAsia"/>
                <w:szCs w:val="24"/>
              </w:rPr>
              <w:t>1</w:t>
            </w:r>
            <w:r w:rsidRPr="00D51FFA">
              <w:rPr>
                <w:rFonts w:eastAsia="標楷體" w:hint="eastAsia"/>
                <w:szCs w:val="24"/>
              </w:rPr>
              <w:t>日施行。</w:t>
            </w:r>
            <w:proofErr w:type="gramStart"/>
            <w:r w:rsidRPr="00D51FFA">
              <w:rPr>
                <w:rFonts w:eastAsia="標楷體" w:hint="eastAsia"/>
                <w:szCs w:val="24"/>
              </w:rPr>
              <w:t>爰</w:t>
            </w:r>
            <w:proofErr w:type="gramEnd"/>
            <w:r w:rsidRPr="00D51FFA">
              <w:rPr>
                <w:rFonts w:eastAsia="標楷體" w:hint="eastAsia"/>
                <w:szCs w:val="24"/>
              </w:rPr>
              <w:t>修正肆、</w:t>
            </w:r>
            <w:proofErr w:type="gramStart"/>
            <w:r w:rsidRPr="00D51FFA">
              <w:rPr>
                <w:rFonts w:eastAsia="標楷體" w:hint="eastAsia"/>
                <w:szCs w:val="24"/>
              </w:rPr>
              <w:t>一</w:t>
            </w:r>
            <w:proofErr w:type="gramEnd"/>
            <w:r w:rsidR="00000FF5">
              <w:rPr>
                <w:rFonts w:eastAsia="標楷體" w:hint="eastAsia"/>
                <w:szCs w:val="24"/>
              </w:rPr>
              <w:t>有關</w:t>
            </w:r>
            <w:r w:rsidRPr="00D51FFA">
              <w:rPr>
                <w:rFonts w:eastAsia="標楷體" w:hint="eastAsia"/>
                <w:szCs w:val="24"/>
              </w:rPr>
              <w:t>合格投標單之篩選條件，由「年滿</w:t>
            </w:r>
            <w:r w:rsidRPr="00D51FFA">
              <w:rPr>
                <w:rFonts w:eastAsia="標楷體" w:hint="eastAsia"/>
                <w:szCs w:val="24"/>
              </w:rPr>
              <w:t>20</w:t>
            </w:r>
            <w:r w:rsidRPr="00D51FFA">
              <w:rPr>
                <w:rFonts w:eastAsia="標楷體" w:hint="eastAsia"/>
                <w:szCs w:val="24"/>
              </w:rPr>
              <w:t>歲」之中華民國國民修正為「成年」之中華民國國民。</w:t>
            </w:r>
          </w:p>
        </w:tc>
      </w:tr>
    </w:tbl>
    <w:p w14:paraId="663F7DAC" w14:textId="77777777" w:rsidR="008A58DB" w:rsidRPr="008A58DB" w:rsidRDefault="008A58DB"/>
    <w:sectPr w:rsidR="008A58DB" w:rsidRPr="008A58DB" w:rsidSect="006B5B40">
      <w:pgSz w:w="11906" w:h="16838"/>
      <w:pgMar w:top="1440" w:right="1274" w:bottom="1440" w:left="1800" w:header="851" w:footer="850" w:gutter="0"/>
      <w:pgNumType w:start="6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E11AAF" w14:textId="77777777" w:rsidR="0011458B" w:rsidRDefault="0011458B" w:rsidP="008A58DB">
      <w:r>
        <w:separator/>
      </w:r>
    </w:p>
  </w:endnote>
  <w:endnote w:type="continuationSeparator" w:id="0">
    <w:p w14:paraId="4D7DC2CB" w14:textId="77777777" w:rsidR="0011458B" w:rsidRDefault="0011458B" w:rsidP="008A5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7F3C7D" w14:textId="77777777" w:rsidR="0011458B" w:rsidRDefault="0011458B" w:rsidP="008A58DB">
      <w:r>
        <w:separator/>
      </w:r>
    </w:p>
  </w:footnote>
  <w:footnote w:type="continuationSeparator" w:id="0">
    <w:p w14:paraId="6C9514CB" w14:textId="77777777" w:rsidR="0011458B" w:rsidRDefault="0011458B" w:rsidP="008A58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58DB"/>
    <w:rsid w:val="00000FF5"/>
    <w:rsid w:val="000815E1"/>
    <w:rsid w:val="00104CA0"/>
    <w:rsid w:val="0011458B"/>
    <w:rsid w:val="00197567"/>
    <w:rsid w:val="002920D4"/>
    <w:rsid w:val="002A2AED"/>
    <w:rsid w:val="002B199F"/>
    <w:rsid w:val="00301B5B"/>
    <w:rsid w:val="00310EBF"/>
    <w:rsid w:val="00377886"/>
    <w:rsid w:val="00401CDA"/>
    <w:rsid w:val="00442FDD"/>
    <w:rsid w:val="00554206"/>
    <w:rsid w:val="00622740"/>
    <w:rsid w:val="006B5B40"/>
    <w:rsid w:val="006D484E"/>
    <w:rsid w:val="00747309"/>
    <w:rsid w:val="007725C1"/>
    <w:rsid w:val="007C4E71"/>
    <w:rsid w:val="00846C5B"/>
    <w:rsid w:val="008A58DB"/>
    <w:rsid w:val="00940413"/>
    <w:rsid w:val="009663B7"/>
    <w:rsid w:val="00AB734A"/>
    <w:rsid w:val="00B50965"/>
    <w:rsid w:val="00B51638"/>
    <w:rsid w:val="00C474AF"/>
    <w:rsid w:val="00C90B44"/>
    <w:rsid w:val="00CC18FB"/>
    <w:rsid w:val="00CF13FC"/>
    <w:rsid w:val="00D111DC"/>
    <w:rsid w:val="00D17AC2"/>
    <w:rsid w:val="00D51FFA"/>
    <w:rsid w:val="00F2111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E76777"/>
  <w15:chartTrackingRefBased/>
  <w15:docId w15:val="{2CCF0A7C-C870-4291-A205-CB0E9C9A0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A58DB"/>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A58DB"/>
    <w:pPr>
      <w:tabs>
        <w:tab w:val="center" w:pos="4153"/>
        <w:tab w:val="right" w:pos="8306"/>
      </w:tabs>
      <w:snapToGrid w:val="0"/>
    </w:pPr>
    <w:rPr>
      <w:sz w:val="20"/>
      <w:szCs w:val="20"/>
    </w:rPr>
  </w:style>
  <w:style w:type="character" w:customStyle="1" w:styleId="a4">
    <w:name w:val="頁首 字元"/>
    <w:basedOn w:val="a0"/>
    <w:link w:val="a3"/>
    <w:uiPriority w:val="99"/>
    <w:rsid w:val="008A58DB"/>
    <w:rPr>
      <w:sz w:val="20"/>
      <w:szCs w:val="20"/>
    </w:rPr>
  </w:style>
  <w:style w:type="paragraph" w:styleId="a5">
    <w:name w:val="footer"/>
    <w:basedOn w:val="a"/>
    <w:link w:val="a6"/>
    <w:uiPriority w:val="99"/>
    <w:unhideWhenUsed/>
    <w:rsid w:val="008A58DB"/>
    <w:pPr>
      <w:tabs>
        <w:tab w:val="center" w:pos="4153"/>
        <w:tab w:val="right" w:pos="8306"/>
      </w:tabs>
      <w:snapToGrid w:val="0"/>
    </w:pPr>
    <w:rPr>
      <w:sz w:val="20"/>
      <w:szCs w:val="20"/>
    </w:rPr>
  </w:style>
  <w:style w:type="character" w:customStyle="1" w:styleId="a6">
    <w:name w:val="頁尾 字元"/>
    <w:basedOn w:val="a0"/>
    <w:link w:val="a5"/>
    <w:uiPriority w:val="99"/>
    <w:rsid w:val="008A58DB"/>
    <w:rPr>
      <w:sz w:val="20"/>
      <w:szCs w:val="20"/>
    </w:rPr>
  </w:style>
  <w:style w:type="table" w:styleId="a7">
    <w:name w:val="Table Grid"/>
    <w:basedOn w:val="a1"/>
    <w:uiPriority w:val="39"/>
    <w:rsid w:val="008A58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Plain Text"/>
    <w:basedOn w:val="a"/>
    <w:link w:val="a9"/>
    <w:rsid w:val="008A58DB"/>
    <w:rPr>
      <w:rFonts w:ascii="細明體" w:eastAsia="細明體" w:hAnsi="Courier New" w:cs="Times New Roman"/>
      <w:szCs w:val="20"/>
    </w:rPr>
  </w:style>
  <w:style w:type="character" w:customStyle="1" w:styleId="a9">
    <w:name w:val="純文字 字元"/>
    <w:basedOn w:val="a0"/>
    <w:link w:val="a8"/>
    <w:rsid w:val="008A58DB"/>
    <w:rPr>
      <w:rFonts w:ascii="細明體" w:eastAsia="細明體" w:hAnsi="Courier New" w:cs="Times New Roman"/>
      <w:szCs w:val="20"/>
    </w:rPr>
  </w:style>
  <w:style w:type="paragraph" w:styleId="HTML">
    <w:name w:val="HTML Preformatted"/>
    <w:basedOn w:val="a"/>
    <w:link w:val="HTML0"/>
    <w:uiPriority w:val="99"/>
    <w:semiHidden/>
    <w:unhideWhenUsed/>
    <w:rsid w:val="008A58D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semiHidden/>
    <w:rsid w:val="008A58DB"/>
    <w:rPr>
      <w:rFonts w:ascii="細明體" w:eastAsia="細明體" w:hAnsi="細明體" w:cs="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6076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193</Words>
  <Characters>1105</Characters>
  <Application>Microsoft Office Word</Application>
  <DocSecurity>0</DocSecurity>
  <Lines>9</Lines>
  <Paragraphs>2</Paragraphs>
  <ScaleCrop>false</ScaleCrop>
  <Company/>
  <LinksUpToDate>false</LinksUpToDate>
  <CharactersWithSpaces>1296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鍾韻琳</dc:creator>
  <cp:keywords/>
  <dc:description/>
  <cp:lastModifiedBy>鍾韻琳</cp:lastModifiedBy>
  <cp:revision>2</cp:revision>
  <cp:lastPrinted>2022-11-15T01:30:00Z</cp:lastPrinted>
  <dcterms:created xsi:type="dcterms:W3CDTF">2023-01-17T00:14:00Z</dcterms:created>
  <dcterms:modified xsi:type="dcterms:W3CDTF">2023-01-17T00:14:00Z</dcterms:modified>
</cp:coreProperties>
</file>