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91" w:rsidRDefault="00BD7503" w:rsidP="00187549">
      <w:pPr>
        <w:pStyle w:val="a3"/>
        <w:snapToGrid w:val="0"/>
        <w:spacing w:afterLines="150" w:after="541" w:line="500" w:lineRule="exact"/>
        <w:ind w:leftChars="-59" w:left="-142" w:rightChars="-201" w:right="-482"/>
        <w:jc w:val="center"/>
        <w:rPr>
          <w:rFonts w:ascii="Times New Roman" w:eastAsia="標楷體" w:hAnsi="標楷體"/>
          <w:b/>
          <w:bCs/>
          <w:color w:val="0D0D0D"/>
          <w:spacing w:val="30"/>
          <w:sz w:val="28"/>
          <w:szCs w:val="30"/>
        </w:rPr>
      </w:pPr>
      <w:r>
        <w:rPr>
          <w:rFonts w:ascii="Times New Roman" w:eastAsia="標楷體" w:hAnsi="標楷體" w:hint="eastAsia"/>
          <w:b/>
          <w:bCs/>
          <w:color w:val="0D0D0D"/>
          <w:spacing w:val="30"/>
          <w:sz w:val="28"/>
          <w:szCs w:val="30"/>
        </w:rPr>
        <w:t>證券商</w:t>
      </w:r>
      <w:r w:rsidR="00C437AC" w:rsidRPr="00F559AC">
        <w:rPr>
          <w:rFonts w:ascii="Times New Roman" w:eastAsia="標楷體" w:hAnsi="標楷體" w:hint="eastAsia"/>
          <w:b/>
          <w:bCs/>
          <w:color w:val="0D0D0D"/>
          <w:spacing w:val="30"/>
          <w:sz w:val="28"/>
          <w:szCs w:val="30"/>
        </w:rPr>
        <w:t>評估</w:t>
      </w:r>
      <w:r w:rsidR="001122C1" w:rsidRPr="00F559AC">
        <w:rPr>
          <w:rFonts w:ascii="Times New Roman" w:eastAsia="標楷體" w:hAnsi="標楷體" w:hint="eastAsia"/>
          <w:b/>
          <w:bCs/>
          <w:color w:val="0D0D0D"/>
          <w:spacing w:val="30"/>
          <w:sz w:val="28"/>
          <w:szCs w:val="30"/>
        </w:rPr>
        <w:t>洗錢及資</w:t>
      </w:r>
      <w:r w:rsidR="002D7557" w:rsidRPr="00F559AC">
        <w:rPr>
          <w:rFonts w:ascii="Times New Roman" w:eastAsia="標楷體" w:hAnsi="標楷體" w:hint="eastAsia"/>
          <w:b/>
          <w:bCs/>
          <w:color w:val="0D0D0D"/>
          <w:spacing w:val="30"/>
          <w:sz w:val="28"/>
          <w:szCs w:val="30"/>
        </w:rPr>
        <w:t>助</w:t>
      </w:r>
      <w:r w:rsidR="001122C1" w:rsidRPr="00F559AC">
        <w:rPr>
          <w:rFonts w:ascii="Times New Roman" w:eastAsia="標楷體" w:hAnsi="標楷體" w:hint="eastAsia"/>
          <w:b/>
          <w:bCs/>
          <w:color w:val="0D0D0D"/>
          <w:spacing w:val="30"/>
          <w:sz w:val="28"/>
          <w:szCs w:val="30"/>
        </w:rPr>
        <w:t>恐</w:t>
      </w:r>
      <w:r w:rsidR="002D7557" w:rsidRPr="00F559AC">
        <w:rPr>
          <w:rFonts w:ascii="Times New Roman" w:eastAsia="標楷體" w:hAnsi="標楷體" w:hint="eastAsia"/>
          <w:b/>
          <w:bCs/>
          <w:color w:val="0D0D0D"/>
          <w:spacing w:val="30"/>
          <w:sz w:val="28"/>
          <w:szCs w:val="30"/>
        </w:rPr>
        <w:t>怖主義</w:t>
      </w:r>
      <w:r w:rsidR="001122C1" w:rsidRPr="00F559AC">
        <w:rPr>
          <w:rFonts w:ascii="Times New Roman" w:eastAsia="標楷體" w:hAnsi="標楷體" w:hint="eastAsia"/>
          <w:b/>
          <w:bCs/>
          <w:color w:val="0D0D0D"/>
          <w:spacing w:val="30"/>
          <w:sz w:val="28"/>
          <w:szCs w:val="30"/>
        </w:rPr>
        <w:t>風險</w:t>
      </w:r>
      <w:r w:rsidR="00C437AC" w:rsidRPr="00F559AC">
        <w:rPr>
          <w:rFonts w:ascii="Times New Roman" w:eastAsia="標楷體" w:hAnsi="標楷體" w:hint="eastAsia"/>
          <w:b/>
          <w:bCs/>
          <w:color w:val="0D0D0D"/>
          <w:spacing w:val="30"/>
          <w:sz w:val="28"/>
          <w:szCs w:val="30"/>
        </w:rPr>
        <w:t>及訂定相關</w:t>
      </w:r>
      <w:r w:rsidR="001122C1" w:rsidRPr="00F559AC">
        <w:rPr>
          <w:rFonts w:ascii="Times New Roman" w:eastAsia="標楷體" w:hAnsi="標楷體" w:hint="eastAsia"/>
          <w:b/>
          <w:bCs/>
          <w:color w:val="0D0D0D"/>
          <w:spacing w:val="30"/>
          <w:sz w:val="28"/>
          <w:szCs w:val="30"/>
        </w:rPr>
        <w:t>防制</w:t>
      </w:r>
      <w:r w:rsidR="00C437AC" w:rsidRPr="00F559AC">
        <w:rPr>
          <w:rFonts w:ascii="Times New Roman" w:eastAsia="標楷體" w:hAnsi="標楷體" w:hint="eastAsia"/>
          <w:b/>
          <w:bCs/>
          <w:color w:val="0D0D0D"/>
          <w:spacing w:val="30"/>
          <w:sz w:val="28"/>
          <w:szCs w:val="30"/>
        </w:rPr>
        <w:t>計畫</w:t>
      </w:r>
      <w:r w:rsidR="00ED3EBE" w:rsidRPr="00F559AC">
        <w:rPr>
          <w:rFonts w:ascii="Times New Roman" w:eastAsia="標楷體" w:hAnsi="標楷體" w:hint="eastAsia"/>
          <w:b/>
          <w:bCs/>
          <w:color w:val="0D0D0D"/>
          <w:spacing w:val="30"/>
          <w:sz w:val="28"/>
          <w:szCs w:val="30"/>
        </w:rPr>
        <w:t>指引</w:t>
      </w:r>
    </w:p>
    <w:p w:rsidR="008264AF" w:rsidRPr="00A4234D" w:rsidRDefault="00567537" w:rsidP="00546997">
      <w:pPr>
        <w:pStyle w:val="a3"/>
        <w:snapToGrid w:val="0"/>
        <w:spacing w:line="500" w:lineRule="exact"/>
        <w:ind w:left="560" w:hangingChars="200" w:hanging="560"/>
        <w:jc w:val="both"/>
        <w:rPr>
          <w:rFonts w:ascii="Times New Roman" w:eastAsia="標楷體" w:hAnsi="標楷體"/>
          <w:color w:val="0D0D0D"/>
          <w:sz w:val="28"/>
          <w:szCs w:val="28"/>
        </w:rPr>
      </w:pPr>
      <w:bookmarkStart w:id="0" w:name="_GoBack"/>
      <w:bookmarkEnd w:id="0"/>
      <w:r w:rsidRPr="00A4234D">
        <w:rPr>
          <w:rFonts w:ascii="Times New Roman" w:eastAsia="標楷體" w:hAnsi="標楷體"/>
          <w:color w:val="0D0D0D"/>
          <w:sz w:val="28"/>
          <w:szCs w:val="28"/>
        </w:rPr>
        <w:t>一</w:t>
      </w:r>
      <w:r w:rsidR="00546997" w:rsidRPr="00A4234D">
        <w:rPr>
          <w:rFonts w:ascii="Times New Roman" w:eastAsia="標楷體" w:hAnsi="標楷體" w:hint="eastAsia"/>
          <w:color w:val="0D0D0D"/>
          <w:sz w:val="28"/>
          <w:szCs w:val="28"/>
        </w:rPr>
        <w:t>、</w:t>
      </w:r>
      <w:r w:rsidRPr="00A4234D">
        <w:rPr>
          <w:rFonts w:ascii="Times New Roman" w:eastAsia="標楷體" w:hAnsi="標楷體"/>
          <w:color w:val="0D0D0D"/>
          <w:sz w:val="28"/>
          <w:szCs w:val="28"/>
        </w:rPr>
        <w:t>本</w:t>
      </w:r>
      <w:r w:rsidR="006D243A" w:rsidRPr="00A4234D">
        <w:rPr>
          <w:rFonts w:ascii="Times New Roman" w:eastAsia="標楷體" w:hAnsi="標楷體" w:hint="eastAsia"/>
          <w:color w:val="0D0D0D"/>
          <w:sz w:val="28"/>
          <w:szCs w:val="28"/>
        </w:rPr>
        <w:t>指引</w:t>
      </w:r>
      <w:r w:rsidRPr="00A4234D">
        <w:rPr>
          <w:rFonts w:ascii="Times New Roman" w:eastAsia="標楷體" w:hAnsi="標楷體"/>
          <w:color w:val="0D0D0D"/>
          <w:sz w:val="28"/>
          <w:szCs w:val="28"/>
        </w:rPr>
        <w:t>依</w:t>
      </w:r>
      <w:r w:rsidR="008264AF" w:rsidRPr="00A4234D">
        <w:rPr>
          <w:rFonts w:ascii="Times New Roman" w:eastAsia="標楷體" w:hAnsi="標楷體" w:hint="eastAsia"/>
          <w:color w:val="0D0D0D"/>
          <w:sz w:val="28"/>
          <w:szCs w:val="28"/>
        </w:rPr>
        <w:t>「</w:t>
      </w:r>
      <w:r w:rsidR="001649A9" w:rsidRPr="001649A9">
        <w:rPr>
          <w:rFonts w:ascii="Times New Roman" w:eastAsia="標楷體" w:hAnsi="標楷體" w:hint="eastAsia"/>
          <w:color w:val="0D0D0D"/>
          <w:sz w:val="28"/>
          <w:szCs w:val="28"/>
        </w:rPr>
        <w:t>證券期貨業防制洗錢及打擊資助恐怖主義注意事項</w:t>
      </w:r>
      <w:r w:rsidR="008264AF" w:rsidRPr="00A4234D">
        <w:rPr>
          <w:rFonts w:ascii="Times New Roman" w:eastAsia="標楷體" w:hAnsi="標楷體" w:hint="eastAsia"/>
          <w:color w:val="0D0D0D"/>
          <w:sz w:val="28"/>
          <w:szCs w:val="28"/>
        </w:rPr>
        <w:t>」</w:t>
      </w:r>
      <w:r w:rsidRPr="00A4234D">
        <w:rPr>
          <w:rFonts w:ascii="Times New Roman" w:eastAsia="標楷體" w:hAnsi="標楷體"/>
          <w:color w:val="0D0D0D"/>
          <w:sz w:val="28"/>
          <w:szCs w:val="28"/>
        </w:rPr>
        <w:t>訂定，以防制洗錢</w:t>
      </w:r>
      <w:r w:rsidR="008264AF" w:rsidRPr="00A4234D">
        <w:rPr>
          <w:rFonts w:ascii="Times New Roman" w:eastAsia="標楷體" w:hAnsi="標楷體" w:hint="eastAsia"/>
          <w:color w:val="0D0D0D"/>
          <w:sz w:val="28"/>
          <w:szCs w:val="28"/>
        </w:rPr>
        <w:t>及打擊資助恐怖主義</w:t>
      </w:r>
      <w:r w:rsidR="006C23BA" w:rsidRPr="00A4234D">
        <w:rPr>
          <w:rFonts w:ascii="Times New Roman" w:eastAsia="標楷體" w:hAnsi="標楷體" w:hint="eastAsia"/>
          <w:color w:val="0D0D0D"/>
          <w:sz w:val="28"/>
          <w:szCs w:val="28"/>
        </w:rPr>
        <w:t>（以下簡稱防制洗錢及打擊資恐）</w:t>
      </w:r>
      <w:r w:rsidRPr="00A4234D">
        <w:rPr>
          <w:rFonts w:ascii="Times New Roman" w:eastAsia="標楷體" w:hAnsi="標楷體"/>
          <w:color w:val="0D0D0D"/>
          <w:sz w:val="28"/>
          <w:szCs w:val="28"/>
        </w:rPr>
        <w:t>為目的</w:t>
      </w:r>
      <w:r w:rsidR="00070DA5" w:rsidRPr="00A4234D">
        <w:rPr>
          <w:rFonts w:ascii="Times New Roman" w:eastAsia="標楷體" w:hAnsi="標楷體" w:hint="eastAsia"/>
          <w:color w:val="0D0D0D"/>
          <w:sz w:val="28"/>
          <w:szCs w:val="28"/>
        </w:rPr>
        <w:t>，</w:t>
      </w:r>
      <w:r w:rsidR="0059017A" w:rsidRPr="00A4234D">
        <w:rPr>
          <w:rFonts w:ascii="Times New Roman" w:eastAsia="標楷體" w:hAnsi="標楷體" w:hint="eastAsia"/>
          <w:color w:val="0D0D0D"/>
          <w:sz w:val="28"/>
          <w:szCs w:val="28"/>
        </w:rPr>
        <w:t>內容涵括</w:t>
      </w:r>
      <w:r w:rsidR="00070DA5" w:rsidRPr="00A4234D">
        <w:rPr>
          <w:rFonts w:ascii="Times New Roman" w:eastAsia="標楷體" w:hAnsi="標楷體" w:hint="eastAsia"/>
          <w:color w:val="0D0D0D"/>
          <w:sz w:val="28"/>
          <w:szCs w:val="28"/>
        </w:rPr>
        <w:t>我國</w:t>
      </w:r>
      <w:r w:rsidR="00BD7503">
        <w:rPr>
          <w:rFonts w:ascii="Times New Roman" w:eastAsia="標楷體" w:hAnsi="標楷體" w:hint="eastAsia"/>
          <w:color w:val="0D0D0D"/>
          <w:sz w:val="28"/>
          <w:szCs w:val="28"/>
        </w:rPr>
        <w:t>證券商</w:t>
      </w:r>
      <w:r w:rsidR="00070DA5" w:rsidRPr="00A4234D">
        <w:rPr>
          <w:rFonts w:ascii="Times New Roman" w:eastAsia="標楷體" w:hAnsi="標楷體" w:hint="eastAsia"/>
          <w:color w:val="0D0D0D"/>
          <w:sz w:val="28"/>
          <w:szCs w:val="28"/>
        </w:rPr>
        <w:t>如何辨識、評估各項業務之洗錢及資恐風險，</w:t>
      </w:r>
      <w:r w:rsidR="0004680E" w:rsidRPr="00A4234D">
        <w:rPr>
          <w:rFonts w:ascii="Times New Roman" w:eastAsia="標楷體" w:hAnsi="標楷體" w:hint="eastAsia"/>
          <w:color w:val="0D0D0D"/>
          <w:sz w:val="28"/>
          <w:szCs w:val="28"/>
        </w:rPr>
        <w:t>以及</w:t>
      </w:r>
      <w:r w:rsidR="00070DA5" w:rsidRPr="00A4234D">
        <w:rPr>
          <w:rFonts w:ascii="Times New Roman" w:eastAsia="標楷體" w:hAnsi="標楷體" w:hint="eastAsia"/>
          <w:color w:val="0D0D0D"/>
          <w:sz w:val="28"/>
          <w:szCs w:val="28"/>
        </w:rPr>
        <w:t>制訂</w:t>
      </w:r>
      <w:r w:rsidR="00FD1EA8" w:rsidRPr="00A4234D">
        <w:rPr>
          <w:rFonts w:ascii="Times New Roman" w:eastAsia="標楷體" w:hAnsi="標楷體" w:hint="eastAsia"/>
          <w:color w:val="0D0D0D"/>
          <w:sz w:val="28"/>
          <w:szCs w:val="28"/>
        </w:rPr>
        <w:t>防制</w:t>
      </w:r>
      <w:r w:rsidR="00070DA5" w:rsidRPr="00A4234D">
        <w:rPr>
          <w:rFonts w:ascii="Times New Roman" w:eastAsia="標楷體" w:hAnsi="標楷體" w:hint="eastAsia"/>
          <w:color w:val="0D0D0D"/>
          <w:sz w:val="28"/>
          <w:szCs w:val="28"/>
        </w:rPr>
        <w:t>洗錢及</w:t>
      </w:r>
      <w:r w:rsidR="00FD1EA8" w:rsidRPr="00A4234D">
        <w:rPr>
          <w:rFonts w:ascii="Times New Roman" w:eastAsia="標楷體" w:hAnsi="標楷體" w:hint="eastAsia"/>
          <w:color w:val="0D0D0D"/>
          <w:sz w:val="28"/>
          <w:szCs w:val="28"/>
        </w:rPr>
        <w:t>打擊</w:t>
      </w:r>
      <w:r w:rsidR="00070DA5" w:rsidRPr="00A4234D">
        <w:rPr>
          <w:rFonts w:ascii="Times New Roman" w:eastAsia="標楷體" w:hAnsi="標楷體" w:hint="eastAsia"/>
          <w:color w:val="0D0D0D"/>
          <w:sz w:val="28"/>
          <w:szCs w:val="28"/>
        </w:rPr>
        <w:t>資恐</w:t>
      </w:r>
      <w:r w:rsidR="003572E4" w:rsidRPr="00A4234D">
        <w:rPr>
          <w:rFonts w:ascii="Times New Roman" w:eastAsia="標楷體" w:hAnsi="標楷體" w:hint="eastAsia"/>
          <w:color w:val="0D0D0D"/>
          <w:sz w:val="28"/>
          <w:szCs w:val="28"/>
        </w:rPr>
        <w:t>計畫</w:t>
      </w:r>
      <w:r w:rsidR="0059017A" w:rsidRPr="00A4234D">
        <w:rPr>
          <w:rFonts w:ascii="Times New Roman" w:eastAsia="標楷體" w:hAnsi="標楷體" w:hint="eastAsia"/>
          <w:color w:val="0D0D0D"/>
          <w:sz w:val="28"/>
          <w:szCs w:val="28"/>
        </w:rPr>
        <w:t>等面向，作</w:t>
      </w:r>
      <w:r w:rsidR="0004680E" w:rsidRPr="00A4234D">
        <w:rPr>
          <w:rFonts w:ascii="Times New Roman" w:eastAsia="標楷體" w:hAnsi="標楷體" w:hint="eastAsia"/>
          <w:color w:val="0D0D0D"/>
          <w:sz w:val="28"/>
          <w:szCs w:val="28"/>
        </w:rPr>
        <w:t>為</w:t>
      </w:r>
      <w:r w:rsidR="00EA3C30" w:rsidRPr="00A4234D">
        <w:rPr>
          <w:rFonts w:ascii="Times New Roman" w:eastAsia="標楷體" w:hAnsi="標楷體" w:hint="eastAsia"/>
          <w:color w:val="0D0D0D"/>
          <w:sz w:val="28"/>
          <w:szCs w:val="28"/>
        </w:rPr>
        <w:t>執行之</w:t>
      </w:r>
      <w:r w:rsidR="006D243A" w:rsidRPr="00A4234D">
        <w:rPr>
          <w:rFonts w:ascii="Times New Roman" w:eastAsia="標楷體" w:hAnsi="標楷體" w:hint="eastAsia"/>
          <w:color w:val="0D0D0D"/>
          <w:sz w:val="28"/>
          <w:szCs w:val="28"/>
        </w:rPr>
        <w:t>依據</w:t>
      </w:r>
      <w:r w:rsidRPr="00A4234D">
        <w:rPr>
          <w:rFonts w:ascii="Times New Roman" w:eastAsia="標楷體" w:hAnsi="標楷體"/>
          <w:color w:val="0D0D0D"/>
          <w:sz w:val="28"/>
          <w:szCs w:val="28"/>
        </w:rPr>
        <w:t>。</w:t>
      </w:r>
    </w:p>
    <w:p w:rsidR="00EA28F3" w:rsidRPr="00A4234D" w:rsidRDefault="00EA28F3" w:rsidP="00EF3A06">
      <w:pPr>
        <w:pStyle w:val="a3"/>
        <w:snapToGrid w:val="0"/>
        <w:spacing w:line="500" w:lineRule="exact"/>
        <w:ind w:left="560" w:hangingChars="200" w:hanging="560"/>
        <w:jc w:val="both"/>
        <w:rPr>
          <w:rFonts w:ascii="Times New Roman" w:eastAsia="標楷體" w:hAnsi="Times New Roman"/>
          <w:color w:val="0D0D0D"/>
          <w:sz w:val="28"/>
          <w:szCs w:val="28"/>
        </w:rPr>
      </w:pPr>
    </w:p>
    <w:p w:rsidR="001F4D03" w:rsidRPr="00A4234D" w:rsidRDefault="008D6BD4" w:rsidP="00D4452B">
      <w:pPr>
        <w:pStyle w:val="a3"/>
        <w:snapToGrid w:val="0"/>
        <w:spacing w:line="500" w:lineRule="exact"/>
        <w:ind w:left="560" w:hangingChars="200" w:hanging="560"/>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二</w:t>
      </w:r>
      <w:r w:rsidR="00546997" w:rsidRPr="00A4234D">
        <w:rPr>
          <w:rFonts w:ascii="Times New Roman" w:eastAsia="標楷體" w:hAnsi="標楷體" w:hint="eastAsia"/>
          <w:color w:val="0D0D0D"/>
          <w:sz w:val="28"/>
          <w:szCs w:val="28"/>
        </w:rPr>
        <w:t>、</w:t>
      </w:r>
      <w:r w:rsidR="00BD7503">
        <w:rPr>
          <w:rFonts w:ascii="Times New Roman" w:eastAsia="標楷體" w:hAnsi="標楷體" w:hint="eastAsia"/>
          <w:color w:val="0D0D0D"/>
          <w:sz w:val="28"/>
          <w:szCs w:val="28"/>
        </w:rPr>
        <w:t>證券商</w:t>
      </w:r>
      <w:r w:rsidR="00030F2A" w:rsidRPr="00A4234D">
        <w:rPr>
          <w:rFonts w:ascii="Times New Roman" w:eastAsia="標楷體" w:hAnsi="標楷體" w:hint="eastAsia"/>
          <w:color w:val="0D0D0D"/>
          <w:sz w:val="28"/>
          <w:szCs w:val="28"/>
        </w:rPr>
        <w:t>之風險控管機制或內部控制制度，應包括</w:t>
      </w:r>
      <w:r w:rsidR="0059017A" w:rsidRPr="00A4234D">
        <w:rPr>
          <w:rFonts w:ascii="Times New Roman" w:eastAsia="標楷體" w:hAnsi="標楷體" w:hint="eastAsia"/>
          <w:color w:val="0D0D0D"/>
          <w:sz w:val="28"/>
          <w:szCs w:val="28"/>
        </w:rPr>
        <w:t>針對</w:t>
      </w:r>
      <w:r w:rsidR="00030F2A" w:rsidRPr="00A4234D">
        <w:rPr>
          <w:rFonts w:ascii="Times New Roman" w:eastAsia="標楷體" w:hAnsi="標楷體" w:hint="eastAsia"/>
          <w:color w:val="0D0D0D"/>
          <w:sz w:val="28"/>
          <w:szCs w:val="28"/>
        </w:rPr>
        <w:t>洗錢</w:t>
      </w:r>
      <w:r w:rsidR="00C2222B" w:rsidRPr="00A4234D">
        <w:rPr>
          <w:rFonts w:ascii="Times New Roman" w:eastAsia="標楷體" w:hAnsi="標楷體" w:hint="eastAsia"/>
          <w:color w:val="0D0D0D"/>
          <w:sz w:val="28"/>
          <w:szCs w:val="28"/>
        </w:rPr>
        <w:t>及</w:t>
      </w:r>
      <w:r w:rsidR="00030F2A" w:rsidRPr="00A4234D">
        <w:rPr>
          <w:rFonts w:ascii="Times New Roman" w:eastAsia="標楷體" w:hAnsi="標楷體" w:hint="eastAsia"/>
          <w:color w:val="0D0D0D"/>
          <w:sz w:val="28"/>
          <w:szCs w:val="28"/>
        </w:rPr>
        <w:t>資恐風險進行辨識、評估、管理</w:t>
      </w:r>
      <w:r w:rsidR="00C2222B" w:rsidRPr="00A4234D">
        <w:rPr>
          <w:rFonts w:ascii="Times New Roman" w:eastAsia="標楷體" w:hAnsi="標楷體" w:hint="eastAsia"/>
          <w:color w:val="0D0D0D"/>
          <w:sz w:val="28"/>
          <w:szCs w:val="28"/>
        </w:rPr>
        <w:t>與</w:t>
      </w:r>
      <w:r w:rsidR="00030F2A" w:rsidRPr="00A4234D">
        <w:rPr>
          <w:rFonts w:ascii="Times New Roman" w:eastAsia="標楷體" w:hAnsi="標楷體" w:hint="eastAsia"/>
          <w:color w:val="0D0D0D"/>
          <w:sz w:val="28"/>
          <w:szCs w:val="28"/>
        </w:rPr>
        <w:t>相關書面政策、程序</w:t>
      </w:r>
      <w:r w:rsidR="00AF1F29" w:rsidRPr="00A4234D">
        <w:rPr>
          <w:rFonts w:ascii="Times New Roman" w:eastAsia="標楷體" w:hAnsi="標楷體" w:hint="eastAsia"/>
          <w:color w:val="0D0D0D"/>
          <w:sz w:val="28"/>
          <w:szCs w:val="28"/>
        </w:rPr>
        <w:t>之訂定</w:t>
      </w:r>
      <w:r w:rsidR="00AF1F29" w:rsidRPr="00A4234D">
        <w:rPr>
          <w:rFonts w:ascii="標楷體" w:eastAsia="標楷體" w:hAnsi="標楷體" w:hint="eastAsia"/>
          <w:color w:val="0D0D0D" w:themeColor="text1" w:themeTint="F2"/>
          <w:sz w:val="28"/>
          <w:szCs w:val="28"/>
        </w:rPr>
        <w:t>，</w:t>
      </w:r>
      <w:r w:rsidR="00C2222B" w:rsidRPr="00A4234D">
        <w:rPr>
          <w:rFonts w:ascii="Times New Roman" w:eastAsia="標楷體" w:hAnsi="標楷體" w:hint="eastAsia"/>
          <w:color w:val="0D0D0D" w:themeColor="text1" w:themeTint="F2"/>
          <w:sz w:val="28"/>
          <w:szCs w:val="28"/>
        </w:rPr>
        <w:t>以及</w:t>
      </w:r>
      <w:r w:rsidR="00AF1F29" w:rsidRPr="00A4234D">
        <w:rPr>
          <w:rFonts w:ascii="Times New Roman" w:eastAsia="標楷體" w:hAnsi="標楷體" w:hint="eastAsia"/>
          <w:color w:val="0D0D0D" w:themeColor="text1" w:themeTint="F2"/>
          <w:sz w:val="28"/>
          <w:szCs w:val="28"/>
        </w:rPr>
        <w:t>依據風險評估結果而訂定之</w:t>
      </w:r>
      <w:r w:rsidR="009C6FA8" w:rsidRPr="00A4234D">
        <w:rPr>
          <w:rFonts w:ascii="Times New Roman" w:eastAsia="標楷體" w:hAnsi="標楷體" w:hint="eastAsia"/>
          <w:color w:val="0D0D0D"/>
          <w:sz w:val="28"/>
          <w:szCs w:val="28"/>
        </w:rPr>
        <w:t>防制洗錢及打擊資恐</w:t>
      </w:r>
      <w:r w:rsidR="00AF1F29" w:rsidRPr="00A4234D">
        <w:rPr>
          <w:rFonts w:ascii="Times New Roman" w:eastAsia="標楷體" w:hAnsi="標楷體" w:hint="eastAsia"/>
          <w:color w:val="0D0D0D" w:themeColor="text1" w:themeTint="F2"/>
          <w:sz w:val="28"/>
          <w:szCs w:val="28"/>
        </w:rPr>
        <w:t>計畫</w:t>
      </w:r>
      <w:r w:rsidR="00030F2A" w:rsidRPr="00A4234D">
        <w:rPr>
          <w:rFonts w:ascii="Times New Roman" w:eastAsia="標楷體" w:hAnsi="標楷體" w:hint="eastAsia"/>
          <w:color w:val="0D0D0D" w:themeColor="text1" w:themeTint="F2"/>
          <w:sz w:val="28"/>
          <w:szCs w:val="28"/>
        </w:rPr>
        <w:t>，</w:t>
      </w:r>
      <w:r w:rsidR="00030F2A" w:rsidRPr="00A4234D">
        <w:rPr>
          <w:rFonts w:ascii="Times New Roman" w:eastAsia="標楷體" w:hAnsi="標楷體" w:hint="eastAsia"/>
          <w:color w:val="0D0D0D"/>
          <w:sz w:val="28"/>
          <w:szCs w:val="28"/>
        </w:rPr>
        <w:t>並定期檢討。</w:t>
      </w:r>
    </w:p>
    <w:p w:rsidR="00AF1F29" w:rsidRDefault="00D4452B" w:rsidP="00255CA4">
      <w:pPr>
        <w:pStyle w:val="a3"/>
        <w:snapToGrid w:val="0"/>
        <w:spacing w:line="500" w:lineRule="exact"/>
        <w:ind w:leftChars="233" w:left="559" w:firstLineChars="2" w:firstLine="6"/>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以風險為基礎之方法</w:t>
      </w:r>
      <w:r w:rsidRPr="00A4234D">
        <w:rPr>
          <w:rFonts w:ascii="Times New Roman" w:eastAsia="標楷體" w:hAnsi="標楷體" w:hint="eastAsia"/>
          <w:color w:val="0D0D0D"/>
          <w:sz w:val="28"/>
          <w:szCs w:val="28"/>
        </w:rPr>
        <w:t xml:space="preserve"> (risk-based approach) </w:t>
      </w:r>
      <w:r w:rsidRPr="00A4234D">
        <w:rPr>
          <w:rFonts w:ascii="Times New Roman" w:eastAsia="標楷體" w:hAnsi="標楷體"/>
          <w:color w:val="0D0D0D"/>
          <w:sz w:val="28"/>
          <w:szCs w:val="28"/>
        </w:rPr>
        <w:t>旨在</w:t>
      </w:r>
      <w:r w:rsidR="009D03CF" w:rsidRPr="00A4234D">
        <w:rPr>
          <w:rFonts w:ascii="Times New Roman" w:eastAsia="標楷體" w:hAnsi="標楷體" w:hint="eastAsia"/>
          <w:color w:val="0D0D0D"/>
          <w:sz w:val="28"/>
          <w:szCs w:val="28"/>
        </w:rPr>
        <w:t>協助</w:t>
      </w:r>
      <w:r w:rsidRPr="00A4234D">
        <w:rPr>
          <w:rFonts w:ascii="Times New Roman" w:eastAsia="標楷體" w:hAnsi="標楷體"/>
          <w:color w:val="0D0D0D"/>
          <w:sz w:val="28"/>
          <w:szCs w:val="28"/>
        </w:rPr>
        <w:t>發展與洗錢</w:t>
      </w:r>
      <w:r w:rsidRPr="00A4234D">
        <w:rPr>
          <w:rFonts w:ascii="Times New Roman" w:eastAsia="標楷體" w:hAnsi="標楷體" w:hint="eastAsia"/>
          <w:color w:val="0D0D0D"/>
          <w:sz w:val="28"/>
          <w:szCs w:val="28"/>
        </w:rPr>
        <w:t>及</w:t>
      </w:r>
      <w:r w:rsidRPr="00A4234D">
        <w:rPr>
          <w:rFonts w:ascii="Times New Roman" w:eastAsia="標楷體" w:hAnsi="標楷體"/>
          <w:color w:val="0D0D0D"/>
          <w:sz w:val="28"/>
          <w:szCs w:val="28"/>
        </w:rPr>
        <w:t>資恐風險相當之防制與抵減措施</w:t>
      </w:r>
      <w:r w:rsidR="00CB0FC2" w:rsidRPr="00A4234D">
        <w:rPr>
          <w:rFonts w:ascii="Times New Roman" w:eastAsia="標楷體" w:hAnsi="標楷體"/>
          <w:color w:val="0D0D0D"/>
          <w:sz w:val="28"/>
          <w:szCs w:val="28"/>
        </w:rPr>
        <w:t>，</w:t>
      </w:r>
      <w:r w:rsidR="00CB0FC2" w:rsidRPr="00A4234D">
        <w:rPr>
          <w:rFonts w:ascii="Times New Roman" w:eastAsia="標楷體" w:hAnsi="標楷體" w:hint="eastAsia"/>
          <w:color w:val="0D0D0D"/>
          <w:sz w:val="28"/>
          <w:szCs w:val="28"/>
        </w:rPr>
        <w:t>以利</w:t>
      </w:r>
      <w:r w:rsidR="00BD7503">
        <w:rPr>
          <w:rFonts w:ascii="Times New Roman" w:eastAsia="標楷體" w:hAnsi="標楷體"/>
          <w:color w:val="0D0D0D"/>
          <w:sz w:val="28"/>
          <w:szCs w:val="28"/>
        </w:rPr>
        <w:t>證券商</w:t>
      </w:r>
      <w:r w:rsidR="00CB0FC2" w:rsidRPr="00A4234D">
        <w:rPr>
          <w:rFonts w:ascii="Times New Roman" w:eastAsia="標楷體" w:hAnsi="標楷體" w:hint="eastAsia"/>
          <w:color w:val="0D0D0D"/>
          <w:sz w:val="28"/>
          <w:szCs w:val="28"/>
        </w:rPr>
        <w:t>決定其防制洗錢及打擊資恐</w:t>
      </w:r>
      <w:r w:rsidR="00CB0FC2" w:rsidRPr="00A4234D">
        <w:rPr>
          <w:rFonts w:ascii="Times New Roman" w:eastAsia="標楷體" w:hAnsi="標楷體"/>
          <w:color w:val="0D0D0D"/>
          <w:sz w:val="28"/>
          <w:szCs w:val="28"/>
        </w:rPr>
        <w:t>資源</w:t>
      </w:r>
      <w:r w:rsidR="00DD48B5" w:rsidRPr="00A4234D">
        <w:rPr>
          <w:rFonts w:ascii="Times New Roman" w:eastAsia="標楷體" w:hAnsi="標楷體" w:hint="eastAsia"/>
          <w:color w:val="0D0D0D"/>
          <w:sz w:val="28"/>
          <w:szCs w:val="28"/>
        </w:rPr>
        <w:t>之</w:t>
      </w:r>
      <w:r w:rsidRPr="00A4234D">
        <w:rPr>
          <w:rFonts w:ascii="Times New Roman" w:eastAsia="標楷體" w:hAnsi="標楷體"/>
          <w:color w:val="0D0D0D"/>
          <w:sz w:val="28"/>
          <w:szCs w:val="28"/>
        </w:rPr>
        <w:t>配置、</w:t>
      </w:r>
      <w:r w:rsidR="00AF1F29" w:rsidRPr="00A4234D">
        <w:rPr>
          <w:rFonts w:ascii="Times New Roman" w:eastAsia="標楷體" w:hAnsi="標楷體"/>
          <w:color w:val="0D0D0D" w:themeColor="text1" w:themeTint="F2"/>
          <w:sz w:val="28"/>
          <w:szCs w:val="28"/>
        </w:rPr>
        <w:t>建置</w:t>
      </w:r>
      <w:r w:rsidR="00AF1F29" w:rsidRPr="00A4234D">
        <w:rPr>
          <w:rFonts w:ascii="Times New Roman" w:eastAsia="標楷體" w:hAnsi="標楷體" w:hint="eastAsia"/>
          <w:color w:val="0D0D0D" w:themeColor="text1" w:themeTint="F2"/>
          <w:sz w:val="28"/>
          <w:szCs w:val="28"/>
        </w:rPr>
        <w:t>其</w:t>
      </w:r>
      <w:r w:rsidRPr="00A4234D">
        <w:rPr>
          <w:rFonts w:ascii="Times New Roman" w:eastAsia="標楷體" w:hAnsi="標楷體"/>
          <w:color w:val="0D0D0D" w:themeColor="text1" w:themeTint="F2"/>
          <w:sz w:val="28"/>
          <w:szCs w:val="28"/>
        </w:rPr>
        <w:t>內部控制</w:t>
      </w:r>
      <w:r w:rsidR="00CB0FC2" w:rsidRPr="00A4234D">
        <w:rPr>
          <w:rFonts w:ascii="Times New Roman" w:eastAsia="標楷體" w:hAnsi="標楷體" w:hint="eastAsia"/>
          <w:color w:val="0D0D0D" w:themeColor="text1" w:themeTint="F2"/>
          <w:sz w:val="28"/>
          <w:szCs w:val="28"/>
        </w:rPr>
        <w:t>制度</w:t>
      </w:r>
      <w:r w:rsidRPr="00A4234D">
        <w:rPr>
          <w:rFonts w:ascii="Times New Roman" w:eastAsia="標楷體" w:hAnsi="標楷體"/>
          <w:color w:val="0D0D0D" w:themeColor="text1" w:themeTint="F2"/>
          <w:sz w:val="28"/>
          <w:szCs w:val="28"/>
        </w:rPr>
        <w:t>、</w:t>
      </w:r>
      <w:r w:rsidR="00E6513C" w:rsidRPr="00A4234D">
        <w:rPr>
          <w:rFonts w:ascii="Times New Roman" w:eastAsia="標楷體" w:hAnsi="標楷體" w:hint="eastAsia"/>
          <w:color w:val="0D0D0D" w:themeColor="text1" w:themeTint="F2"/>
          <w:sz w:val="28"/>
          <w:szCs w:val="28"/>
        </w:rPr>
        <w:t>以</w:t>
      </w:r>
      <w:r w:rsidRPr="00A4234D">
        <w:rPr>
          <w:rFonts w:ascii="Times New Roman" w:eastAsia="標楷體" w:hAnsi="標楷體"/>
          <w:color w:val="0D0D0D" w:themeColor="text1" w:themeTint="F2"/>
          <w:sz w:val="28"/>
          <w:szCs w:val="28"/>
        </w:rPr>
        <w:t>及</w:t>
      </w:r>
      <w:r w:rsidR="00A50FD1" w:rsidRPr="00A4234D">
        <w:rPr>
          <w:rFonts w:ascii="Times New Roman" w:eastAsia="標楷體" w:hAnsi="標楷體" w:hint="eastAsia"/>
          <w:color w:val="0D0D0D" w:themeColor="text1" w:themeTint="F2"/>
          <w:sz w:val="28"/>
          <w:szCs w:val="28"/>
        </w:rPr>
        <w:t>訂定</w:t>
      </w:r>
      <w:r w:rsidR="00AF1F29" w:rsidRPr="00A4234D">
        <w:rPr>
          <w:rFonts w:ascii="Times New Roman" w:eastAsia="標楷體" w:hAnsi="標楷體" w:hint="eastAsia"/>
          <w:color w:val="0D0D0D" w:themeColor="text1" w:themeTint="F2"/>
          <w:sz w:val="28"/>
          <w:szCs w:val="28"/>
        </w:rPr>
        <w:t>和執行</w:t>
      </w:r>
      <w:r w:rsidR="009D03CF" w:rsidRPr="00A4234D">
        <w:rPr>
          <w:rFonts w:ascii="Times New Roman" w:eastAsia="標楷體" w:hAnsi="標楷體"/>
          <w:color w:val="0D0D0D" w:themeColor="text1" w:themeTint="F2"/>
          <w:sz w:val="28"/>
          <w:szCs w:val="28"/>
        </w:rPr>
        <w:t>防制</w:t>
      </w:r>
      <w:r w:rsidRPr="00A4234D">
        <w:rPr>
          <w:rFonts w:ascii="Times New Roman" w:eastAsia="標楷體" w:hAnsi="標楷體"/>
          <w:color w:val="0D0D0D" w:themeColor="text1" w:themeTint="F2"/>
          <w:sz w:val="28"/>
          <w:szCs w:val="28"/>
        </w:rPr>
        <w:t>洗錢</w:t>
      </w:r>
      <w:r w:rsidRPr="00A4234D">
        <w:rPr>
          <w:rFonts w:ascii="Times New Roman" w:eastAsia="標楷體" w:hAnsi="標楷體" w:hint="eastAsia"/>
          <w:color w:val="0D0D0D" w:themeColor="text1" w:themeTint="F2"/>
          <w:sz w:val="28"/>
          <w:szCs w:val="28"/>
        </w:rPr>
        <w:t>及</w:t>
      </w:r>
      <w:r w:rsidR="00C437AC" w:rsidRPr="00A4234D">
        <w:rPr>
          <w:rFonts w:ascii="Times New Roman" w:eastAsia="標楷體" w:hAnsi="標楷體" w:hint="eastAsia"/>
          <w:color w:val="0D0D0D" w:themeColor="text1" w:themeTint="F2"/>
          <w:sz w:val="28"/>
          <w:szCs w:val="28"/>
        </w:rPr>
        <w:t>打擊</w:t>
      </w:r>
      <w:r w:rsidRPr="00A4234D">
        <w:rPr>
          <w:rFonts w:ascii="Times New Roman" w:eastAsia="標楷體" w:hAnsi="標楷體"/>
          <w:color w:val="0D0D0D" w:themeColor="text1" w:themeTint="F2"/>
          <w:sz w:val="28"/>
          <w:szCs w:val="28"/>
        </w:rPr>
        <w:t>資恐</w:t>
      </w:r>
      <w:r w:rsidR="00FD1EA8" w:rsidRPr="00A4234D">
        <w:rPr>
          <w:rFonts w:ascii="Times New Roman" w:eastAsia="標楷體" w:hAnsi="標楷體" w:hint="eastAsia"/>
          <w:color w:val="0D0D0D" w:themeColor="text1" w:themeTint="F2"/>
          <w:sz w:val="28"/>
          <w:szCs w:val="28"/>
        </w:rPr>
        <w:t>計畫應有</w:t>
      </w:r>
      <w:r w:rsidR="009D03CF" w:rsidRPr="00A4234D">
        <w:rPr>
          <w:rFonts w:ascii="Times New Roman" w:eastAsia="標楷體" w:hAnsi="標楷體" w:hint="eastAsia"/>
          <w:color w:val="0D0D0D" w:themeColor="text1" w:themeTint="F2"/>
          <w:sz w:val="28"/>
          <w:szCs w:val="28"/>
        </w:rPr>
        <w:t>之</w:t>
      </w:r>
      <w:r w:rsidR="00A50FD1" w:rsidRPr="00A4234D">
        <w:rPr>
          <w:rFonts w:ascii="Times New Roman" w:eastAsia="標楷體" w:hAnsi="標楷體"/>
          <w:color w:val="0D0D0D" w:themeColor="text1" w:themeTint="F2"/>
          <w:sz w:val="28"/>
          <w:szCs w:val="28"/>
        </w:rPr>
        <w:t>政策</w:t>
      </w:r>
      <w:r w:rsidR="00A50FD1" w:rsidRPr="00A4234D">
        <w:rPr>
          <w:rFonts w:ascii="Times New Roman" w:eastAsia="標楷體" w:hAnsi="標楷體" w:hint="eastAsia"/>
          <w:color w:val="0D0D0D"/>
          <w:sz w:val="28"/>
          <w:szCs w:val="28"/>
        </w:rPr>
        <w:t>、</w:t>
      </w:r>
      <w:r w:rsidRPr="00A4234D">
        <w:rPr>
          <w:rFonts w:ascii="Times New Roman" w:eastAsia="標楷體" w:hAnsi="標楷體"/>
          <w:color w:val="0D0D0D"/>
          <w:sz w:val="28"/>
          <w:szCs w:val="28"/>
        </w:rPr>
        <w:t>程序</w:t>
      </w:r>
      <w:r w:rsidR="0035273C" w:rsidRPr="00A4234D">
        <w:rPr>
          <w:rFonts w:ascii="Times New Roman" w:eastAsia="標楷體" w:hAnsi="標楷體" w:hint="eastAsia"/>
          <w:color w:val="0D0D0D"/>
          <w:sz w:val="28"/>
          <w:szCs w:val="28"/>
        </w:rPr>
        <w:t>及控管措施</w:t>
      </w:r>
      <w:r w:rsidRPr="00A4234D">
        <w:rPr>
          <w:rFonts w:ascii="Times New Roman" w:eastAsia="標楷體" w:hAnsi="標楷體"/>
          <w:color w:val="0D0D0D"/>
          <w:sz w:val="28"/>
          <w:szCs w:val="28"/>
        </w:rPr>
        <w:t>。</w:t>
      </w:r>
    </w:p>
    <w:p w:rsidR="00255CA4" w:rsidRPr="00A4234D" w:rsidRDefault="00255CA4" w:rsidP="00255CA4">
      <w:pPr>
        <w:pStyle w:val="a3"/>
        <w:snapToGrid w:val="0"/>
        <w:spacing w:line="500" w:lineRule="exact"/>
        <w:ind w:leftChars="233" w:left="559" w:firstLineChars="2" w:firstLine="6"/>
        <w:jc w:val="both"/>
        <w:rPr>
          <w:rFonts w:ascii="Times New Roman" w:eastAsia="標楷體" w:hAnsi="標楷體"/>
          <w:color w:val="0D0D0D"/>
          <w:sz w:val="28"/>
          <w:szCs w:val="28"/>
        </w:rPr>
      </w:pPr>
      <w:r w:rsidRPr="00255CA4">
        <w:rPr>
          <w:rFonts w:ascii="Times New Roman" w:eastAsia="標楷體" w:hAnsi="標楷體" w:hint="eastAsia"/>
          <w:color w:val="0D0D0D"/>
          <w:sz w:val="28"/>
          <w:szCs w:val="28"/>
        </w:rPr>
        <w:t>證券業務具多樣性，不同業務伴隨之洗錢及資恐風險亦有所不同。證券商於評估與抵減其洗錢及資恐曝險時，應將業務差異性納入考量。</w:t>
      </w:r>
    </w:p>
    <w:p w:rsidR="00D4452B" w:rsidRPr="00A4234D" w:rsidDel="00AF1F29" w:rsidRDefault="003152E9" w:rsidP="00893042">
      <w:pPr>
        <w:pStyle w:val="a3"/>
        <w:snapToGrid w:val="0"/>
        <w:spacing w:line="500" w:lineRule="exact"/>
        <w:ind w:leftChars="233" w:left="559" w:firstLineChars="2" w:firstLine="6"/>
        <w:jc w:val="both"/>
        <w:rPr>
          <w:rFonts w:ascii="Times New Roman" w:eastAsia="標楷體" w:hAnsi="標楷體"/>
          <w:color w:val="0D0D0D"/>
          <w:sz w:val="28"/>
          <w:szCs w:val="28"/>
        </w:rPr>
      </w:pPr>
      <w:r w:rsidRPr="00A4234D" w:rsidDel="00ED62D2">
        <w:rPr>
          <w:rFonts w:ascii="Times New Roman" w:eastAsia="標楷體" w:hAnsi="標楷體" w:hint="eastAsia"/>
          <w:color w:val="0D0D0D" w:themeColor="text1" w:themeTint="F2"/>
          <w:sz w:val="28"/>
          <w:szCs w:val="28"/>
        </w:rPr>
        <w:t>本</w:t>
      </w:r>
      <w:r w:rsidRPr="00A4234D">
        <w:rPr>
          <w:rFonts w:ascii="Times New Roman" w:eastAsia="標楷體" w:hAnsi="標楷體" w:hint="eastAsia"/>
          <w:color w:val="0D0D0D" w:themeColor="text1" w:themeTint="F2"/>
          <w:sz w:val="28"/>
          <w:szCs w:val="28"/>
        </w:rPr>
        <w:t>指引</w:t>
      </w:r>
      <w:r w:rsidRPr="00A4234D" w:rsidDel="00ED62D2">
        <w:rPr>
          <w:rFonts w:ascii="Times New Roman" w:eastAsia="標楷體" w:hAnsi="標楷體" w:hint="eastAsia"/>
          <w:color w:val="0D0D0D" w:themeColor="text1" w:themeTint="F2"/>
          <w:sz w:val="28"/>
          <w:szCs w:val="28"/>
        </w:rPr>
        <w:t>所舉例之各項說明與附錄並非強制性規範</w:t>
      </w:r>
      <w:r w:rsidRPr="00A4234D">
        <w:rPr>
          <w:rFonts w:ascii="Times New Roman" w:eastAsia="標楷體" w:hAnsi="標楷體" w:hint="eastAsia"/>
          <w:color w:val="0D0D0D" w:themeColor="text1" w:themeTint="F2"/>
          <w:sz w:val="28"/>
          <w:szCs w:val="28"/>
        </w:rPr>
        <w:t>，</w:t>
      </w:r>
      <w:r w:rsidR="00BD7503">
        <w:rPr>
          <w:rFonts w:ascii="Times New Roman" w:eastAsia="標楷體" w:hAnsi="標楷體"/>
          <w:color w:val="0D0D0D"/>
          <w:sz w:val="28"/>
          <w:szCs w:val="28"/>
        </w:rPr>
        <w:t>證券商</w:t>
      </w:r>
      <w:r w:rsidR="00D4452B" w:rsidRPr="00A4234D" w:rsidDel="00AF1F29">
        <w:rPr>
          <w:rFonts w:ascii="Times New Roman" w:eastAsia="標楷體" w:hAnsi="標楷體"/>
          <w:color w:val="0D0D0D"/>
          <w:sz w:val="28"/>
          <w:szCs w:val="28"/>
        </w:rPr>
        <w:t>之風險評估</w:t>
      </w:r>
      <w:r w:rsidRPr="00A4234D">
        <w:rPr>
          <w:rFonts w:ascii="Times New Roman" w:eastAsia="標楷體" w:hAnsi="標楷體" w:hint="eastAsia"/>
          <w:color w:val="0D0D0D"/>
          <w:sz w:val="28"/>
          <w:szCs w:val="28"/>
        </w:rPr>
        <w:t>機制</w:t>
      </w:r>
      <w:r w:rsidR="00D4452B" w:rsidRPr="00A4234D" w:rsidDel="00AF1F29">
        <w:rPr>
          <w:rFonts w:ascii="Times New Roman" w:eastAsia="標楷體" w:hAnsi="標楷體"/>
          <w:color w:val="0D0D0D"/>
          <w:sz w:val="28"/>
          <w:szCs w:val="28"/>
        </w:rPr>
        <w:t>應與</w:t>
      </w:r>
      <w:r w:rsidRPr="00A4234D">
        <w:rPr>
          <w:rFonts w:ascii="Times New Roman" w:eastAsia="標楷體" w:hAnsi="標楷體" w:hint="eastAsia"/>
          <w:color w:val="0D0D0D"/>
          <w:sz w:val="28"/>
          <w:szCs w:val="28"/>
        </w:rPr>
        <w:t>其</w:t>
      </w:r>
      <w:r w:rsidR="00D4452B" w:rsidRPr="00A4234D" w:rsidDel="00AF1F29">
        <w:rPr>
          <w:rFonts w:ascii="Times New Roman" w:eastAsia="標楷體" w:hAnsi="標楷體"/>
          <w:color w:val="0D0D0D"/>
          <w:sz w:val="28"/>
          <w:szCs w:val="28"/>
        </w:rPr>
        <w:t>業務性質</w:t>
      </w:r>
      <w:r w:rsidR="00F637AA" w:rsidRPr="00A4234D" w:rsidDel="00AF1F29">
        <w:rPr>
          <w:rFonts w:ascii="Times New Roman" w:eastAsia="標楷體" w:hAnsi="標楷體" w:hint="eastAsia"/>
          <w:color w:val="0D0D0D"/>
          <w:sz w:val="28"/>
          <w:szCs w:val="28"/>
        </w:rPr>
        <w:t>及</w:t>
      </w:r>
      <w:r w:rsidR="00D4452B" w:rsidRPr="00A4234D" w:rsidDel="00AF1F29">
        <w:rPr>
          <w:rFonts w:ascii="Times New Roman" w:eastAsia="標楷體" w:hAnsi="標楷體"/>
          <w:color w:val="0D0D0D"/>
          <w:sz w:val="28"/>
          <w:szCs w:val="28"/>
        </w:rPr>
        <w:t>規模相當。對較小型或業務較單純之</w:t>
      </w:r>
      <w:r w:rsidR="00BD7503">
        <w:rPr>
          <w:rFonts w:ascii="Times New Roman" w:eastAsia="標楷體" w:hAnsi="標楷體"/>
          <w:color w:val="0D0D0D"/>
          <w:sz w:val="28"/>
          <w:szCs w:val="28"/>
        </w:rPr>
        <w:t>證券商</w:t>
      </w:r>
      <w:r w:rsidR="00D4452B" w:rsidRPr="00A4234D" w:rsidDel="00AF1F29">
        <w:rPr>
          <w:rFonts w:ascii="Times New Roman" w:eastAsia="標楷體" w:hAnsi="標楷體"/>
          <w:color w:val="0D0D0D"/>
          <w:sz w:val="28"/>
          <w:szCs w:val="28"/>
        </w:rPr>
        <w:t>，簡單之風險評估即足夠</w:t>
      </w:r>
      <w:r w:rsidR="00FE0D3C" w:rsidRPr="00A4234D">
        <w:rPr>
          <w:rFonts w:ascii="Times New Roman" w:eastAsia="標楷體" w:hAnsi="標楷體" w:hint="eastAsia"/>
          <w:color w:val="0D0D0D"/>
          <w:sz w:val="28"/>
          <w:szCs w:val="28"/>
        </w:rPr>
        <w:t>；</w:t>
      </w:r>
      <w:r w:rsidR="00D4452B" w:rsidRPr="00A4234D" w:rsidDel="00AF1F29">
        <w:rPr>
          <w:rFonts w:ascii="Times New Roman" w:eastAsia="標楷體" w:hAnsi="標楷體"/>
          <w:color w:val="0D0D0D"/>
          <w:sz w:val="28"/>
          <w:szCs w:val="28"/>
        </w:rPr>
        <w:t>惟對於產品與服務較複雜之</w:t>
      </w:r>
      <w:r w:rsidR="00BD7503">
        <w:rPr>
          <w:rFonts w:ascii="Times New Roman" w:eastAsia="標楷體" w:hAnsi="標楷體"/>
          <w:color w:val="0D0D0D"/>
          <w:sz w:val="28"/>
          <w:szCs w:val="28"/>
        </w:rPr>
        <w:t>證券商</w:t>
      </w:r>
      <w:r w:rsidR="00D4452B" w:rsidRPr="00A4234D" w:rsidDel="00AF1F29">
        <w:rPr>
          <w:rFonts w:ascii="Times New Roman" w:eastAsia="標楷體" w:hAnsi="標楷體"/>
          <w:color w:val="0D0D0D"/>
          <w:sz w:val="28"/>
          <w:szCs w:val="28"/>
        </w:rPr>
        <w:t>、有多家分支機構提供廣泛多樣之產品、</w:t>
      </w:r>
      <w:r w:rsidR="00F637AA" w:rsidRPr="00A4234D" w:rsidDel="00AF1F29">
        <w:rPr>
          <w:rFonts w:ascii="Times New Roman" w:eastAsia="標楷體" w:hAnsi="標楷體" w:hint="eastAsia"/>
          <w:color w:val="0D0D0D"/>
          <w:sz w:val="28"/>
          <w:szCs w:val="28"/>
        </w:rPr>
        <w:t>或</w:t>
      </w:r>
      <w:r w:rsidR="00D4452B" w:rsidRPr="00A4234D" w:rsidDel="00AF1F29">
        <w:rPr>
          <w:rFonts w:ascii="Times New Roman" w:eastAsia="標楷體" w:hAnsi="標楷體"/>
          <w:color w:val="0D0D0D"/>
          <w:sz w:val="28"/>
          <w:szCs w:val="28"/>
        </w:rPr>
        <w:t>其客戶群較多元</w:t>
      </w:r>
      <w:r w:rsidR="008451A0" w:rsidRPr="00A4234D" w:rsidDel="00AF1F29">
        <w:rPr>
          <w:rFonts w:ascii="Times New Roman" w:eastAsia="標楷體" w:hAnsi="標楷體" w:hint="eastAsia"/>
          <w:color w:val="0D0D0D"/>
          <w:sz w:val="28"/>
          <w:szCs w:val="28"/>
        </w:rPr>
        <w:t>者</w:t>
      </w:r>
      <w:r w:rsidR="00D4452B" w:rsidRPr="00A4234D" w:rsidDel="00AF1F29">
        <w:rPr>
          <w:rFonts w:ascii="Times New Roman" w:eastAsia="標楷體" w:hAnsi="標楷體"/>
          <w:color w:val="0D0D0D"/>
          <w:sz w:val="28"/>
          <w:szCs w:val="28"/>
        </w:rPr>
        <w:t>，則需進行較高度的風險評估程序。</w:t>
      </w:r>
    </w:p>
    <w:p w:rsidR="00AB5081" w:rsidRPr="00A4234D" w:rsidRDefault="00AB5081" w:rsidP="000D745C">
      <w:pPr>
        <w:pStyle w:val="a3"/>
        <w:snapToGrid w:val="0"/>
        <w:spacing w:line="500" w:lineRule="exact"/>
        <w:jc w:val="both"/>
        <w:rPr>
          <w:rFonts w:ascii="Times New Roman" w:eastAsia="標楷體" w:hAnsi="標楷體"/>
          <w:color w:val="0D0D0D"/>
          <w:sz w:val="28"/>
          <w:szCs w:val="28"/>
        </w:rPr>
      </w:pPr>
    </w:p>
    <w:p w:rsidR="007934B5" w:rsidRPr="00A4234D" w:rsidRDefault="00AB5081" w:rsidP="00546997">
      <w:pPr>
        <w:pStyle w:val="a3"/>
        <w:snapToGrid w:val="0"/>
        <w:spacing w:line="500" w:lineRule="exact"/>
        <w:ind w:left="560" w:hangingChars="200" w:hanging="560"/>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三</w:t>
      </w:r>
      <w:r w:rsidR="00546997" w:rsidRPr="00A4234D">
        <w:rPr>
          <w:rFonts w:ascii="Times New Roman" w:eastAsia="標楷體" w:hAnsi="標楷體" w:hint="eastAsia"/>
          <w:color w:val="0D0D0D"/>
          <w:sz w:val="28"/>
          <w:szCs w:val="28"/>
        </w:rPr>
        <w:t>、</w:t>
      </w:r>
      <w:r w:rsidR="00BD7503">
        <w:rPr>
          <w:rFonts w:ascii="Times New Roman" w:eastAsia="標楷體" w:hAnsi="標楷體" w:hint="eastAsia"/>
          <w:color w:val="0D0D0D"/>
          <w:sz w:val="28"/>
          <w:szCs w:val="28"/>
        </w:rPr>
        <w:t>證券商</w:t>
      </w:r>
      <w:r w:rsidR="000D745C" w:rsidRPr="00A4234D">
        <w:rPr>
          <w:rFonts w:ascii="Times New Roman" w:eastAsia="標楷體" w:hAnsi="標楷體" w:hint="eastAsia"/>
          <w:color w:val="0D0D0D"/>
          <w:sz w:val="28"/>
          <w:szCs w:val="28"/>
        </w:rPr>
        <w:t>應</w:t>
      </w:r>
      <w:r w:rsidR="000D745C" w:rsidRPr="00A4234D">
        <w:rPr>
          <w:rFonts w:ascii="Times New Roman" w:eastAsia="標楷體" w:hAnsi="標楷體"/>
          <w:color w:val="0D0D0D"/>
          <w:sz w:val="28"/>
          <w:szCs w:val="28"/>
        </w:rPr>
        <w:t>採取合宜措施以識</w:t>
      </w:r>
      <w:r w:rsidR="000D745C" w:rsidRPr="00A4234D">
        <w:rPr>
          <w:rFonts w:ascii="Times New Roman" w:eastAsia="標楷體" w:hAnsi="標楷體" w:hint="eastAsia"/>
          <w:color w:val="0D0D0D"/>
          <w:sz w:val="28"/>
          <w:szCs w:val="28"/>
        </w:rPr>
        <w:t>別、</w:t>
      </w:r>
      <w:r w:rsidR="000D745C" w:rsidRPr="00A4234D">
        <w:rPr>
          <w:rFonts w:ascii="Times New Roman" w:eastAsia="標楷體" w:hAnsi="標楷體"/>
          <w:color w:val="0D0D0D"/>
          <w:sz w:val="28"/>
          <w:szCs w:val="28"/>
        </w:rPr>
        <w:t>評估</w:t>
      </w:r>
      <w:r w:rsidR="000D745C" w:rsidRPr="00A4234D">
        <w:rPr>
          <w:rFonts w:ascii="Times New Roman" w:eastAsia="標楷體" w:hAnsi="標楷體" w:hint="eastAsia"/>
          <w:color w:val="0D0D0D"/>
          <w:sz w:val="28"/>
          <w:szCs w:val="28"/>
        </w:rPr>
        <w:t>其洗錢及資恐風險，並依據所辨識之風險訂定具體的風險評估項目，以進一步管控、降低或預防該風險。</w:t>
      </w:r>
    </w:p>
    <w:p w:rsidR="000D745C" w:rsidRPr="00A4234D" w:rsidRDefault="000D745C" w:rsidP="006C6B5D">
      <w:pPr>
        <w:pStyle w:val="a3"/>
        <w:snapToGrid w:val="0"/>
        <w:spacing w:line="500" w:lineRule="exact"/>
        <w:ind w:left="566"/>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lastRenderedPageBreak/>
        <w:t>具體的風險評估項目應至少包括地域、客戶與產品三類指標，並應進一步分析各風險項目</w:t>
      </w:r>
      <w:r w:rsidR="00B97C3C" w:rsidRPr="00A4234D">
        <w:rPr>
          <w:rFonts w:ascii="Times New Roman" w:eastAsia="標楷體" w:hAnsi="標楷體" w:hint="eastAsia"/>
          <w:color w:val="0D0D0D"/>
          <w:sz w:val="28"/>
          <w:szCs w:val="28"/>
        </w:rPr>
        <w:t>，</w:t>
      </w:r>
      <w:r w:rsidRPr="00A4234D">
        <w:rPr>
          <w:rFonts w:ascii="Times New Roman" w:eastAsia="標楷體" w:hAnsi="標楷體" w:hint="eastAsia"/>
          <w:color w:val="0D0D0D"/>
          <w:sz w:val="28"/>
          <w:szCs w:val="28"/>
        </w:rPr>
        <w:t>以訂定細部的風險因素。</w:t>
      </w:r>
    </w:p>
    <w:p w:rsidR="007934B5" w:rsidRPr="00A4234D" w:rsidRDefault="006C6B5D" w:rsidP="00F559AC">
      <w:pPr>
        <w:pStyle w:val="a3"/>
        <w:numPr>
          <w:ilvl w:val="0"/>
          <w:numId w:val="19"/>
        </w:numPr>
        <w:snapToGrid w:val="0"/>
        <w:spacing w:line="500" w:lineRule="exact"/>
        <w:ind w:hanging="73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地域風險</w:t>
      </w:r>
      <w:r w:rsidR="00D5024E" w:rsidRPr="00A4234D">
        <w:rPr>
          <w:rFonts w:ascii="Times New Roman" w:eastAsia="標楷體" w:hAnsi="標楷體" w:hint="eastAsia"/>
          <w:color w:val="0D0D0D"/>
          <w:sz w:val="28"/>
          <w:szCs w:val="28"/>
        </w:rPr>
        <w:t>：</w:t>
      </w:r>
    </w:p>
    <w:p w:rsidR="00D5024E" w:rsidRPr="00A4234D" w:rsidRDefault="00BD7503" w:rsidP="00F559AC">
      <w:pPr>
        <w:pStyle w:val="a3"/>
        <w:numPr>
          <w:ilvl w:val="0"/>
          <w:numId w:val="4"/>
        </w:numPr>
        <w:tabs>
          <w:tab w:val="clear" w:pos="1780"/>
        </w:tabs>
        <w:snapToGrid w:val="0"/>
        <w:spacing w:line="500" w:lineRule="exact"/>
        <w:ind w:left="1148" w:hanging="504"/>
        <w:jc w:val="both"/>
        <w:rPr>
          <w:rFonts w:ascii="Times New Roman" w:eastAsia="標楷體" w:hAnsi="Times New Roman"/>
          <w:color w:val="0D0D0D"/>
          <w:sz w:val="28"/>
          <w:szCs w:val="28"/>
        </w:rPr>
      </w:pPr>
      <w:r>
        <w:rPr>
          <w:rFonts w:ascii="Times New Roman" w:eastAsia="標楷體" w:hAnsi="標楷體" w:hint="eastAsia"/>
          <w:color w:val="0D0D0D"/>
          <w:sz w:val="28"/>
          <w:szCs w:val="28"/>
        </w:rPr>
        <w:t>證券商</w:t>
      </w:r>
      <w:r w:rsidR="00D5024E" w:rsidRPr="00A4234D">
        <w:rPr>
          <w:rFonts w:ascii="Times New Roman" w:eastAsia="標楷體" w:hAnsi="標楷體" w:hint="eastAsia"/>
          <w:color w:val="0D0D0D"/>
          <w:sz w:val="28"/>
          <w:szCs w:val="28"/>
        </w:rPr>
        <w:t>應識別具較高洗錢及資恐風險的區域。</w:t>
      </w:r>
    </w:p>
    <w:p w:rsidR="00D879AA" w:rsidRPr="00A4234D" w:rsidRDefault="00D879AA" w:rsidP="00F559AC">
      <w:pPr>
        <w:pStyle w:val="a3"/>
        <w:numPr>
          <w:ilvl w:val="0"/>
          <w:numId w:val="4"/>
        </w:numPr>
        <w:tabs>
          <w:tab w:val="clear" w:pos="1780"/>
        </w:tabs>
        <w:snapToGrid w:val="0"/>
        <w:spacing w:line="500" w:lineRule="exact"/>
        <w:ind w:left="1148" w:hanging="504"/>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於訂定高洗錢及資恐風險之區域名單時，</w:t>
      </w:r>
      <w:r w:rsidR="00BD7503">
        <w:rPr>
          <w:rFonts w:ascii="Times New Roman" w:eastAsia="標楷體" w:hAnsi="標楷體" w:hint="eastAsia"/>
          <w:color w:val="0D0D0D"/>
          <w:sz w:val="28"/>
          <w:szCs w:val="28"/>
        </w:rPr>
        <w:t>證券商</w:t>
      </w:r>
      <w:r w:rsidRPr="00A4234D">
        <w:rPr>
          <w:rFonts w:ascii="Times New Roman" w:eastAsia="標楷體" w:hAnsi="標楷體" w:hint="eastAsia"/>
          <w:color w:val="0D0D0D"/>
          <w:sz w:val="28"/>
          <w:szCs w:val="28"/>
        </w:rPr>
        <w:t>得依據其各分支機構的實務經驗或參照</w:t>
      </w:r>
      <w:r w:rsidR="007F6B67" w:rsidRPr="00A4234D">
        <w:rPr>
          <w:rFonts w:ascii="Times New Roman" w:eastAsia="標楷體" w:hAnsi="標楷體" w:hint="eastAsia"/>
          <w:color w:val="0D0D0D"/>
          <w:sz w:val="28"/>
          <w:szCs w:val="28"/>
        </w:rPr>
        <w:t>附錄</w:t>
      </w:r>
      <w:r w:rsidRPr="00A4234D">
        <w:rPr>
          <w:rFonts w:ascii="Times New Roman" w:eastAsia="標楷體" w:hAnsi="標楷體" w:hint="eastAsia"/>
          <w:color w:val="0D0D0D"/>
          <w:sz w:val="28"/>
          <w:szCs w:val="28"/>
        </w:rPr>
        <w:t>，</w:t>
      </w:r>
      <w:r w:rsidR="00EA3A19" w:rsidRPr="00A4234D">
        <w:rPr>
          <w:rFonts w:ascii="Times New Roman" w:eastAsia="標楷體" w:hAnsi="標楷體" w:hint="eastAsia"/>
          <w:color w:val="0D0D0D"/>
          <w:sz w:val="28"/>
          <w:szCs w:val="28"/>
        </w:rPr>
        <w:t>並</w:t>
      </w:r>
      <w:r w:rsidRPr="00A4234D">
        <w:rPr>
          <w:rFonts w:ascii="Times New Roman" w:eastAsia="標楷體" w:hAnsi="標楷體" w:hint="eastAsia"/>
          <w:color w:val="0D0D0D"/>
          <w:sz w:val="28"/>
          <w:szCs w:val="28"/>
        </w:rPr>
        <w:t>考量個別需求</w:t>
      </w:r>
      <w:r w:rsidR="00EA3A19" w:rsidRPr="00A4234D">
        <w:rPr>
          <w:rFonts w:ascii="Times New Roman" w:eastAsia="標楷體" w:hAnsi="標楷體" w:hint="eastAsia"/>
          <w:color w:val="0D0D0D"/>
          <w:sz w:val="28"/>
          <w:szCs w:val="28"/>
        </w:rPr>
        <w:t>，</w:t>
      </w:r>
      <w:r w:rsidRPr="00A4234D">
        <w:rPr>
          <w:rFonts w:ascii="Times New Roman" w:eastAsia="標楷體" w:hAnsi="標楷體" w:hint="eastAsia"/>
          <w:color w:val="0D0D0D"/>
          <w:sz w:val="28"/>
          <w:szCs w:val="28"/>
        </w:rPr>
        <w:t>以選擇適用之參考依據。</w:t>
      </w:r>
    </w:p>
    <w:p w:rsidR="007934B5" w:rsidRPr="00A4234D" w:rsidRDefault="006C6B5D" w:rsidP="00F559AC">
      <w:pPr>
        <w:pStyle w:val="a3"/>
        <w:numPr>
          <w:ilvl w:val="0"/>
          <w:numId w:val="19"/>
        </w:numPr>
        <w:snapToGrid w:val="0"/>
        <w:spacing w:line="500" w:lineRule="exact"/>
        <w:ind w:hanging="762"/>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客戶風險</w:t>
      </w:r>
      <w:r w:rsidR="003970C7" w:rsidRPr="00A4234D">
        <w:rPr>
          <w:rFonts w:ascii="Times New Roman" w:eastAsia="標楷體" w:hAnsi="標楷體" w:hint="eastAsia"/>
          <w:color w:val="0D0D0D"/>
          <w:sz w:val="28"/>
          <w:szCs w:val="28"/>
        </w:rPr>
        <w:t>：</w:t>
      </w:r>
    </w:p>
    <w:p w:rsidR="00B43AF4" w:rsidRPr="00A4234D" w:rsidRDefault="00BD7503" w:rsidP="00F559AC">
      <w:pPr>
        <w:pStyle w:val="a3"/>
        <w:numPr>
          <w:ilvl w:val="0"/>
          <w:numId w:val="28"/>
        </w:numPr>
        <w:tabs>
          <w:tab w:val="clear" w:pos="1780"/>
          <w:tab w:val="num" w:pos="1134"/>
        </w:tabs>
        <w:snapToGrid w:val="0"/>
        <w:spacing w:line="500" w:lineRule="exact"/>
        <w:ind w:left="1134" w:hanging="518"/>
        <w:jc w:val="both"/>
        <w:rPr>
          <w:rFonts w:ascii="Times New Roman" w:eastAsia="標楷體" w:hAnsi="標楷體"/>
          <w:color w:val="0D0D0D"/>
          <w:sz w:val="28"/>
          <w:szCs w:val="28"/>
        </w:rPr>
      </w:pPr>
      <w:r>
        <w:rPr>
          <w:rFonts w:ascii="Times New Roman" w:eastAsia="標楷體" w:hAnsi="標楷體" w:hint="eastAsia"/>
          <w:color w:val="0D0D0D"/>
          <w:sz w:val="28"/>
          <w:szCs w:val="28"/>
        </w:rPr>
        <w:t>證券商</w:t>
      </w:r>
      <w:r w:rsidR="007B518C" w:rsidRPr="00A4234D">
        <w:rPr>
          <w:rFonts w:ascii="Times New Roman" w:eastAsia="標楷體" w:hAnsi="標楷體" w:hint="eastAsia"/>
          <w:color w:val="0D0D0D"/>
          <w:sz w:val="28"/>
          <w:szCs w:val="28"/>
        </w:rPr>
        <w:t>應綜合考量</w:t>
      </w:r>
      <w:r w:rsidR="0079257B" w:rsidRPr="00A4234D">
        <w:rPr>
          <w:rFonts w:ascii="Times New Roman" w:eastAsia="標楷體" w:hAnsi="標楷體" w:hint="eastAsia"/>
          <w:color w:val="0D0D0D"/>
          <w:sz w:val="28"/>
          <w:szCs w:val="28"/>
        </w:rPr>
        <w:t>個別</w:t>
      </w:r>
      <w:r w:rsidR="007B518C" w:rsidRPr="00A4234D">
        <w:rPr>
          <w:rFonts w:ascii="Times New Roman" w:eastAsia="標楷體" w:hAnsi="標楷體" w:hint="eastAsia"/>
          <w:color w:val="0D0D0D"/>
          <w:sz w:val="28"/>
          <w:szCs w:val="28"/>
        </w:rPr>
        <w:t>客戶背景、職業與社會經濟活動特性、地域</w:t>
      </w:r>
      <w:r w:rsidR="00BB625F" w:rsidRPr="00A4234D">
        <w:rPr>
          <w:rFonts w:ascii="Times New Roman" w:eastAsia="標楷體" w:hAnsi="標楷體" w:hint="eastAsia"/>
          <w:color w:val="0D0D0D"/>
          <w:sz w:val="28"/>
          <w:szCs w:val="28"/>
        </w:rPr>
        <w:t>、</w:t>
      </w:r>
      <w:r w:rsidR="007B518C" w:rsidRPr="00A4234D">
        <w:rPr>
          <w:rFonts w:ascii="Times New Roman" w:eastAsia="標楷體" w:hAnsi="標楷體" w:hint="eastAsia"/>
          <w:color w:val="0D0D0D"/>
          <w:sz w:val="28"/>
          <w:szCs w:val="28"/>
        </w:rPr>
        <w:t>以及非自然人客戶</w:t>
      </w:r>
      <w:r w:rsidR="00EA3A19" w:rsidRPr="00A4234D">
        <w:rPr>
          <w:rFonts w:ascii="Times New Roman" w:eastAsia="標楷體" w:hAnsi="標楷體" w:hint="eastAsia"/>
          <w:color w:val="0D0D0D"/>
          <w:sz w:val="28"/>
          <w:szCs w:val="28"/>
        </w:rPr>
        <w:t>之</w:t>
      </w:r>
      <w:r w:rsidR="007B518C" w:rsidRPr="00A4234D">
        <w:rPr>
          <w:rFonts w:ascii="Times New Roman" w:eastAsia="標楷體" w:hAnsi="標楷體" w:hint="eastAsia"/>
          <w:color w:val="0D0D0D"/>
          <w:sz w:val="28"/>
          <w:szCs w:val="28"/>
        </w:rPr>
        <w:t>組織型態與架構等，以識別</w:t>
      </w:r>
      <w:r w:rsidR="0079257B" w:rsidRPr="00A4234D">
        <w:rPr>
          <w:rFonts w:ascii="Times New Roman" w:eastAsia="標楷體" w:hAnsi="標楷體" w:hint="eastAsia"/>
          <w:color w:val="0D0D0D"/>
          <w:sz w:val="28"/>
          <w:szCs w:val="28"/>
        </w:rPr>
        <w:t>該</w:t>
      </w:r>
      <w:r w:rsidR="007B518C" w:rsidRPr="00A4234D">
        <w:rPr>
          <w:rFonts w:ascii="Times New Roman" w:eastAsia="標楷體" w:hAnsi="標楷體" w:hint="eastAsia"/>
          <w:color w:val="0D0D0D"/>
          <w:sz w:val="28"/>
          <w:szCs w:val="28"/>
        </w:rPr>
        <w:t>客戶洗錢及資恐風險。</w:t>
      </w:r>
    </w:p>
    <w:p w:rsidR="007B518C" w:rsidRPr="00A4234D" w:rsidRDefault="007B518C" w:rsidP="00F559AC">
      <w:pPr>
        <w:pStyle w:val="a3"/>
        <w:numPr>
          <w:ilvl w:val="0"/>
          <w:numId w:val="28"/>
        </w:numPr>
        <w:tabs>
          <w:tab w:val="clear" w:pos="1780"/>
          <w:tab w:val="num" w:pos="1134"/>
        </w:tabs>
        <w:snapToGrid w:val="0"/>
        <w:spacing w:line="500" w:lineRule="exact"/>
        <w:ind w:left="1134" w:hanging="51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於識別</w:t>
      </w:r>
      <w:r w:rsidR="0079257B" w:rsidRPr="00A4234D">
        <w:rPr>
          <w:rFonts w:ascii="Times New Roman" w:eastAsia="標楷體" w:hAnsi="標楷體" w:hint="eastAsia"/>
          <w:color w:val="0D0D0D"/>
          <w:sz w:val="28"/>
          <w:szCs w:val="28"/>
        </w:rPr>
        <w:t>個別</w:t>
      </w:r>
      <w:r w:rsidRPr="00A4234D">
        <w:rPr>
          <w:rFonts w:ascii="Times New Roman" w:eastAsia="標楷體" w:hAnsi="標楷體" w:hint="eastAsia"/>
          <w:color w:val="0D0D0D"/>
          <w:sz w:val="28"/>
          <w:szCs w:val="28"/>
        </w:rPr>
        <w:t>客戶風險並決定</w:t>
      </w:r>
      <w:r w:rsidR="0079257B" w:rsidRPr="00A4234D">
        <w:rPr>
          <w:rFonts w:ascii="Times New Roman" w:eastAsia="標楷體" w:hAnsi="標楷體" w:hint="eastAsia"/>
          <w:color w:val="0D0D0D"/>
          <w:sz w:val="28"/>
          <w:szCs w:val="28"/>
        </w:rPr>
        <w:t>其</w:t>
      </w:r>
      <w:r w:rsidRPr="00A4234D">
        <w:rPr>
          <w:rFonts w:ascii="Times New Roman" w:eastAsia="標楷體" w:hAnsi="標楷體" w:hint="eastAsia"/>
          <w:color w:val="0D0D0D"/>
          <w:sz w:val="28"/>
          <w:szCs w:val="28"/>
        </w:rPr>
        <w:t>風險等級時，</w:t>
      </w:r>
      <w:r w:rsidR="00BD7503">
        <w:rPr>
          <w:rFonts w:ascii="Times New Roman" w:eastAsia="標楷體" w:hAnsi="標楷體" w:hint="eastAsia"/>
          <w:color w:val="0D0D0D"/>
          <w:sz w:val="28"/>
          <w:szCs w:val="28"/>
        </w:rPr>
        <w:t>證券商</w:t>
      </w:r>
      <w:r w:rsidRPr="00A4234D">
        <w:rPr>
          <w:rFonts w:ascii="Times New Roman" w:eastAsia="標楷體" w:hAnsi="標楷體" w:hint="eastAsia"/>
          <w:color w:val="0D0D0D"/>
          <w:sz w:val="28"/>
          <w:szCs w:val="28"/>
        </w:rPr>
        <w:t>得依據以下風險因素為評估依據：</w:t>
      </w:r>
    </w:p>
    <w:p w:rsidR="00B43AF4" w:rsidRPr="00A4234D" w:rsidRDefault="00B33533" w:rsidP="00F559AC">
      <w:pPr>
        <w:pStyle w:val="a3"/>
        <w:numPr>
          <w:ilvl w:val="0"/>
          <w:numId w:val="7"/>
        </w:numPr>
        <w:tabs>
          <w:tab w:val="clear" w:pos="1731"/>
        </w:tabs>
        <w:snapToGrid w:val="0"/>
        <w:spacing w:line="500" w:lineRule="exact"/>
        <w:ind w:left="1701" w:hanging="70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客戶之地域風險：</w:t>
      </w:r>
      <w:r w:rsidR="005370AF" w:rsidRPr="00A4234D">
        <w:rPr>
          <w:rFonts w:ascii="Times New Roman" w:eastAsia="標楷體" w:hAnsi="標楷體" w:hint="eastAsia"/>
          <w:color w:val="0D0D0D"/>
          <w:sz w:val="28"/>
          <w:szCs w:val="28"/>
        </w:rPr>
        <w:t>依據</w:t>
      </w:r>
      <w:r w:rsidR="00BD7503">
        <w:rPr>
          <w:rFonts w:ascii="Times New Roman" w:eastAsia="標楷體" w:hAnsi="標楷體" w:hint="eastAsia"/>
          <w:color w:val="0D0D0D"/>
          <w:sz w:val="28"/>
          <w:szCs w:val="28"/>
        </w:rPr>
        <w:t>證券商</w:t>
      </w:r>
      <w:r w:rsidR="005370AF" w:rsidRPr="00A4234D">
        <w:rPr>
          <w:rFonts w:ascii="Times New Roman" w:eastAsia="標楷體" w:hAnsi="標楷體" w:hint="eastAsia"/>
          <w:color w:val="0D0D0D"/>
          <w:sz w:val="28"/>
          <w:szCs w:val="28"/>
        </w:rPr>
        <w:t>所</w:t>
      </w:r>
      <w:r w:rsidR="003572BF" w:rsidRPr="00A4234D">
        <w:rPr>
          <w:rFonts w:ascii="Times New Roman" w:eastAsia="標楷體" w:hAnsi="標楷體" w:hint="eastAsia"/>
          <w:color w:val="0D0D0D"/>
          <w:sz w:val="28"/>
          <w:szCs w:val="28"/>
        </w:rPr>
        <w:t>定義</w:t>
      </w:r>
      <w:r w:rsidR="005370AF" w:rsidRPr="00A4234D">
        <w:rPr>
          <w:rFonts w:ascii="Times New Roman" w:eastAsia="標楷體" w:hAnsi="標楷體" w:hint="eastAsia"/>
          <w:color w:val="0D0D0D"/>
          <w:sz w:val="28"/>
          <w:szCs w:val="28"/>
        </w:rPr>
        <w:t>之洗錢及資恐風險的區域名單，決定</w:t>
      </w:r>
      <w:r w:rsidR="00A355E7" w:rsidRPr="00A4234D">
        <w:rPr>
          <w:rFonts w:ascii="Times New Roman" w:eastAsia="標楷體" w:hAnsi="標楷體" w:hint="eastAsia"/>
          <w:color w:val="0D0D0D"/>
          <w:sz w:val="28"/>
          <w:szCs w:val="28"/>
        </w:rPr>
        <w:t>客戶國籍與居住國家</w:t>
      </w:r>
      <w:r w:rsidR="003572BF" w:rsidRPr="00A4234D">
        <w:rPr>
          <w:rFonts w:ascii="Times New Roman" w:eastAsia="標楷體" w:hAnsi="標楷體" w:hint="eastAsia"/>
          <w:color w:val="0D0D0D"/>
          <w:sz w:val="28"/>
          <w:szCs w:val="28"/>
        </w:rPr>
        <w:t>的風險</w:t>
      </w:r>
      <w:r w:rsidR="00F77D69" w:rsidRPr="00A4234D">
        <w:rPr>
          <w:rFonts w:ascii="Times New Roman" w:eastAsia="標楷體" w:hAnsi="標楷體" w:hint="eastAsia"/>
          <w:color w:val="0D0D0D"/>
          <w:sz w:val="28"/>
          <w:szCs w:val="28"/>
        </w:rPr>
        <w:t>評</w:t>
      </w:r>
      <w:r w:rsidR="000A35A6" w:rsidRPr="00A4234D">
        <w:rPr>
          <w:rFonts w:ascii="Times New Roman" w:eastAsia="標楷體" w:hAnsi="標楷體" w:hint="eastAsia"/>
          <w:color w:val="0D0D0D"/>
          <w:sz w:val="28"/>
          <w:szCs w:val="28"/>
        </w:rPr>
        <w:t>分</w:t>
      </w:r>
      <w:r w:rsidR="00817914" w:rsidRPr="00A4234D">
        <w:rPr>
          <w:rFonts w:ascii="Times New Roman" w:eastAsia="標楷體" w:hAnsi="標楷體" w:hint="eastAsia"/>
          <w:color w:val="0D0D0D"/>
          <w:sz w:val="28"/>
          <w:szCs w:val="28"/>
        </w:rPr>
        <w:t>。</w:t>
      </w:r>
    </w:p>
    <w:p w:rsidR="00A355E7" w:rsidRPr="00A4234D" w:rsidRDefault="005C699D" w:rsidP="00F559AC">
      <w:pPr>
        <w:pStyle w:val="a3"/>
        <w:numPr>
          <w:ilvl w:val="0"/>
          <w:numId w:val="7"/>
        </w:numPr>
        <w:tabs>
          <w:tab w:val="clear" w:pos="1731"/>
        </w:tabs>
        <w:snapToGrid w:val="0"/>
        <w:spacing w:line="500" w:lineRule="exact"/>
        <w:ind w:left="1701" w:hanging="70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客戶</w:t>
      </w:r>
      <w:r w:rsidR="00A355E7" w:rsidRPr="00A4234D">
        <w:rPr>
          <w:rFonts w:ascii="Times New Roman" w:eastAsia="標楷體" w:hAnsi="標楷體" w:hint="eastAsia"/>
          <w:color w:val="0D0D0D"/>
          <w:sz w:val="28"/>
          <w:szCs w:val="28"/>
        </w:rPr>
        <w:t>職業與行業之洗錢風險</w:t>
      </w:r>
      <w:r w:rsidR="000A35A6" w:rsidRPr="00A4234D">
        <w:rPr>
          <w:rFonts w:ascii="Times New Roman" w:eastAsia="標楷體" w:hAnsi="標楷體" w:hint="eastAsia"/>
          <w:color w:val="0D0D0D"/>
          <w:sz w:val="28"/>
          <w:szCs w:val="28"/>
        </w:rPr>
        <w:t>：</w:t>
      </w:r>
      <w:r w:rsidR="00F77D69" w:rsidRPr="00A4234D">
        <w:rPr>
          <w:rFonts w:ascii="Times New Roman" w:eastAsia="標楷體" w:hAnsi="標楷體" w:hint="eastAsia"/>
          <w:color w:val="0D0D0D"/>
          <w:sz w:val="28"/>
          <w:szCs w:val="28"/>
        </w:rPr>
        <w:t>依據</w:t>
      </w:r>
      <w:r w:rsidR="00BD7503">
        <w:rPr>
          <w:rFonts w:ascii="Times New Roman" w:eastAsia="標楷體" w:hAnsi="標楷體" w:hint="eastAsia"/>
          <w:color w:val="0D0D0D"/>
          <w:sz w:val="28"/>
          <w:szCs w:val="28"/>
        </w:rPr>
        <w:t>證券商</w:t>
      </w:r>
      <w:r w:rsidR="00F77D69" w:rsidRPr="00A4234D">
        <w:rPr>
          <w:rFonts w:ascii="Times New Roman" w:eastAsia="標楷體" w:hAnsi="標楷體" w:hint="eastAsia"/>
          <w:color w:val="0D0D0D"/>
          <w:sz w:val="28"/>
          <w:szCs w:val="28"/>
        </w:rPr>
        <w:t>所定義之各職業與行業的洗錢風險，決定客戶職業與行業的風險評分。高風險行業如</w:t>
      </w:r>
      <w:r w:rsidR="00DB7F12" w:rsidRPr="00A4234D">
        <w:rPr>
          <w:rFonts w:ascii="Times New Roman" w:eastAsia="標楷體" w:hAnsi="標楷體" w:hint="eastAsia"/>
          <w:color w:val="0D0D0D"/>
          <w:sz w:val="28"/>
          <w:szCs w:val="28"/>
        </w:rPr>
        <w:t>從事密集性現金交易業務</w:t>
      </w:r>
      <w:r w:rsidR="00F77D69" w:rsidRPr="00A4234D">
        <w:rPr>
          <w:rFonts w:ascii="Times New Roman" w:eastAsia="標楷體" w:hAnsi="標楷體" w:hint="eastAsia"/>
          <w:color w:val="0D0D0D"/>
          <w:sz w:val="28"/>
          <w:szCs w:val="28"/>
        </w:rPr>
        <w:t>、</w:t>
      </w:r>
      <w:r w:rsidR="004B183F" w:rsidRPr="00A4234D">
        <w:rPr>
          <w:rFonts w:ascii="Times New Roman" w:eastAsia="標楷體" w:hAnsi="標楷體" w:hint="eastAsia"/>
          <w:color w:val="0D0D0D"/>
          <w:sz w:val="28"/>
          <w:szCs w:val="28"/>
        </w:rPr>
        <w:t>或屬易被運用於持有個人資產之公司或信託等</w:t>
      </w:r>
      <w:r w:rsidR="00817914" w:rsidRPr="00A4234D">
        <w:rPr>
          <w:rFonts w:ascii="Times New Roman" w:eastAsia="標楷體" w:hAnsi="標楷體" w:hint="eastAsia"/>
          <w:color w:val="0D0D0D"/>
          <w:sz w:val="28"/>
          <w:szCs w:val="28"/>
        </w:rPr>
        <w:t>。</w:t>
      </w:r>
    </w:p>
    <w:p w:rsidR="00A355E7" w:rsidRPr="00A4234D" w:rsidRDefault="00A355E7" w:rsidP="00F559AC">
      <w:pPr>
        <w:pStyle w:val="a3"/>
        <w:numPr>
          <w:ilvl w:val="0"/>
          <w:numId w:val="7"/>
        </w:numPr>
        <w:tabs>
          <w:tab w:val="clear" w:pos="1731"/>
        </w:tabs>
        <w:snapToGrid w:val="0"/>
        <w:spacing w:line="500" w:lineRule="exact"/>
        <w:ind w:left="1701" w:hanging="70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客戶開戶與建立業務關係之管道</w:t>
      </w:r>
      <w:r w:rsidR="00817914" w:rsidRPr="00A4234D">
        <w:rPr>
          <w:rFonts w:ascii="Times New Roman" w:eastAsia="標楷體" w:hAnsi="標楷體" w:hint="eastAsia"/>
          <w:color w:val="0D0D0D"/>
          <w:sz w:val="28"/>
          <w:szCs w:val="28"/>
        </w:rPr>
        <w:t>。</w:t>
      </w:r>
    </w:p>
    <w:p w:rsidR="00A355E7" w:rsidRPr="00A4234D" w:rsidRDefault="00A355E7" w:rsidP="00F559AC">
      <w:pPr>
        <w:pStyle w:val="a3"/>
        <w:numPr>
          <w:ilvl w:val="0"/>
          <w:numId w:val="7"/>
        </w:numPr>
        <w:tabs>
          <w:tab w:val="clear" w:pos="1731"/>
        </w:tabs>
        <w:snapToGrid w:val="0"/>
        <w:spacing w:line="500" w:lineRule="exact"/>
        <w:ind w:left="1701" w:hanging="70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客戶開戶與建立業務關係之金額</w:t>
      </w:r>
      <w:r w:rsidR="00817914" w:rsidRPr="00A4234D">
        <w:rPr>
          <w:rFonts w:ascii="Times New Roman" w:eastAsia="標楷體" w:hAnsi="標楷體" w:hint="eastAsia"/>
          <w:color w:val="0D0D0D"/>
          <w:sz w:val="28"/>
          <w:szCs w:val="28"/>
        </w:rPr>
        <w:t>。</w:t>
      </w:r>
    </w:p>
    <w:p w:rsidR="008F1DA7" w:rsidRPr="00F559AC" w:rsidRDefault="00A832B4" w:rsidP="00D6739D">
      <w:pPr>
        <w:pStyle w:val="a3"/>
        <w:numPr>
          <w:ilvl w:val="0"/>
          <w:numId w:val="7"/>
        </w:numPr>
        <w:tabs>
          <w:tab w:val="clear" w:pos="1731"/>
        </w:tabs>
        <w:snapToGrid w:val="0"/>
        <w:spacing w:line="500" w:lineRule="exact"/>
        <w:ind w:left="1701" w:hanging="708"/>
        <w:jc w:val="both"/>
        <w:rPr>
          <w:rFonts w:ascii="Times New Roman" w:eastAsia="標楷體" w:hAnsi="標楷體"/>
          <w:color w:val="0D0D0D"/>
          <w:sz w:val="28"/>
          <w:szCs w:val="28"/>
        </w:rPr>
      </w:pPr>
      <w:r w:rsidRPr="00F559AC">
        <w:rPr>
          <w:rFonts w:ascii="Times New Roman" w:eastAsia="標楷體" w:hAnsi="標楷體" w:hint="eastAsia"/>
          <w:color w:val="0D0D0D"/>
          <w:sz w:val="28"/>
          <w:szCs w:val="28"/>
        </w:rPr>
        <w:t>客戶是否有其他高</w:t>
      </w:r>
      <w:r w:rsidR="00B40DA0" w:rsidRPr="00F559AC">
        <w:rPr>
          <w:rFonts w:ascii="Times New Roman" w:eastAsia="標楷體" w:hAnsi="標楷體" w:hint="eastAsia"/>
          <w:color w:val="0D0D0D"/>
          <w:sz w:val="28"/>
          <w:szCs w:val="28"/>
        </w:rPr>
        <w:t>洗錢及資恐風險之表徵，如</w:t>
      </w:r>
      <w:r w:rsidR="008F1DA7" w:rsidRPr="00F559AC">
        <w:rPr>
          <w:rFonts w:ascii="Times New Roman" w:eastAsia="標楷體" w:hAnsi="標楷體" w:hint="eastAsia"/>
          <w:color w:val="0D0D0D"/>
          <w:sz w:val="28"/>
          <w:szCs w:val="28"/>
        </w:rPr>
        <w:t>客戶</w:t>
      </w:r>
      <w:r w:rsidR="00D82D77" w:rsidRPr="00F559AC">
        <w:rPr>
          <w:rFonts w:ascii="Times New Roman" w:eastAsia="標楷體" w:hAnsi="標楷體" w:hint="eastAsia"/>
          <w:color w:val="0D0D0D"/>
          <w:sz w:val="28"/>
          <w:szCs w:val="28"/>
        </w:rPr>
        <w:t>留存地址與</w:t>
      </w:r>
      <w:r w:rsidR="00D6739D" w:rsidRPr="00665E15">
        <w:rPr>
          <w:rFonts w:ascii="Times New Roman" w:eastAsia="標楷體" w:hAnsi="標楷體" w:hint="eastAsia"/>
          <w:color w:val="0D0D0D"/>
          <w:sz w:val="28"/>
          <w:szCs w:val="28"/>
          <w:u w:val="single"/>
        </w:rPr>
        <w:t>分支機構</w:t>
      </w:r>
      <w:r w:rsidR="00D82D77" w:rsidRPr="00F559AC">
        <w:rPr>
          <w:rFonts w:ascii="Times New Roman" w:eastAsia="標楷體" w:hAnsi="標楷體" w:hint="eastAsia"/>
          <w:color w:val="0D0D0D"/>
          <w:sz w:val="28"/>
          <w:szCs w:val="28"/>
        </w:rPr>
        <w:t>相距過遠</w:t>
      </w:r>
      <w:r w:rsidR="007C4E83" w:rsidRPr="00F559AC">
        <w:rPr>
          <w:rFonts w:ascii="Times New Roman" w:eastAsia="標楷體" w:hAnsi="標楷體" w:hint="eastAsia"/>
          <w:color w:val="0D0D0D"/>
          <w:sz w:val="28"/>
          <w:szCs w:val="28"/>
        </w:rPr>
        <w:t>而</w:t>
      </w:r>
      <w:r w:rsidR="00D82D77" w:rsidRPr="00F559AC">
        <w:rPr>
          <w:rFonts w:ascii="Times New Roman" w:eastAsia="標楷體" w:hAnsi="標楷體" w:hint="eastAsia"/>
          <w:color w:val="0D0D0D"/>
          <w:sz w:val="28"/>
          <w:szCs w:val="28"/>
        </w:rPr>
        <w:t>無法提出合理說明者、客戶為具隱名股東之公司或可發行無記名股票之公司、法人客戶之股權複雜度，如股權架構是否明顯異常或相對其業務性質過度複雜等</w:t>
      </w:r>
      <w:r w:rsidR="008F1DA7" w:rsidRPr="00F559AC">
        <w:rPr>
          <w:rFonts w:ascii="Times New Roman" w:eastAsia="標楷體" w:hAnsi="標楷體" w:hint="eastAsia"/>
          <w:color w:val="0D0D0D"/>
          <w:sz w:val="28"/>
          <w:szCs w:val="28"/>
        </w:rPr>
        <w:t>。</w:t>
      </w:r>
    </w:p>
    <w:p w:rsidR="007934B5" w:rsidRPr="00A4234D" w:rsidRDefault="006C6B5D" w:rsidP="00F559AC">
      <w:pPr>
        <w:pStyle w:val="a3"/>
        <w:numPr>
          <w:ilvl w:val="0"/>
          <w:numId w:val="19"/>
        </w:numPr>
        <w:snapToGrid w:val="0"/>
        <w:spacing w:line="500" w:lineRule="exact"/>
        <w:ind w:left="1134" w:hanging="850"/>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產品風險</w:t>
      </w:r>
      <w:r w:rsidR="003970C7" w:rsidRPr="00A4234D">
        <w:rPr>
          <w:rFonts w:ascii="Times New Roman" w:eastAsia="標楷體" w:hAnsi="標楷體" w:hint="eastAsia"/>
          <w:color w:val="0D0D0D"/>
          <w:sz w:val="28"/>
          <w:szCs w:val="28"/>
        </w:rPr>
        <w:t>：</w:t>
      </w:r>
    </w:p>
    <w:p w:rsidR="0019520B" w:rsidRPr="00A4234D" w:rsidRDefault="00BD7503" w:rsidP="00F559AC">
      <w:pPr>
        <w:pStyle w:val="a3"/>
        <w:numPr>
          <w:ilvl w:val="0"/>
          <w:numId w:val="29"/>
        </w:numPr>
        <w:tabs>
          <w:tab w:val="clear" w:pos="1780"/>
          <w:tab w:val="num" w:pos="1120"/>
        </w:tabs>
        <w:snapToGrid w:val="0"/>
        <w:spacing w:line="500" w:lineRule="exact"/>
        <w:ind w:left="1120" w:hanging="504"/>
        <w:jc w:val="both"/>
        <w:rPr>
          <w:rFonts w:ascii="Times New Roman" w:eastAsia="標楷體" w:hAnsi="標楷體"/>
          <w:color w:val="0D0D0D"/>
          <w:sz w:val="28"/>
          <w:szCs w:val="28"/>
        </w:rPr>
      </w:pPr>
      <w:r>
        <w:rPr>
          <w:rFonts w:ascii="Times New Roman" w:eastAsia="標楷體" w:hAnsi="標楷體" w:hint="eastAsia"/>
          <w:color w:val="0D0D0D"/>
          <w:sz w:val="28"/>
          <w:szCs w:val="28"/>
        </w:rPr>
        <w:lastRenderedPageBreak/>
        <w:t>證券商</w:t>
      </w:r>
      <w:r w:rsidR="0019520B" w:rsidRPr="00A4234D">
        <w:rPr>
          <w:rFonts w:ascii="Times New Roman" w:eastAsia="標楷體" w:hAnsi="標楷體" w:hint="eastAsia"/>
          <w:color w:val="0D0D0D"/>
          <w:sz w:val="28"/>
          <w:szCs w:val="28"/>
        </w:rPr>
        <w:t>應依</w:t>
      </w:r>
      <w:r w:rsidR="0019520B" w:rsidRPr="00A4234D">
        <w:rPr>
          <w:rFonts w:ascii="Times New Roman" w:eastAsia="標楷體" w:hAnsi="標楷體"/>
          <w:color w:val="0D0D0D"/>
          <w:sz w:val="28"/>
          <w:szCs w:val="28"/>
        </w:rPr>
        <w:t>據</w:t>
      </w:r>
      <w:r w:rsidR="0079257B" w:rsidRPr="00A4234D">
        <w:rPr>
          <w:rFonts w:ascii="Times New Roman" w:eastAsia="標楷體" w:hAnsi="標楷體" w:hint="eastAsia"/>
          <w:color w:val="0D0D0D"/>
          <w:sz w:val="28"/>
          <w:szCs w:val="28"/>
        </w:rPr>
        <w:t>個別</w:t>
      </w:r>
      <w:r w:rsidR="0019520B" w:rsidRPr="00A4234D">
        <w:rPr>
          <w:rFonts w:ascii="Times New Roman" w:eastAsia="標楷體" w:hAnsi="標楷體"/>
          <w:color w:val="0D0D0D"/>
          <w:sz w:val="28"/>
          <w:szCs w:val="28"/>
        </w:rPr>
        <w:t>產品</w:t>
      </w:r>
      <w:r w:rsidR="0019520B" w:rsidRPr="00A4234D">
        <w:rPr>
          <w:rFonts w:ascii="Times New Roman" w:eastAsia="標楷體" w:hAnsi="標楷體" w:hint="eastAsia"/>
          <w:color w:val="0D0D0D"/>
          <w:sz w:val="28"/>
          <w:szCs w:val="28"/>
        </w:rPr>
        <w:t>或</w:t>
      </w:r>
      <w:r w:rsidR="0019520B" w:rsidRPr="00A4234D">
        <w:rPr>
          <w:rFonts w:ascii="Times New Roman" w:eastAsia="標楷體" w:hAnsi="標楷體"/>
          <w:color w:val="0D0D0D"/>
          <w:sz w:val="28"/>
          <w:szCs w:val="28"/>
        </w:rPr>
        <w:t>服務</w:t>
      </w:r>
      <w:r w:rsidR="0019520B" w:rsidRPr="00A4234D">
        <w:rPr>
          <w:rFonts w:ascii="Times New Roman" w:eastAsia="標楷體" w:hAnsi="標楷體" w:hint="eastAsia"/>
          <w:color w:val="0D0D0D"/>
          <w:sz w:val="28"/>
          <w:szCs w:val="28"/>
        </w:rPr>
        <w:t>的</w:t>
      </w:r>
      <w:r w:rsidR="0019520B" w:rsidRPr="00A4234D">
        <w:rPr>
          <w:rFonts w:ascii="Times New Roman" w:eastAsia="標楷體" w:hAnsi="標楷體"/>
          <w:color w:val="0D0D0D"/>
          <w:sz w:val="28"/>
          <w:szCs w:val="28"/>
        </w:rPr>
        <w:t>性質</w:t>
      </w:r>
      <w:r w:rsidR="0019520B" w:rsidRPr="00A4234D">
        <w:rPr>
          <w:rFonts w:ascii="Times New Roman" w:eastAsia="標楷體" w:hAnsi="標楷體" w:hint="eastAsia"/>
          <w:color w:val="0D0D0D"/>
          <w:sz w:val="28"/>
          <w:szCs w:val="28"/>
        </w:rPr>
        <w:t>，識別可能會為</w:t>
      </w:r>
      <w:r w:rsidR="006D4C6C" w:rsidRPr="00A4234D">
        <w:rPr>
          <w:rFonts w:ascii="Times New Roman" w:eastAsia="標楷體" w:hAnsi="標楷體" w:hint="eastAsia"/>
          <w:color w:val="0D0D0D"/>
          <w:sz w:val="28"/>
          <w:szCs w:val="28"/>
        </w:rPr>
        <w:t>其</w:t>
      </w:r>
      <w:r w:rsidR="0019520B" w:rsidRPr="00A4234D">
        <w:rPr>
          <w:rFonts w:ascii="Times New Roman" w:eastAsia="標楷體" w:hAnsi="標楷體" w:hint="eastAsia"/>
          <w:color w:val="0D0D0D"/>
          <w:sz w:val="28"/>
          <w:szCs w:val="28"/>
        </w:rPr>
        <w:t>帶來較高的洗錢及資恐風險者。</w:t>
      </w:r>
    </w:p>
    <w:p w:rsidR="0019520B" w:rsidRPr="00A4234D" w:rsidRDefault="00BD7503" w:rsidP="00F559AC">
      <w:pPr>
        <w:pStyle w:val="a3"/>
        <w:numPr>
          <w:ilvl w:val="0"/>
          <w:numId w:val="29"/>
        </w:numPr>
        <w:tabs>
          <w:tab w:val="clear" w:pos="1780"/>
          <w:tab w:val="num" w:pos="1120"/>
        </w:tabs>
        <w:snapToGrid w:val="0"/>
        <w:spacing w:line="500" w:lineRule="exact"/>
        <w:ind w:left="1120" w:hanging="504"/>
        <w:jc w:val="both"/>
        <w:rPr>
          <w:rFonts w:ascii="Times New Roman" w:eastAsia="標楷體" w:hAnsi="標楷體"/>
          <w:color w:val="0D0D0D"/>
          <w:sz w:val="28"/>
          <w:szCs w:val="28"/>
        </w:rPr>
      </w:pPr>
      <w:r>
        <w:rPr>
          <w:rFonts w:ascii="Times New Roman" w:eastAsia="標楷體" w:hAnsi="標楷體" w:hint="eastAsia"/>
          <w:color w:val="0D0D0D"/>
          <w:sz w:val="28"/>
          <w:szCs w:val="28"/>
        </w:rPr>
        <w:t>證券商</w:t>
      </w:r>
      <w:r w:rsidR="0019520B" w:rsidRPr="00A4234D">
        <w:rPr>
          <w:rFonts w:ascii="Times New Roman" w:eastAsia="標楷體" w:hAnsi="標楷體" w:hint="eastAsia"/>
          <w:color w:val="0D0D0D"/>
          <w:sz w:val="28"/>
          <w:szCs w:val="28"/>
        </w:rPr>
        <w:t>應於新產品或新服務上線前，進行</w:t>
      </w:r>
      <w:r w:rsidR="0019520B" w:rsidRPr="00A4234D">
        <w:rPr>
          <w:rFonts w:ascii="Times New Roman" w:eastAsia="標楷體" w:hAnsi="標楷體"/>
          <w:color w:val="0D0D0D"/>
          <w:sz w:val="28"/>
          <w:szCs w:val="28"/>
        </w:rPr>
        <w:t>全面洗錢風險評估，</w:t>
      </w:r>
      <w:r w:rsidR="00EA3A19" w:rsidRPr="00A4234D">
        <w:rPr>
          <w:rFonts w:ascii="Times New Roman" w:eastAsia="標楷體" w:hAnsi="標楷體" w:hint="eastAsia"/>
          <w:color w:val="0D0D0D"/>
          <w:sz w:val="28"/>
          <w:szCs w:val="28"/>
        </w:rPr>
        <w:t>並</w:t>
      </w:r>
      <w:r w:rsidR="0019520B" w:rsidRPr="00A4234D">
        <w:rPr>
          <w:rFonts w:ascii="Times New Roman" w:eastAsia="標楷體" w:hAnsi="標楷體"/>
          <w:color w:val="0D0D0D"/>
          <w:sz w:val="28"/>
          <w:szCs w:val="28"/>
        </w:rPr>
        <w:t>按照風險控</w:t>
      </w:r>
      <w:r w:rsidR="0019520B" w:rsidRPr="00A4234D">
        <w:rPr>
          <w:rFonts w:ascii="Times New Roman" w:eastAsia="標楷體" w:hAnsi="標楷體" w:hint="eastAsia"/>
          <w:color w:val="0D0D0D"/>
          <w:sz w:val="28"/>
          <w:szCs w:val="28"/>
        </w:rPr>
        <w:t>制</w:t>
      </w:r>
      <w:r w:rsidR="0019520B" w:rsidRPr="00A4234D">
        <w:rPr>
          <w:rFonts w:ascii="Times New Roman" w:eastAsia="標楷體" w:hAnsi="標楷體"/>
          <w:color w:val="0D0D0D"/>
          <w:sz w:val="28"/>
          <w:szCs w:val="28"/>
        </w:rPr>
        <w:t>原則</w:t>
      </w:r>
      <w:r w:rsidR="00EA3A19" w:rsidRPr="00A4234D">
        <w:rPr>
          <w:rFonts w:ascii="Times New Roman" w:eastAsia="標楷體" w:hAnsi="標楷體" w:hint="eastAsia"/>
          <w:color w:val="0D0D0D"/>
          <w:sz w:val="28"/>
          <w:szCs w:val="28"/>
        </w:rPr>
        <w:t>，</w:t>
      </w:r>
      <w:r w:rsidR="0019520B" w:rsidRPr="00A4234D">
        <w:rPr>
          <w:rFonts w:ascii="Times New Roman" w:eastAsia="標楷體" w:hAnsi="標楷體"/>
          <w:color w:val="0D0D0D"/>
          <w:sz w:val="28"/>
          <w:szCs w:val="28"/>
        </w:rPr>
        <w:t>建立相</w:t>
      </w:r>
      <w:r w:rsidR="0019520B" w:rsidRPr="00A4234D">
        <w:rPr>
          <w:rFonts w:ascii="Times New Roman" w:eastAsia="標楷體" w:hAnsi="標楷體" w:hint="eastAsia"/>
          <w:color w:val="0D0D0D"/>
          <w:sz w:val="28"/>
          <w:szCs w:val="28"/>
        </w:rPr>
        <w:t>應</w:t>
      </w:r>
      <w:r w:rsidR="0019520B" w:rsidRPr="00A4234D">
        <w:rPr>
          <w:rFonts w:ascii="Times New Roman" w:eastAsia="標楷體" w:hAnsi="標楷體"/>
          <w:color w:val="0D0D0D"/>
          <w:sz w:val="28"/>
          <w:szCs w:val="28"/>
        </w:rPr>
        <w:t>風險管理措施。</w:t>
      </w:r>
    </w:p>
    <w:p w:rsidR="00AC195F" w:rsidRPr="00A4234D" w:rsidRDefault="0079257B" w:rsidP="00F559AC">
      <w:pPr>
        <w:pStyle w:val="a3"/>
        <w:numPr>
          <w:ilvl w:val="0"/>
          <w:numId w:val="29"/>
        </w:numPr>
        <w:tabs>
          <w:tab w:val="clear" w:pos="1780"/>
          <w:tab w:val="num" w:pos="1120"/>
        </w:tabs>
        <w:snapToGrid w:val="0"/>
        <w:spacing w:line="500" w:lineRule="exact"/>
        <w:ind w:left="1120" w:hanging="504"/>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個別</w:t>
      </w:r>
      <w:r w:rsidR="00AC195F" w:rsidRPr="00A4234D">
        <w:rPr>
          <w:rFonts w:ascii="Times New Roman" w:eastAsia="標楷體" w:hAnsi="標楷體"/>
          <w:color w:val="0D0D0D"/>
          <w:sz w:val="28"/>
          <w:szCs w:val="28"/>
        </w:rPr>
        <w:t>產品或服務</w:t>
      </w:r>
      <w:r w:rsidR="00AC195F" w:rsidRPr="00A4234D">
        <w:rPr>
          <w:rFonts w:ascii="Times New Roman" w:eastAsia="標楷體" w:hAnsi="標楷體" w:hint="eastAsia"/>
          <w:color w:val="0D0D0D"/>
          <w:sz w:val="28"/>
          <w:szCs w:val="28"/>
        </w:rPr>
        <w:t>之風險因素舉例如下：</w:t>
      </w:r>
    </w:p>
    <w:p w:rsidR="00AC195F" w:rsidRDefault="00AC195F" w:rsidP="00F559AC">
      <w:pPr>
        <w:pStyle w:val="a3"/>
        <w:numPr>
          <w:ilvl w:val="0"/>
          <w:numId w:val="30"/>
        </w:numPr>
        <w:tabs>
          <w:tab w:val="clear" w:pos="1731"/>
          <w:tab w:val="num" w:pos="2002"/>
        </w:tabs>
        <w:snapToGrid w:val="0"/>
        <w:spacing w:line="500" w:lineRule="exact"/>
        <w:ind w:hanging="723"/>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與現金</w:t>
      </w:r>
      <w:r w:rsidR="00EA3A19" w:rsidRPr="00A4234D">
        <w:rPr>
          <w:rFonts w:ascii="Times New Roman" w:eastAsia="標楷體" w:hAnsi="標楷體" w:hint="eastAsia"/>
          <w:color w:val="0D0D0D"/>
          <w:sz w:val="28"/>
          <w:szCs w:val="28"/>
        </w:rPr>
        <w:t>之</w:t>
      </w:r>
      <w:r w:rsidRPr="00A4234D">
        <w:rPr>
          <w:rFonts w:ascii="Times New Roman" w:eastAsia="標楷體" w:hAnsi="標楷體" w:hint="eastAsia"/>
          <w:color w:val="0D0D0D"/>
          <w:sz w:val="28"/>
          <w:szCs w:val="28"/>
        </w:rPr>
        <w:t>關聯程度</w:t>
      </w:r>
      <w:r w:rsidR="00817914" w:rsidRPr="00A4234D">
        <w:rPr>
          <w:rFonts w:ascii="Times New Roman" w:eastAsia="標楷體" w:hAnsi="標楷體"/>
          <w:color w:val="0D0D0D"/>
          <w:sz w:val="28"/>
          <w:szCs w:val="28"/>
        </w:rPr>
        <w:t>。</w:t>
      </w:r>
    </w:p>
    <w:p w:rsidR="00AC195F" w:rsidRDefault="00AC195F" w:rsidP="00F559AC">
      <w:pPr>
        <w:pStyle w:val="a3"/>
        <w:numPr>
          <w:ilvl w:val="0"/>
          <w:numId w:val="30"/>
        </w:numPr>
        <w:tabs>
          <w:tab w:val="clear" w:pos="1731"/>
          <w:tab w:val="num" w:pos="2002"/>
        </w:tabs>
        <w:snapToGrid w:val="0"/>
        <w:spacing w:line="500" w:lineRule="exact"/>
        <w:ind w:hanging="723"/>
        <w:jc w:val="both"/>
        <w:rPr>
          <w:rFonts w:ascii="Times New Roman" w:eastAsia="標楷體" w:hAnsi="標楷體"/>
          <w:color w:val="0D0D0D"/>
          <w:sz w:val="28"/>
          <w:szCs w:val="28"/>
        </w:rPr>
      </w:pPr>
      <w:r w:rsidRPr="00F559AC">
        <w:rPr>
          <w:rFonts w:ascii="Times New Roman" w:eastAsia="標楷體" w:hAnsi="標楷體" w:hint="eastAsia"/>
          <w:color w:val="0D0D0D"/>
          <w:sz w:val="28"/>
          <w:szCs w:val="28"/>
        </w:rPr>
        <w:t>是否為面對面</w:t>
      </w:r>
      <w:r w:rsidR="00BD7503" w:rsidRPr="00893042">
        <w:rPr>
          <w:rFonts w:ascii="Times New Roman" w:eastAsia="標楷體" w:hAnsi="標楷體" w:hint="eastAsia"/>
          <w:color w:val="0D0D0D"/>
          <w:sz w:val="28"/>
          <w:szCs w:val="28"/>
        </w:rPr>
        <w:t>業務往來關係或</w:t>
      </w:r>
      <w:r w:rsidRPr="00F559AC">
        <w:rPr>
          <w:rFonts w:ascii="Times New Roman" w:eastAsia="標楷體" w:hAnsi="標楷體" w:hint="eastAsia"/>
          <w:color w:val="0D0D0D"/>
          <w:sz w:val="28"/>
          <w:szCs w:val="28"/>
        </w:rPr>
        <w:t>交易</w:t>
      </w:r>
      <w:r w:rsidR="00817914" w:rsidRPr="00F559AC">
        <w:rPr>
          <w:rFonts w:ascii="Times New Roman" w:eastAsia="標楷體" w:hAnsi="標楷體"/>
          <w:color w:val="0D0D0D"/>
          <w:sz w:val="28"/>
          <w:szCs w:val="28"/>
        </w:rPr>
        <w:t>。</w:t>
      </w:r>
    </w:p>
    <w:p w:rsidR="00AC195F" w:rsidRPr="00F559AC" w:rsidRDefault="00AC195F" w:rsidP="00F559AC">
      <w:pPr>
        <w:pStyle w:val="a3"/>
        <w:numPr>
          <w:ilvl w:val="0"/>
          <w:numId w:val="30"/>
        </w:numPr>
        <w:tabs>
          <w:tab w:val="clear" w:pos="1731"/>
          <w:tab w:val="num" w:pos="2002"/>
        </w:tabs>
        <w:snapToGrid w:val="0"/>
        <w:spacing w:line="500" w:lineRule="exact"/>
        <w:ind w:hanging="723"/>
        <w:jc w:val="both"/>
        <w:rPr>
          <w:rFonts w:ascii="Times New Roman" w:eastAsia="標楷體" w:hAnsi="標楷體"/>
          <w:color w:val="0D0D0D"/>
          <w:sz w:val="28"/>
          <w:szCs w:val="28"/>
        </w:rPr>
      </w:pPr>
      <w:r w:rsidRPr="00F559AC">
        <w:rPr>
          <w:rFonts w:ascii="Times New Roman" w:eastAsia="標楷體" w:hAnsi="標楷體" w:hint="eastAsia"/>
          <w:color w:val="0D0D0D"/>
          <w:sz w:val="28"/>
          <w:szCs w:val="28"/>
        </w:rPr>
        <w:t>是否為</w:t>
      </w:r>
      <w:r w:rsidR="00B61D91" w:rsidRPr="00F559AC">
        <w:rPr>
          <w:rFonts w:ascii="Times New Roman" w:eastAsia="標楷體" w:hAnsi="標楷體" w:hint="eastAsia"/>
          <w:color w:val="0D0D0D"/>
          <w:sz w:val="28"/>
          <w:szCs w:val="28"/>
        </w:rPr>
        <w:t>高金額</w:t>
      </w:r>
      <w:r w:rsidR="00EA3A19" w:rsidRPr="00F559AC">
        <w:rPr>
          <w:rFonts w:ascii="Times New Roman" w:eastAsia="標楷體" w:hAnsi="標楷體" w:hint="eastAsia"/>
          <w:color w:val="0D0D0D"/>
          <w:sz w:val="28"/>
          <w:szCs w:val="28"/>
        </w:rPr>
        <w:t>之</w:t>
      </w:r>
      <w:r w:rsidRPr="00F559AC">
        <w:rPr>
          <w:rFonts w:ascii="Times New Roman" w:eastAsia="標楷體" w:hAnsi="標楷體" w:hint="eastAsia"/>
          <w:color w:val="0D0D0D"/>
          <w:sz w:val="28"/>
          <w:szCs w:val="28"/>
        </w:rPr>
        <w:t>金錢或價值移轉業務</w:t>
      </w:r>
      <w:r w:rsidR="00817914" w:rsidRPr="00F559AC">
        <w:rPr>
          <w:rFonts w:ascii="Times New Roman" w:eastAsia="標楷體" w:hAnsi="標楷體"/>
          <w:color w:val="0D0D0D"/>
          <w:sz w:val="28"/>
          <w:szCs w:val="28"/>
        </w:rPr>
        <w:t>。</w:t>
      </w:r>
    </w:p>
    <w:p w:rsidR="00F8147B" w:rsidRPr="00A4234D" w:rsidRDefault="00F8147B" w:rsidP="00546997">
      <w:pPr>
        <w:pStyle w:val="a3"/>
        <w:snapToGrid w:val="0"/>
        <w:spacing w:line="500" w:lineRule="exact"/>
        <w:ind w:left="560" w:hangingChars="200" w:hanging="560"/>
        <w:jc w:val="both"/>
        <w:rPr>
          <w:rFonts w:ascii="Times New Roman" w:eastAsia="標楷體" w:hAnsi="標楷體"/>
          <w:color w:val="0D0D0D"/>
          <w:sz w:val="28"/>
          <w:szCs w:val="28"/>
        </w:rPr>
      </w:pPr>
    </w:p>
    <w:p w:rsidR="00567537" w:rsidRPr="00A4234D" w:rsidRDefault="007934B5" w:rsidP="00546997">
      <w:pPr>
        <w:pStyle w:val="a3"/>
        <w:snapToGrid w:val="0"/>
        <w:spacing w:line="500" w:lineRule="exact"/>
        <w:ind w:left="560" w:hangingChars="200" w:hanging="560"/>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四</w:t>
      </w:r>
      <w:r w:rsidR="00546997" w:rsidRPr="00A4234D">
        <w:rPr>
          <w:rFonts w:ascii="Times New Roman" w:eastAsia="標楷體" w:hAnsi="標楷體" w:hint="eastAsia"/>
          <w:color w:val="0D0D0D"/>
          <w:sz w:val="28"/>
          <w:szCs w:val="28"/>
        </w:rPr>
        <w:t>、</w:t>
      </w:r>
      <w:r w:rsidR="00BD7503">
        <w:rPr>
          <w:rFonts w:ascii="Times New Roman" w:eastAsia="標楷體" w:hAnsi="標楷體" w:hint="eastAsia"/>
          <w:color w:val="0D0D0D"/>
          <w:sz w:val="28"/>
          <w:szCs w:val="28"/>
        </w:rPr>
        <w:t>證券商</w:t>
      </w:r>
      <w:r w:rsidR="00AC195F" w:rsidRPr="00A4234D">
        <w:rPr>
          <w:rFonts w:ascii="Times New Roman" w:eastAsia="標楷體" w:hAnsi="標楷體" w:hint="eastAsia"/>
          <w:color w:val="0D0D0D"/>
          <w:sz w:val="28"/>
          <w:szCs w:val="28"/>
        </w:rPr>
        <w:t>應建立不同之客戶風險等級與分級規則。</w:t>
      </w:r>
    </w:p>
    <w:p w:rsidR="00237342" w:rsidRPr="00A4234D" w:rsidRDefault="00AC195F" w:rsidP="00222619">
      <w:pPr>
        <w:pStyle w:val="a3"/>
        <w:snapToGrid w:val="0"/>
        <w:spacing w:line="500" w:lineRule="exact"/>
        <w:ind w:leftChars="234" w:left="563" w:hanging="1"/>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就客戶之風險等級，至少應有兩級之風險級數，即「高風險」與「一般風險」兩種風險等級，</w:t>
      </w:r>
      <w:r w:rsidR="00EA3A19" w:rsidRPr="00A4234D">
        <w:rPr>
          <w:rFonts w:ascii="Times New Roman" w:eastAsia="標楷體" w:hAnsi="標楷體" w:hint="eastAsia"/>
          <w:color w:val="0D0D0D"/>
          <w:sz w:val="28"/>
          <w:szCs w:val="28"/>
        </w:rPr>
        <w:t>作</w:t>
      </w:r>
      <w:r w:rsidRPr="00A4234D">
        <w:rPr>
          <w:rFonts w:ascii="Times New Roman" w:eastAsia="標楷體" w:hAnsi="標楷體" w:hint="eastAsia"/>
          <w:color w:val="0D0D0D"/>
          <w:sz w:val="28"/>
          <w:szCs w:val="28"/>
        </w:rPr>
        <w:t>為加強客戶審查措施及持續監控機制執行強度</w:t>
      </w:r>
      <w:r w:rsidR="00EA3A19" w:rsidRPr="00A4234D">
        <w:rPr>
          <w:rFonts w:ascii="Times New Roman" w:eastAsia="標楷體" w:hAnsi="標楷體" w:hint="eastAsia"/>
          <w:color w:val="0D0D0D"/>
          <w:sz w:val="28"/>
          <w:szCs w:val="28"/>
        </w:rPr>
        <w:t>之</w:t>
      </w:r>
      <w:r w:rsidRPr="00A4234D">
        <w:rPr>
          <w:rFonts w:ascii="Times New Roman" w:eastAsia="標楷體" w:hAnsi="標楷體" w:hint="eastAsia"/>
          <w:color w:val="0D0D0D"/>
          <w:sz w:val="28"/>
          <w:szCs w:val="28"/>
        </w:rPr>
        <w:t>依據。</w:t>
      </w:r>
      <w:r w:rsidR="009C5A43" w:rsidRPr="00A4234D">
        <w:rPr>
          <w:rFonts w:ascii="Times New Roman" w:eastAsia="標楷體" w:hAnsi="標楷體" w:hint="eastAsia"/>
          <w:color w:val="0D0D0D"/>
          <w:sz w:val="28"/>
          <w:szCs w:val="28"/>
        </w:rPr>
        <w:t>若僅採行兩級風險級數之</w:t>
      </w:r>
      <w:r w:rsidR="00BD7503">
        <w:rPr>
          <w:rFonts w:ascii="Times New Roman" w:eastAsia="標楷體" w:hAnsi="標楷體" w:hint="eastAsia"/>
          <w:color w:val="0D0D0D"/>
          <w:sz w:val="28"/>
          <w:szCs w:val="28"/>
        </w:rPr>
        <w:t>證券商</w:t>
      </w:r>
      <w:r w:rsidR="009C5A43" w:rsidRPr="00A4234D">
        <w:rPr>
          <w:rFonts w:ascii="Times New Roman" w:eastAsia="標楷體" w:hAnsi="標楷體" w:hint="eastAsia"/>
          <w:color w:val="0D0D0D"/>
          <w:sz w:val="28"/>
          <w:szCs w:val="28"/>
        </w:rPr>
        <w:t>，因「一般風險」等級仍高於本指引第五點與第七點所指之「低風險」等級，故不得對「一般風險」等級之客戶採取簡化措施。</w:t>
      </w:r>
    </w:p>
    <w:p w:rsidR="00863F74" w:rsidRPr="00A4234D" w:rsidRDefault="00BD7503" w:rsidP="00222619">
      <w:pPr>
        <w:pStyle w:val="a3"/>
        <w:snapToGrid w:val="0"/>
        <w:spacing w:line="500" w:lineRule="exact"/>
        <w:ind w:leftChars="234" w:left="563" w:hanging="1"/>
        <w:jc w:val="both"/>
        <w:rPr>
          <w:rFonts w:ascii="Times New Roman" w:eastAsia="標楷體" w:hAnsi="標楷體"/>
          <w:color w:val="0D0D0D"/>
          <w:sz w:val="28"/>
          <w:szCs w:val="28"/>
        </w:rPr>
      </w:pPr>
      <w:r>
        <w:rPr>
          <w:rFonts w:ascii="Times New Roman" w:eastAsia="標楷體" w:hAnsi="標楷體" w:hint="eastAsia"/>
          <w:color w:val="0D0D0D"/>
          <w:sz w:val="28"/>
          <w:szCs w:val="28"/>
        </w:rPr>
        <w:t>證券商</w:t>
      </w:r>
      <w:r w:rsidR="00863F74" w:rsidRPr="00A4234D">
        <w:rPr>
          <w:rFonts w:ascii="Times New Roman" w:eastAsia="標楷體" w:hAnsi="標楷體" w:hint="eastAsia"/>
          <w:color w:val="0D0D0D"/>
          <w:sz w:val="28"/>
          <w:szCs w:val="28"/>
        </w:rPr>
        <w:t>不得向客戶或與執行防制洗錢義務無關者，透露客戶之風險等級資訊。</w:t>
      </w:r>
    </w:p>
    <w:p w:rsidR="00886B78" w:rsidRPr="00A4234D" w:rsidRDefault="00886B78" w:rsidP="00462567">
      <w:pPr>
        <w:pStyle w:val="a3"/>
        <w:snapToGrid w:val="0"/>
        <w:spacing w:line="500" w:lineRule="exact"/>
        <w:ind w:leftChars="236" w:left="566"/>
        <w:jc w:val="both"/>
        <w:rPr>
          <w:rFonts w:ascii="Times New Roman" w:eastAsia="標楷體" w:hAnsi="Times New Roman"/>
          <w:color w:val="0D0D0D"/>
          <w:sz w:val="28"/>
          <w:szCs w:val="28"/>
        </w:rPr>
      </w:pPr>
    </w:p>
    <w:p w:rsidR="00567537" w:rsidRPr="00A4234D" w:rsidRDefault="007934B5" w:rsidP="00546997">
      <w:pPr>
        <w:pStyle w:val="a3"/>
        <w:snapToGrid w:val="0"/>
        <w:spacing w:line="500" w:lineRule="exact"/>
        <w:ind w:left="560" w:hangingChars="200" w:hanging="560"/>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五</w:t>
      </w:r>
      <w:r w:rsidR="00546997" w:rsidRPr="00A4234D">
        <w:rPr>
          <w:rFonts w:ascii="Times New Roman" w:eastAsia="標楷體" w:hAnsi="標楷體" w:hint="eastAsia"/>
          <w:color w:val="0D0D0D"/>
          <w:sz w:val="28"/>
          <w:szCs w:val="28"/>
        </w:rPr>
        <w:t>、</w:t>
      </w:r>
      <w:r w:rsidR="00CF3CD6" w:rsidRPr="00A4234D">
        <w:rPr>
          <w:rFonts w:ascii="Times New Roman" w:eastAsia="標楷體" w:hAnsi="標楷體" w:hint="eastAsia"/>
          <w:color w:val="0D0D0D"/>
          <w:sz w:val="28"/>
          <w:szCs w:val="28"/>
        </w:rPr>
        <w:t>除</w:t>
      </w:r>
      <w:r w:rsidR="00E94E43" w:rsidRPr="00A4234D">
        <w:rPr>
          <w:rFonts w:ascii="Times New Roman" w:eastAsia="標楷體" w:hAnsi="標楷體"/>
          <w:color w:val="0D0D0D"/>
          <w:sz w:val="28"/>
          <w:szCs w:val="28"/>
        </w:rPr>
        <w:t>外國</w:t>
      </w:r>
      <w:r w:rsidR="00E94E43" w:rsidRPr="00A4234D">
        <w:rPr>
          <w:rFonts w:ascii="Times New Roman" w:eastAsia="標楷體" w:hAnsi="標楷體" w:hint="eastAsia"/>
          <w:color w:val="0D0D0D"/>
          <w:sz w:val="28"/>
          <w:szCs w:val="28"/>
        </w:rPr>
        <w:t>擔任重要政治職務人士與受</w:t>
      </w:r>
      <w:r w:rsidR="00CF3CD6" w:rsidRPr="00A4234D">
        <w:rPr>
          <w:rFonts w:ascii="Times New Roman" w:eastAsia="標楷體" w:hAnsi="標楷體" w:hint="eastAsia"/>
          <w:color w:val="0D0D0D"/>
          <w:sz w:val="28"/>
          <w:szCs w:val="28"/>
        </w:rPr>
        <w:t>經濟制裁、外國政府或國際洗錢防制組織認定或追查之恐怖分子或團體直接視為高風險客戶外，</w:t>
      </w:r>
      <w:r w:rsidR="00BD7503">
        <w:rPr>
          <w:rFonts w:ascii="Times New Roman" w:eastAsia="標楷體" w:hAnsi="標楷體" w:hint="eastAsia"/>
          <w:color w:val="0D0D0D"/>
          <w:sz w:val="28"/>
          <w:szCs w:val="28"/>
        </w:rPr>
        <w:t>證券商</w:t>
      </w:r>
      <w:r w:rsidR="007E29AF" w:rsidRPr="00A4234D">
        <w:rPr>
          <w:rFonts w:ascii="Times New Roman" w:eastAsia="標楷體" w:hAnsi="標楷體" w:hint="eastAsia"/>
          <w:color w:val="0D0D0D"/>
          <w:sz w:val="28"/>
          <w:szCs w:val="28"/>
        </w:rPr>
        <w:t>得依自身之業務型態</w:t>
      </w:r>
      <w:r w:rsidR="001665A9" w:rsidRPr="00A4234D">
        <w:rPr>
          <w:rFonts w:ascii="Times New Roman" w:eastAsia="標楷體" w:hAnsi="標楷體" w:hint="eastAsia"/>
          <w:color w:val="0D0D0D"/>
          <w:sz w:val="28"/>
          <w:szCs w:val="28"/>
        </w:rPr>
        <w:t>及</w:t>
      </w:r>
      <w:r w:rsidR="007E29AF" w:rsidRPr="00A4234D">
        <w:rPr>
          <w:rFonts w:ascii="Times New Roman" w:eastAsia="標楷體" w:hAnsi="標楷體" w:hint="eastAsia"/>
          <w:color w:val="0D0D0D"/>
          <w:sz w:val="28"/>
          <w:szCs w:val="28"/>
        </w:rPr>
        <w:t>考量相關風險因素</w:t>
      </w:r>
      <w:r w:rsidR="007E29AF" w:rsidRPr="00A4234D">
        <w:rPr>
          <w:rFonts w:ascii="Times New Roman" w:eastAsia="標楷體" w:hAnsi="標楷體"/>
          <w:color w:val="0D0D0D"/>
          <w:sz w:val="28"/>
          <w:szCs w:val="28"/>
        </w:rPr>
        <w:t>，</w:t>
      </w:r>
      <w:r w:rsidR="007E29AF" w:rsidRPr="00A4234D">
        <w:rPr>
          <w:rFonts w:ascii="Times New Roman" w:eastAsia="標楷體" w:hAnsi="標楷體" w:hint="eastAsia"/>
          <w:color w:val="0D0D0D"/>
          <w:sz w:val="28"/>
          <w:szCs w:val="28"/>
        </w:rPr>
        <w:t>訂定應直接視為高風險客戶之類型。</w:t>
      </w:r>
    </w:p>
    <w:p w:rsidR="00905F5E" w:rsidRPr="00A4234D" w:rsidRDefault="00BD7503" w:rsidP="007E29AF">
      <w:pPr>
        <w:pStyle w:val="a3"/>
        <w:snapToGrid w:val="0"/>
        <w:spacing w:line="500" w:lineRule="exact"/>
        <w:ind w:leftChars="236" w:left="574" w:hangingChars="3" w:hanging="8"/>
        <w:jc w:val="both"/>
        <w:rPr>
          <w:rFonts w:ascii="Times New Roman" w:eastAsia="標楷體" w:hAnsi="Times New Roman"/>
          <w:color w:val="0D0D0D"/>
          <w:sz w:val="28"/>
          <w:szCs w:val="28"/>
        </w:rPr>
      </w:pPr>
      <w:r>
        <w:rPr>
          <w:rFonts w:ascii="Times New Roman" w:eastAsia="標楷體" w:hAnsi="標楷體" w:hint="eastAsia"/>
          <w:color w:val="0D0D0D"/>
          <w:sz w:val="28"/>
          <w:szCs w:val="28"/>
        </w:rPr>
        <w:t>證券商</w:t>
      </w:r>
      <w:r w:rsidR="007E29AF" w:rsidRPr="00A4234D">
        <w:rPr>
          <w:rFonts w:ascii="Times New Roman" w:eastAsia="標楷體" w:hAnsi="標楷體" w:hint="eastAsia"/>
          <w:color w:val="0D0D0D"/>
          <w:sz w:val="28"/>
          <w:szCs w:val="28"/>
        </w:rPr>
        <w:t>得依據完整</w:t>
      </w:r>
      <w:r w:rsidR="001665A9" w:rsidRPr="00A4234D">
        <w:rPr>
          <w:rFonts w:ascii="Times New Roman" w:eastAsia="標楷體" w:hAnsi="標楷體" w:hint="eastAsia"/>
          <w:color w:val="0D0D0D"/>
          <w:sz w:val="28"/>
          <w:szCs w:val="28"/>
        </w:rPr>
        <w:t>之</w:t>
      </w:r>
      <w:r w:rsidR="007E29AF" w:rsidRPr="00A4234D">
        <w:rPr>
          <w:rFonts w:ascii="Times New Roman" w:eastAsia="標楷體" w:hAnsi="標楷體" w:hint="eastAsia"/>
          <w:color w:val="0D0D0D"/>
          <w:sz w:val="28"/>
          <w:szCs w:val="28"/>
        </w:rPr>
        <w:t>書面</w:t>
      </w:r>
      <w:r w:rsidR="007E29AF" w:rsidRPr="00A4234D">
        <w:rPr>
          <w:rFonts w:ascii="Times New Roman" w:eastAsia="標楷體" w:hAnsi="標楷體"/>
          <w:color w:val="0D0D0D"/>
          <w:sz w:val="28"/>
          <w:szCs w:val="28"/>
        </w:rPr>
        <w:t>風險分析</w:t>
      </w:r>
      <w:r w:rsidR="007E29AF" w:rsidRPr="00A4234D">
        <w:rPr>
          <w:rFonts w:ascii="Times New Roman" w:eastAsia="標楷體" w:hAnsi="標楷體" w:hint="eastAsia"/>
          <w:color w:val="0D0D0D"/>
          <w:sz w:val="28"/>
          <w:szCs w:val="28"/>
        </w:rPr>
        <w:t>結果，自行定義可直接視為低風險客戶之類型，</w:t>
      </w:r>
      <w:r w:rsidR="001665A9" w:rsidRPr="00A4234D">
        <w:rPr>
          <w:rFonts w:ascii="Times New Roman" w:eastAsia="標楷體" w:hAnsi="標楷體" w:hint="eastAsia"/>
          <w:color w:val="0D0D0D"/>
          <w:sz w:val="28"/>
          <w:szCs w:val="28"/>
        </w:rPr>
        <w:t>而</w:t>
      </w:r>
      <w:r w:rsidR="007E29AF" w:rsidRPr="00A4234D">
        <w:rPr>
          <w:rFonts w:ascii="Times New Roman" w:eastAsia="標楷體" w:hAnsi="標楷體" w:hint="eastAsia"/>
          <w:color w:val="0D0D0D"/>
          <w:sz w:val="28"/>
          <w:szCs w:val="28"/>
        </w:rPr>
        <w:t>書面</w:t>
      </w:r>
      <w:r w:rsidR="007E29AF" w:rsidRPr="00A4234D">
        <w:rPr>
          <w:rFonts w:ascii="Times New Roman" w:eastAsia="標楷體" w:hAnsi="標楷體"/>
          <w:color w:val="0D0D0D"/>
          <w:sz w:val="28"/>
          <w:szCs w:val="28"/>
        </w:rPr>
        <w:t>風險分析</w:t>
      </w:r>
      <w:r w:rsidR="007E29AF" w:rsidRPr="00A4234D">
        <w:rPr>
          <w:rFonts w:ascii="Times New Roman" w:eastAsia="標楷體" w:hAnsi="標楷體" w:hint="eastAsia"/>
          <w:color w:val="0D0D0D"/>
          <w:sz w:val="28"/>
          <w:szCs w:val="28"/>
        </w:rPr>
        <w:t>結果</w:t>
      </w:r>
      <w:r w:rsidR="001665A9" w:rsidRPr="00A4234D">
        <w:rPr>
          <w:rFonts w:ascii="Times New Roman" w:eastAsia="標楷體" w:hAnsi="標楷體" w:hint="eastAsia"/>
          <w:color w:val="0D0D0D"/>
          <w:sz w:val="28"/>
          <w:szCs w:val="28"/>
        </w:rPr>
        <w:t>須</w:t>
      </w:r>
      <w:r w:rsidR="007E29AF" w:rsidRPr="00A4234D">
        <w:rPr>
          <w:rFonts w:ascii="Times New Roman" w:eastAsia="標楷體" w:hAnsi="標楷體" w:hint="eastAsia"/>
          <w:color w:val="0D0D0D"/>
          <w:sz w:val="28"/>
          <w:szCs w:val="28"/>
        </w:rPr>
        <w:t>能充分說明此類型客戶與較低之風險因素相稱</w:t>
      </w:r>
      <w:r w:rsidR="00905F5E" w:rsidRPr="00A4234D">
        <w:rPr>
          <w:rFonts w:ascii="Times New Roman" w:eastAsia="標楷體" w:hAnsi="標楷體" w:hint="eastAsia"/>
          <w:color w:val="0D0D0D"/>
          <w:sz w:val="28"/>
          <w:szCs w:val="28"/>
        </w:rPr>
        <w:t>。</w:t>
      </w:r>
    </w:p>
    <w:p w:rsidR="00337CCB" w:rsidRPr="00A4234D" w:rsidRDefault="00337CCB" w:rsidP="00F73ACD">
      <w:pPr>
        <w:pStyle w:val="a3"/>
        <w:snapToGrid w:val="0"/>
        <w:spacing w:line="500" w:lineRule="exact"/>
        <w:jc w:val="both"/>
        <w:rPr>
          <w:rFonts w:ascii="Times New Roman" w:eastAsia="標楷體" w:hAnsi="Times New Roman"/>
          <w:color w:val="0D0D0D"/>
          <w:sz w:val="28"/>
          <w:szCs w:val="28"/>
        </w:rPr>
      </w:pPr>
    </w:p>
    <w:p w:rsidR="00567537" w:rsidRPr="00A4234D" w:rsidRDefault="007934B5" w:rsidP="007228E1">
      <w:pPr>
        <w:pStyle w:val="a3"/>
        <w:snapToGrid w:val="0"/>
        <w:spacing w:line="500" w:lineRule="exact"/>
        <w:ind w:left="599" w:hangingChars="214" w:hanging="599"/>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六</w:t>
      </w:r>
      <w:r w:rsidR="007228E1" w:rsidRPr="00A4234D">
        <w:rPr>
          <w:rFonts w:ascii="Times New Roman" w:eastAsia="標楷體" w:hAnsi="標楷體" w:hint="eastAsia"/>
          <w:color w:val="0D0D0D"/>
          <w:sz w:val="28"/>
          <w:szCs w:val="28"/>
        </w:rPr>
        <w:t>、</w:t>
      </w:r>
      <w:r w:rsidR="004E36C0" w:rsidRPr="00A4234D">
        <w:rPr>
          <w:rFonts w:ascii="Times New Roman" w:eastAsia="標楷體" w:hAnsi="標楷體" w:hint="eastAsia"/>
          <w:color w:val="0D0D0D"/>
          <w:sz w:val="28"/>
          <w:szCs w:val="28"/>
        </w:rPr>
        <w:t>對於</w:t>
      </w:r>
      <w:r w:rsidR="004E36C0" w:rsidRPr="00A4234D">
        <w:rPr>
          <w:rFonts w:ascii="Times New Roman" w:eastAsia="標楷體" w:hAnsi="標楷體"/>
          <w:color w:val="0D0D0D"/>
          <w:sz w:val="28"/>
          <w:szCs w:val="28"/>
        </w:rPr>
        <w:t>新建立</w:t>
      </w:r>
      <w:r w:rsidR="004E36C0" w:rsidRPr="00A4234D">
        <w:rPr>
          <w:rFonts w:ascii="Times New Roman" w:eastAsia="標楷體" w:hAnsi="標楷體" w:hint="eastAsia"/>
          <w:color w:val="0D0D0D"/>
          <w:sz w:val="28"/>
          <w:szCs w:val="28"/>
        </w:rPr>
        <w:t>業務關係</w:t>
      </w:r>
      <w:r w:rsidR="004E36C0" w:rsidRPr="00A4234D">
        <w:rPr>
          <w:rFonts w:ascii="Times New Roman" w:eastAsia="標楷體" w:hAnsi="標楷體"/>
          <w:color w:val="0D0D0D"/>
          <w:sz w:val="28"/>
          <w:szCs w:val="28"/>
        </w:rPr>
        <w:t>的客戶，</w:t>
      </w:r>
      <w:r w:rsidR="00BD7503">
        <w:rPr>
          <w:rFonts w:ascii="Times New Roman" w:eastAsia="標楷體" w:hAnsi="標楷體" w:hint="eastAsia"/>
          <w:color w:val="0D0D0D"/>
          <w:sz w:val="28"/>
          <w:szCs w:val="28"/>
        </w:rPr>
        <w:t>證券商</w:t>
      </w:r>
      <w:r w:rsidR="004E36C0" w:rsidRPr="00A4234D">
        <w:rPr>
          <w:rFonts w:ascii="Times New Roman" w:eastAsia="標楷體" w:hAnsi="標楷體" w:hint="eastAsia"/>
          <w:color w:val="0D0D0D"/>
          <w:sz w:val="28"/>
          <w:szCs w:val="28"/>
        </w:rPr>
        <w:t>應</w:t>
      </w:r>
      <w:r w:rsidR="004E36C0" w:rsidRPr="00A4234D">
        <w:rPr>
          <w:rFonts w:ascii="Times New Roman" w:eastAsia="標楷體" w:hAnsi="標楷體"/>
          <w:color w:val="0D0D0D"/>
          <w:sz w:val="28"/>
          <w:szCs w:val="28"/>
        </w:rPr>
        <w:t>在</w:t>
      </w:r>
      <w:r w:rsidR="004E36C0" w:rsidRPr="00A4234D">
        <w:rPr>
          <w:rFonts w:ascii="Times New Roman" w:eastAsia="標楷體" w:hAnsi="標楷體" w:hint="eastAsia"/>
          <w:color w:val="0D0D0D"/>
          <w:sz w:val="28"/>
          <w:szCs w:val="28"/>
        </w:rPr>
        <w:t>建立業務關係時，確定</w:t>
      </w:r>
      <w:r w:rsidR="004E36C0" w:rsidRPr="00A4234D">
        <w:rPr>
          <w:rFonts w:ascii="Times New Roman" w:eastAsia="標楷體" w:hAnsi="標楷體"/>
          <w:color w:val="0D0D0D"/>
          <w:sz w:val="28"/>
          <w:szCs w:val="28"/>
        </w:rPr>
        <w:t>其</w:t>
      </w:r>
      <w:r w:rsidR="004E36C0" w:rsidRPr="00A4234D">
        <w:rPr>
          <w:rFonts w:ascii="Times New Roman" w:eastAsia="標楷體" w:hAnsi="標楷體"/>
          <w:color w:val="0D0D0D"/>
          <w:sz w:val="28"/>
          <w:szCs w:val="28"/>
        </w:rPr>
        <w:lastRenderedPageBreak/>
        <w:t>風險等級。</w:t>
      </w:r>
    </w:p>
    <w:p w:rsidR="004E36C0" w:rsidRPr="00A4234D" w:rsidRDefault="004E36C0" w:rsidP="004E36C0">
      <w:pPr>
        <w:pStyle w:val="a3"/>
        <w:snapToGrid w:val="0"/>
        <w:spacing w:line="500" w:lineRule="exact"/>
        <w:ind w:leftChars="234" w:left="563" w:hanging="1"/>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對於已確定風險等級之既有客戶，</w:t>
      </w:r>
      <w:r w:rsidR="00BD7503">
        <w:rPr>
          <w:rFonts w:ascii="Times New Roman" w:eastAsia="標楷體" w:hAnsi="標楷體" w:hint="eastAsia"/>
          <w:color w:val="0D0D0D"/>
          <w:sz w:val="28"/>
          <w:szCs w:val="28"/>
        </w:rPr>
        <w:t>證券商</w:t>
      </w:r>
      <w:r w:rsidRPr="00A4234D">
        <w:rPr>
          <w:rFonts w:ascii="Times New Roman" w:eastAsia="標楷體" w:hAnsi="標楷體" w:hint="eastAsia"/>
          <w:color w:val="0D0D0D"/>
          <w:sz w:val="28"/>
          <w:szCs w:val="28"/>
        </w:rPr>
        <w:t>應依據其風險評估政策及程序，重新進行客戶風險評估。</w:t>
      </w:r>
    </w:p>
    <w:p w:rsidR="006644D4" w:rsidRPr="00A4234D" w:rsidRDefault="004E36C0" w:rsidP="004E36C0">
      <w:pPr>
        <w:pStyle w:val="a3"/>
        <w:snapToGrid w:val="0"/>
        <w:spacing w:line="500" w:lineRule="exact"/>
        <w:ind w:leftChars="234" w:left="563" w:hanging="1"/>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雖然</w:t>
      </w:r>
      <w:r w:rsidR="00BD7503">
        <w:rPr>
          <w:rFonts w:ascii="Times New Roman" w:eastAsia="標楷體" w:hAnsi="標楷體" w:hint="eastAsia"/>
          <w:color w:val="0D0D0D"/>
          <w:sz w:val="28"/>
          <w:szCs w:val="28"/>
        </w:rPr>
        <w:t>證券商</w:t>
      </w:r>
      <w:r w:rsidRPr="00A4234D">
        <w:rPr>
          <w:rFonts w:ascii="Times New Roman" w:eastAsia="標楷體" w:hAnsi="標楷體" w:hint="eastAsia"/>
          <w:color w:val="0D0D0D"/>
          <w:sz w:val="28"/>
          <w:szCs w:val="28"/>
        </w:rPr>
        <w:t>在建立業務關係時已對客戶進行風險評估，但就某些客戶而言，必須待客戶透過帳戶進行交易，其全面風險狀況才會變得明確，故</w:t>
      </w:r>
      <w:r w:rsidR="00C2735A" w:rsidRPr="00A4234D">
        <w:rPr>
          <w:rFonts w:ascii="Times New Roman" w:eastAsia="標楷體" w:hAnsi="標楷體" w:hint="eastAsia"/>
          <w:color w:val="0D0D0D"/>
          <w:sz w:val="28"/>
          <w:szCs w:val="28"/>
        </w:rPr>
        <w:t>於得</w:t>
      </w:r>
      <w:r w:rsidR="007F0A5B" w:rsidRPr="00A4234D">
        <w:rPr>
          <w:rFonts w:ascii="Times New Roman" w:eastAsia="標楷體" w:hAnsi="標楷體" w:hint="eastAsia"/>
          <w:color w:val="0D0D0D"/>
          <w:sz w:val="28"/>
          <w:szCs w:val="28"/>
        </w:rPr>
        <w:t>知</w:t>
      </w:r>
      <w:r w:rsidR="00C2735A" w:rsidRPr="00A4234D">
        <w:rPr>
          <w:rFonts w:ascii="Times New Roman" w:eastAsia="標楷體" w:hAnsi="標楷體" w:hint="eastAsia"/>
          <w:color w:val="0D0D0D"/>
          <w:sz w:val="28"/>
          <w:szCs w:val="28"/>
        </w:rPr>
        <w:t>客戶身分與背景資訊有重大變動、或</w:t>
      </w:r>
      <w:r w:rsidR="001665A9" w:rsidRPr="00A4234D">
        <w:rPr>
          <w:rFonts w:ascii="Times New Roman" w:eastAsia="標楷體" w:hAnsi="標楷體" w:hint="eastAsia"/>
          <w:color w:val="0D0D0D"/>
          <w:sz w:val="28"/>
          <w:szCs w:val="28"/>
        </w:rPr>
        <w:t>察</w:t>
      </w:r>
      <w:r w:rsidR="00C2735A" w:rsidRPr="00A4234D">
        <w:rPr>
          <w:rFonts w:ascii="Times New Roman" w:eastAsia="標楷體" w:hAnsi="標楷體" w:hint="eastAsia"/>
          <w:color w:val="0D0D0D"/>
          <w:sz w:val="28"/>
          <w:szCs w:val="28"/>
        </w:rPr>
        <w:t>覺客戶交易模式變更時，應適時調整客戶風險等級</w:t>
      </w:r>
      <w:r w:rsidRPr="00A4234D">
        <w:rPr>
          <w:rFonts w:ascii="Times New Roman" w:eastAsia="標楷體" w:hAnsi="標楷體" w:hint="eastAsia"/>
          <w:color w:val="0D0D0D"/>
          <w:sz w:val="28"/>
          <w:szCs w:val="28"/>
        </w:rPr>
        <w:t>。</w:t>
      </w:r>
    </w:p>
    <w:p w:rsidR="004E36C0" w:rsidRPr="00A4234D" w:rsidRDefault="001665A9" w:rsidP="004E36C0">
      <w:pPr>
        <w:pStyle w:val="a3"/>
        <w:snapToGrid w:val="0"/>
        <w:spacing w:line="500" w:lineRule="exact"/>
        <w:ind w:leftChars="234" w:left="563" w:hanging="1"/>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針對</w:t>
      </w:r>
      <w:r w:rsidR="004E36C0" w:rsidRPr="00A4234D">
        <w:rPr>
          <w:rFonts w:ascii="Times New Roman" w:eastAsia="標楷體" w:hAnsi="標楷體" w:hint="eastAsia"/>
          <w:color w:val="0D0D0D"/>
          <w:sz w:val="28"/>
          <w:szCs w:val="28"/>
        </w:rPr>
        <w:t>重新進行客戶風險評估之時點，舉例說明如下：</w:t>
      </w:r>
    </w:p>
    <w:p w:rsidR="00B92A38" w:rsidRPr="00A4234D" w:rsidRDefault="004E36C0" w:rsidP="00F559AC">
      <w:pPr>
        <w:pStyle w:val="a3"/>
        <w:numPr>
          <w:ilvl w:val="0"/>
          <w:numId w:val="20"/>
        </w:numPr>
        <w:snapToGrid w:val="0"/>
        <w:spacing w:line="500" w:lineRule="exact"/>
        <w:ind w:left="1148" w:hanging="840"/>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客戶加開帳戶或新增業</w:t>
      </w:r>
      <w:r w:rsidR="009F3B13" w:rsidRPr="00A4234D">
        <w:rPr>
          <w:rFonts w:ascii="Times New Roman" w:eastAsia="標楷體" w:hAnsi="標楷體" w:hint="eastAsia"/>
          <w:color w:val="0D0D0D"/>
          <w:sz w:val="28"/>
          <w:szCs w:val="28"/>
        </w:rPr>
        <w:tab/>
      </w:r>
      <w:r w:rsidRPr="00A4234D">
        <w:rPr>
          <w:rFonts w:ascii="Times New Roman" w:eastAsia="標楷體" w:hAnsi="標楷體" w:hint="eastAsia"/>
          <w:color w:val="0D0D0D"/>
          <w:sz w:val="28"/>
          <w:szCs w:val="28"/>
        </w:rPr>
        <w:t>務往來關係時</w:t>
      </w:r>
      <w:r w:rsidR="00B92A38" w:rsidRPr="00A4234D">
        <w:rPr>
          <w:rFonts w:ascii="Times New Roman" w:eastAsia="標楷體" w:hAnsi="標楷體" w:hint="eastAsia"/>
          <w:color w:val="0D0D0D"/>
          <w:sz w:val="28"/>
          <w:szCs w:val="28"/>
        </w:rPr>
        <w:t>。</w:t>
      </w:r>
    </w:p>
    <w:p w:rsidR="00B92A38" w:rsidRPr="00A4234D" w:rsidRDefault="004673EE" w:rsidP="00F559AC">
      <w:pPr>
        <w:pStyle w:val="a3"/>
        <w:numPr>
          <w:ilvl w:val="0"/>
          <w:numId w:val="20"/>
        </w:numPr>
        <w:snapToGrid w:val="0"/>
        <w:spacing w:line="500" w:lineRule="exact"/>
        <w:ind w:left="1148" w:hanging="840"/>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依據客戶風險等級進行定期客戶審查時</w:t>
      </w:r>
      <w:r w:rsidR="00B92A38" w:rsidRPr="00A4234D">
        <w:rPr>
          <w:rFonts w:ascii="Times New Roman" w:eastAsia="標楷體" w:hAnsi="標楷體" w:hint="eastAsia"/>
          <w:color w:val="0D0D0D"/>
          <w:sz w:val="28"/>
          <w:szCs w:val="28"/>
        </w:rPr>
        <w:t>。</w:t>
      </w:r>
    </w:p>
    <w:p w:rsidR="004673EE" w:rsidRPr="00A4234D" w:rsidRDefault="004673EE" w:rsidP="00F559AC">
      <w:pPr>
        <w:pStyle w:val="a3"/>
        <w:numPr>
          <w:ilvl w:val="0"/>
          <w:numId w:val="20"/>
        </w:numPr>
        <w:snapToGrid w:val="0"/>
        <w:spacing w:line="500" w:lineRule="exact"/>
        <w:ind w:left="1148" w:hanging="840"/>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經申報疑似洗錢交易等</w:t>
      </w:r>
      <w:r w:rsidR="001665A9" w:rsidRPr="00A4234D">
        <w:rPr>
          <w:rFonts w:ascii="Times New Roman" w:eastAsia="標楷體" w:hAnsi="標楷體" w:hint="eastAsia"/>
          <w:color w:val="0D0D0D"/>
          <w:sz w:val="28"/>
          <w:szCs w:val="28"/>
        </w:rPr>
        <w:t>，</w:t>
      </w:r>
      <w:r w:rsidRPr="00A4234D">
        <w:rPr>
          <w:rFonts w:ascii="Times New Roman" w:eastAsia="標楷體" w:hAnsi="標楷體"/>
          <w:color w:val="0D0D0D"/>
          <w:sz w:val="28"/>
          <w:szCs w:val="28"/>
        </w:rPr>
        <w:t>可能導致</w:t>
      </w:r>
      <w:r w:rsidRPr="00A4234D">
        <w:rPr>
          <w:rFonts w:ascii="Times New Roman" w:eastAsia="標楷體" w:hAnsi="標楷體" w:hint="eastAsia"/>
          <w:color w:val="0D0D0D"/>
          <w:sz w:val="28"/>
          <w:szCs w:val="28"/>
        </w:rPr>
        <w:t>客戶</w:t>
      </w:r>
      <w:r w:rsidRPr="00A4234D">
        <w:rPr>
          <w:rFonts w:ascii="Times New Roman" w:eastAsia="標楷體" w:hAnsi="標楷體"/>
          <w:color w:val="0D0D0D"/>
          <w:sz w:val="28"/>
          <w:szCs w:val="28"/>
        </w:rPr>
        <w:t>風險狀況</w:t>
      </w:r>
      <w:r w:rsidRPr="00A4234D">
        <w:rPr>
          <w:rFonts w:ascii="Times New Roman" w:eastAsia="標楷體" w:hAnsi="標楷體" w:hint="eastAsia"/>
          <w:color w:val="0D0D0D"/>
          <w:sz w:val="28"/>
          <w:szCs w:val="28"/>
        </w:rPr>
        <w:t>發生實質</w:t>
      </w:r>
      <w:r w:rsidRPr="00A4234D">
        <w:rPr>
          <w:rFonts w:ascii="Times New Roman" w:eastAsia="標楷體" w:hAnsi="標楷體"/>
          <w:color w:val="0D0D0D"/>
          <w:sz w:val="28"/>
          <w:szCs w:val="28"/>
        </w:rPr>
        <w:t>性變化的事件</w:t>
      </w:r>
      <w:r w:rsidRPr="00A4234D">
        <w:rPr>
          <w:rFonts w:ascii="Times New Roman" w:eastAsia="標楷體" w:hAnsi="標楷體" w:hint="eastAsia"/>
          <w:color w:val="0D0D0D"/>
          <w:sz w:val="28"/>
          <w:szCs w:val="28"/>
        </w:rPr>
        <w:t>發</w:t>
      </w:r>
      <w:r w:rsidRPr="00A4234D">
        <w:rPr>
          <w:rFonts w:ascii="Times New Roman" w:eastAsia="標楷體" w:hAnsi="標楷體"/>
          <w:color w:val="0D0D0D"/>
          <w:sz w:val="28"/>
          <w:szCs w:val="28"/>
        </w:rPr>
        <w:t>生時</w:t>
      </w:r>
      <w:r w:rsidRPr="00A4234D">
        <w:rPr>
          <w:rFonts w:ascii="Times New Roman" w:eastAsia="標楷體" w:hAnsi="標楷體" w:hint="eastAsia"/>
          <w:color w:val="0D0D0D"/>
          <w:sz w:val="28"/>
          <w:szCs w:val="28"/>
        </w:rPr>
        <w:t>。</w:t>
      </w:r>
    </w:p>
    <w:p w:rsidR="00C3701D" w:rsidRPr="00A4234D" w:rsidRDefault="00C3701D" w:rsidP="00F73ACD">
      <w:pPr>
        <w:pStyle w:val="a3"/>
        <w:snapToGrid w:val="0"/>
        <w:spacing w:line="500" w:lineRule="exact"/>
        <w:jc w:val="both"/>
        <w:rPr>
          <w:rFonts w:ascii="Times New Roman" w:eastAsia="標楷體" w:hAnsi="Times New Roman"/>
          <w:color w:val="0D0D0D"/>
          <w:sz w:val="28"/>
          <w:szCs w:val="28"/>
        </w:rPr>
      </w:pPr>
    </w:p>
    <w:p w:rsidR="008B0923" w:rsidRPr="00A4234D" w:rsidRDefault="007934B5" w:rsidP="007228E1">
      <w:pPr>
        <w:pStyle w:val="a3"/>
        <w:snapToGrid w:val="0"/>
        <w:spacing w:line="500" w:lineRule="exact"/>
        <w:ind w:left="599" w:hangingChars="214" w:hanging="599"/>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七</w:t>
      </w:r>
      <w:r w:rsidR="007228E1" w:rsidRPr="00A4234D">
        <w:rPr>
          <w:rFonts w:ascii="Times New Roman" w:eastAsia="標楷體" w:hAnsi="標楷體" w:hint="eastAsia"/>
          <w:color w:val="0D0D0D"/>
          <w:sz w:val="28"/>
          <w:szCs w:val="28"/>
        </w:rPr>
        <w:t>、</w:t>
      </w:r>
      <w:r w:rsidR="00BD7503">
        <w:rPr>
          <w:rFonts w:ascii="Times New Roman" w:eastAsia="標楷體" w:hAnsi="標楷體" w:hint="eastAsia"/>
          <w:color w:val="0D0D0D"/>
          <w:sz w:val="28"/>
          <w:szCs w:val="28"/>
        </w:rPr>
        <w:t>證券商</w:t>
      </w:r>
      <w:r w:rsidR="008B0923" w:rsidRPr="00A4234D">
        <w:rPr>
          <w:rFonts w:ascii="Times New Roman" w:eastAsia="標楷體" w:hAnsi="標楷體" w:hint="eastAsia"/>
          <w:color w:val="0D0D0D"/>
          <w:sz w:val="28"/>
          <w:szCs w:val="28"/>
        </w:rPr>
        <w:t>應依據已識別之風險，建立相對應的管控措施</w:t>
      </w:r>
      <w:r w:rsidR="001665A9" w:rsidRPr="00A4234D">
        <w:rPr>
          <w:rFonts w:ascii="Times New Roman" w:eastAsia="標楷體" w:hAnsi="標楷體" w:hint="eastAsia"/>
          <w:color w:val="0D0D0D"/>
          <w:sz w:val="28"/>
          <w:szCs w:val="28"/>
        </w:rPr>
        <w:t>，</w:t>
      </w:r>
      <w:r w:rsidR="008B0923" w:rsidRPr="00A4234D">
        <w:rPr>
          <w:rFonts w:ascii="Times New Roman" w:eastAsia="標楷體" w:hAnsi="標楷體" w:hint="eastAsia"/>
          <w:color w:val="0D0D0D"/>
          <w:sz w:val="28"/>
          <w:szCs w:val="28"/>
        </w:rPr>
        <w:t>以降低或預防該洗錢風險；</w:t>
      </w:r>
      <w:r w:rsidR="00BD7503">
        <w:rPr>
          <w:rFonts w:ascii="Times New Roman" w:eastAsia="標楷體" w:hAnsi="標楷體" w:hint="eastAsia"/>
          <w:color w:val="0D0D0D"/>
          <w:sz w:val="28"/>
          <w:szCs w:val="28"/>
        </w:rPr>
        <w:t>證券商</w:t>
      </w:r>
      <w:r w:rsidR="008B0923" w:rsidRPr="00A4234D">
        <w:rPr>
          <w:rFonts w:ascii="Times New Roman" w:eastAsia="標楷體" w:hAnsi="標楷體" w:hint="eastAsia"/>
          <w:color w:val="0D0D0D"/>
          <w:sz w:val="28"/>
          <w:szCs w:val="28"/>
        </w:rPr>
        <w:t>應依據客戶的風險程度，決定不同風險等級客戶所適用的管控措施。</w:t>
      </w:r>
    </w:p>
    <w:p w:rsidR="008B0923" w:rsidRPr="00A4234D" w:rsidRDefault="008B0923" w:rsidP="008B0923">
      <w:pPr>
        <w:pStyle w:val="a3"/>
        <w:snapToGrid w:val="0"/>
        <w:spacing w:line="500" w:lineRule="exact"/>
        <w:ind w:leftChars="236" w:left="574" w:hangingChars="3" w:hanging="8"/>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對於風險之管控措施，應由</w:t>
      </w:r>
      <w:r w:rsidR="00BD7503">
        <w:rPr>
          <w:rFonts w:ascii="Times New Roman" w:eastAsia="標楷體" w:hAnsi="標楷體" w:hint="eastAsia"/>
          <w:color w:val="0D0D0D"/>
          <w:sz w:val="28"/>
          <w:szCs w:val="28"/>
        </w:rPr>
        <w:t>證券商</w:t>
      </w:r>
      <w:r w:rsidRPr="00A4234D">
        <w:rPr>
          <w:rFonts w:ascii="Times New Roman" w:eastAsia="標楷體" w:hAnsi="標楷體" w:hint="eastAsia"/>
          <w:color w:val="0D0D0D"/>
          <w:sz w:val="28"/>
          <w:szCs w:val="28"/>
        </w:rPr>
        <w:t>依據其風險防制政策、監控及程序，針對各類型之高風險客戶採取不同的管控措施</w:t>
      </w:r>
      <w:r w:rsidR="001665A9" w:rsidRPr="00A4234D">
        <w:rPr>
          <w:rFonts w:ascii="Times New Roman" w:eastAsia="標楷體" w:hAnsi="標楷體" w:hint="eastAsia"/>
          <w:color w:val="0D0D0D"/>
          <w:sz w:val="28"/>
          <w:szCs w:val="28"/>
        </w:rPr>
        <w:t>，</w:t>
      </w:r>
      <w:r w:rsidRPr="00A4234D">
        <w:rPr>
          <w:rFonts w:ascii="Times New Roman" w:eastAsia="標楷體" w:hAnsi="標楷體" w:hint="eastAsia"/>
          <w:color w:val="0D0D0D"/>
          <w:sz w:val="28"/>
          <w:szCs w:val="28"/>
        </w:rPr>
        <w:t>以</w:t>
      </w:r>
      <w:r w:rsidRPr="00A4234D">
        <w:rPr>
          <w:rFonts w:ascii="Times New Roman" w:eastAsia="標楷體" w:hAnsi="標楷體"/>
          <w:color w:val="0D0D0D"/>
          <w:sz w:val="28"/>
          <w:szCs w:val="28"/>
        </w:rPr>
        <w:t>有效管理和降低已知風險</w:t>
      </w:r>
      <w:r w:rsidRPr="00A4234D">
        <w:rPr>
          <w:rFonts w:ascii="Times New Roman" w:eastAsia="標楷體" w:hAnsi="標楷體" w:hint="eastAsia"/>
          <w:color w:val="0D0D0D"/>
          <w:sz w:val="28"/>
          <w:szCs w:val="28"/>
        </w:rPr>
        <w:t>，舉例說明如下：</w:t>
      </w:r>
    </w:p>
    <w:p w:rsidR="00567537" w:rsidRPr="00A4234D" w:rsidRDefault="008B0923" w:rsidP="00952FB8">
      <w:pPr>
        <w:pStyle w:val="a3"/>
        <w:numPr>
          <w:ilvl w:val="0"/>
          <w:numId w:val="21"/>
        </w:numPr>
        <w:snapToGrid w:val="0"/>
        <w:spacing w:line="500" w:lineRule="exact"/>
        <w:ind w:left="1162" w:hanging="854"/>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進行加強客戶審查措施</w:t>
      </w:r>
      <w:r w:rsidRPr="00A4234D">
        <w:rPr>
          <w:rFonts w:ascii="Times New Roman" w:eastAsia="標楷體" w:hAnsi="標楷體" w:hint="eastAsia"/>
          <w:color w:val="0D0D0D"/>
          <w:sz w:val="28"/>
          <w:szCs w:val="28"/>
        </w:rPr>
        <w:t>(Enhance</w:t>
      </w:r>
      <w:r w:rsidR="0003196A" w:rsidRPr="00A4234D">
        <w:rPr>
          <w:rFonts w:ascii="Times New Roman" w:eastAsia="標楷體" w:hAnsi="標楷體" w:hint="eastAsia"/>
          <w:color w:val="0D0D0D"/>
          <w:sz w:val="28"/>
          <w:szCs w:val="28"/>
        </w:rPr>
        <w:t>d</w:t>
      </w:r>
      <w:r w:rsidRPr="00A4234D">
        <w:rPr>
          <w:rFonts w:ascii="Times New Roman" w:eastAsia="標楷體" w:hAnsi="標楷體" w:hint="eastAsia"/>
          <w:color w:val="0D0D0D"/>
          <w:sz w:val="28"/>
          <w:szCs w:val="28"/>
        </w:rPr>
        <w:t xml:space="preserve"> Due Diligence)</w:t>
      </w:r>
      <w:r w:rsidR="00986C3F" w:rsidRPr="00A4234D">
        <w:rPr>
          <w:rFonts w:ascii="Times New Roman" w:eastAsia="標楷體" w:hAnsi="標楷體" w:hint="eastAsia"/>
          <w:color w:val="0D0D0D"/>
          <w:sz w:val="28"/>
          <w:szCs w:val="28"/>
        </w:rPr>
        <w:t>，</w:t>
      </w:r>
      <w:r w:rsidR="00216057" w:rsidRPr="00A4234D">
        <w:rPr>
          <w:rFonts w:ascii="Times New Roman" w:eastAsia="標楷體" w:hAnsi="標楷體" w:hint="eastAsia"/>
          <w:color w:val="0D0D0D"/>
          <w:sz w:val="28"/>
          <w:szCs w:val="28"/>
        </w:rPr>
        <w:t>例如</w:t>
      </w:r>
      <w:r w:rsidR="007228E1" w:rsidRPr="00A4234D">
        <w:rPr>
          <w:rFonts w:ascii="Times New Roman" w:eastAsia="標楷體" w:hAnsi="標楷體" w:hint="eastAsia"/>
          <w:color w:val="0D0D0D"/>
          <w:sz w:val="28"/>
          <w:szCs w:val="28"/>
        </w:rPr>
        <w:t>：</w:t>
      </w:r>
    </w:p>
    <w:p w:rsidR="00642D32" w:rsidRDefault="00642D32" w:rsidP="00952FB8">
      <w:pPr>
        <w:pStyle w:val="a3"/>
        <w:numPr>
          <w:ilvl w:val="0"/>
          <w:numId w:val="31"/>
        </w:numPr>
        <w:tabs>
          <w:tab w:val="clear" w:pos="1780"/>
          <w:tab w:val="num" w:pos="1190"/>
        </w:tabs>
        <w:snapToGrid w:val="0"/>
        <w:spacing w:line="500" w:lineRule="exact"/>
        <w:ind w:left="1176" w:hanging="504"/>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取得開戶</w:t>
      </w:r>
      <w:r w:rsidR="00EB0063" w:rsidRPr="00A4234D">
        <w:rPr>
          <w:rFonts w:ascii="Times New Roman" w:eastAsia="標楷體" w:hAnsi="標楷體" w:hint="eastAsia"/>
          <w:color w:val="0D0D0D"/>
          <w:sz w:val="28"/>
          <w:szCs w:val="28"/>
        </w:rPr>
        <w:t>與往來目的之</w:t>
      </w:r>
      <w:r w:rsidRPr="00A4234D">
        <w:rPr>
          <w:rFonts w:ascii="Times New Roman" w:eastAsia="標楷體" w:hAnsi="標楷體" w:hint="eastAsia"/>
          <w:color w:val="0D0D0D"/>
          <w:sz w:val="28"/>
          <w:szCs w:val="28"/>
        </w:rPr>
        <w:t>相關資料：</w:t>
      </w:r>
      <w:r w:rsidRPr="00A4234D">
        <w:rPr>
          <w:rFonts w:ascii="Times New Roman" w:eastAsia="標楷體" w:hAnsi="標楷體"/>
          <w:color w:val="0D0D0D"/>
          <w:sz w:val="28"/>
          <w:szCs w:val="28"/>
        </w:rPr>
        <w:t>如</w:t>
      </w:r>
      <w:r w:rsidRPr="00A4234D">
        <w:rPr>
          <w:rFonts w:ascii="Times New Roman" w:eastAsia="標楷體" w:hAnsi="標楷體" w:hint="eastAsia"/>
          <w:color w:val="0D0D0D"/>
          <w:sz w:val="28"/>
          <w:szCs w:val="28"/>
        </w:rPr>
        <w:t>帳戶用途、</w:t>
      </w:r>
      <w:r w:rsidRPr="00A4234D">
        <w:rPr>
          <w:rFonts w:ascii="Times New Roman" w:eastAsia="標楷體" w:hAnsi="標楷體"/>
          <w:color w:val="0D0D0D"/>
          <w:sz w:val="28"/>
          <w:szCs w:val="28"/>
        </w:rPr>
        <w:t>預期的</w:t>
      </w:r>
      <w:r w:rsidRPr="00A4234D">
        <w:rPr>
          <w:rFonts w:ascii="Times New Roman" w:eastAsia="標楷體" w:hAnsi="標楷體" w:hint="eastAsia"/>
          <w:color w:val="0D0D0D"/>
          <w:sz w:val="28"/>
          <w:szCs w:val="28"/>
        </w:rPr>
        <w:t>客戶交易</w:t>
      </w:r>
      <w:r w:rsidR="00EB0063" w:rsidRPr="00A4234D">
        <w:rPr>
          <w:rFonts w:ascii="Times New Roman" w:eastAsia="標楷體" w:hAnsi="標楷體"/>
          <w:color w:val="0D0D0D"/>
          <w:sz w:val="28"/>
          <w:szCs w:val="28"/>
        </w:rPr>
        <w:t>活動</w:t>
      </w:r>
      <w:r w:rsidRPr="00A4234D">
        <w:rPr>
          <w:rFonts w:ascii="Times New Roman" w:eastAsia="標楷體" w:hAnsi="標楷體" w:hint="eastAsia"/>
          <w:color w:val="0D0D0D"/>
          <w:sz w:val="28"/>
          <w:szCs w:val="28"/>
        </w:rPr>
        <w:t>等</w:t>
      </w:r>
      <w:r w:rsidRPr="00A4234D">
        <w:rPr>
          <w:rFonts w:ascii="Times New Roman" w:eastAsia="標楷體" w:hAnsi="標楷體"/>
          <w:color w:val="0D0D0D"/>
          <w:sz w:val="28"/>
          <w:szCs w:val="28"/>
        </w:rPr>
        <w:t>資料</w:t>
      </w:r>
      <w:r w:rsidR="008E4AC1" w:rsidRPr="00A4234D">
        <w:rPr>
          <w:rFonts w:ascii="Times New Roman" w:eastAsia="標楷體" w:hAnsi="標楷體"/>
          <w:color w:val="0D0D0D"/>
          <w:sz w:val="28"/>
          <w:szCs w:val="28"/>
        </w:rPr>
        <w:t>。</w:t>
      </w:r>
    </w:p>
    <w:p w:rsidR="001D2EE9" w:rsidRDefault="00642D32" w:rsidP="00952FB8">
      <w:pPr>
        <w:pStyle w:val="a3"/>
        <w:numPr>
          <w:ilvl w:val="0"/>
          <w:numId w:val="31"/>
        </w:numPr>
        <w:tabs>
          <w:tab w:val="clear" w:pos="1780"/>
          <w:tab w:val="num" w:pos="1190"/>
        </w:tabs>
        <w:snapToGrid w:val="0"/>
        <w:spacing w:line="500" w:lineRule="exact"/>
        <w:ind w:left="1176" w:hanging="504"/>
        <w:jc w:val="both"/>
        <w:rPr>
          <w:rFonts w:ascii="Times New Roman" w:eastAsia="標楷體" w:hAnsi="標楷體"/>
          <w:color w:val="0D0D0D"/>
          <w:sz w:val="28"/>
          <w:szCs w:val="28"/>
        </w:rPr>
      </w:pPr>
      <w:r w:rsidRPr="00952FB8">
        <w:rPr>
          <w:rFonts w:ascii="Times New Roman" w:eastAsia="標楷體" w:hAnsi="標楷體" w:hint="eastAsia"/>
          <w:color w:val="0D0D0D"/>
          <w:sz w:val="28"/>
          <w:szCs w:val="28"/>
        </w:rPr>
        <w:t>進行客戶資產評估：取得客戶</w:t>
      </w:r>
      <w:r w:rsidRPr="00952FB8">
        <w:rPr>
          <w:rFonts w:ascii="Times New Roman" w:eastAsia="標楷體" w:hAnsi="標楷體"/>
          <w:color w:val="0D0D0D"/>
          <w:sz w:val="28"/>
          <w:szCs w:val="28"/>
        </w:rPr>
        <w:t>財富來源</w:t>
      </w:r>
      <w:r w:rsidRPr="00952FB8">
        <w:rPr>
          <w:rFonts w:ascii="Times New Roman" w:eastAsia="標楷體" w:hAnsi="標楷體" w:hint="eastAsia"/>
          <w:color w:val="0D0D0D"/>
          <w:sz w:val="28"/>
          <w:szCs w:val="28"/>
        </w:rPr>
        <w:t>、往來</w:t>
      </w:r>
      <w:r w:rsidRPr="00952FB8">
        <w:rPr>
          <w:rFonts w:ascii="Times New Roman" w:eastAsia="標楷體" w:hAnsi="標楷體"/>
          <w:color w:val="0D0D0D"/>
          <w:sz w:val="28"/>
          <w:szCs w:val="28"/>
        </w:rPr>
        <w:t>資金來源</w:t>
      </w:r>
      <w:r w:rsidR="004036CB" w:rsidRPr="00952FB8">
        <w:rPr>
          <w:rFonts w:ascii="Times New Roman" w:eastAsia="標楷體" w:hAnsi="標楷體" w:hint="eastAsia"/>
          <w:color w:val="0D0D0D"/>
          <w:sz w:val="28"/>
          <w:szCs w:val="28"/>
        </w:rPr>
        <w:t>、資產種類與數量</w:t>
      </w:r>
      <w:r w:rsidRPr="00952FB8">
        <w:rPr>
          <w:rFonts w:ascii="Times New Roman" w:eastAsia="標楷體" w:hAnsi="標楷體" w:hint="eastAsia"/>
          <w:color w:val="0D0D0D"/>
          <w:sz w:val="28"/>
          <w:szCs w:val="28"/>
        </w:rPr>
        <w:t>以對</w:t>
      </w:r>
      <w:r w:rsidR="004036CB" w:rsidRPr="00952FB8">
        <w:rPr>
          <w:rFonts w:ascii="Times New Roman" w:eastAsia="標楷體" w:hAnsi="標楷體" w:hint="eastAsia"/>
          <w:color w:val="0D0D0D"/>
          <w:sz w:val="28"/>
          <w:szCs w:val="28"/>
        </w:rPr>
        <w:t>客戶</w:t>
      </w:r>
      <w:r w:rsidRPr="00952FB8">
        <w:rPr>
          <w:rFonts w:ascii="Times New Roman" w:eastAsia="標楷體" w:hAnsi="標楷體" w:hint="eastAsia"/>
          <w:color w:val="0D0D0D"/>
          <w:sz w:val="28"/>
          <w:szCs w:val="28"/>
        </w:rPr>
        <w:t>進行資產評估</w:t>
      </w:r>
      <w:r w:rsidR="008E4AC1" w:rsidRPr="00952FB8">
        <w:rPr>
          <w:rFonts w:ascii="Times New Roman" w:eastAsia="標楷體" w:hAnsi="標楷體"/>
          <w:color w:val="0D0D0D"/>
          <w:sz w:val="28"/>
          <w:szCs w:val="28"/>
        </w:rPr>
        <w:t>。</w:t>
      </w:r>
    </w:p>
    <w:p w:rsidR="00642D32" w:rsidRDefault="00642D32" w:rsidP="00952FB8">
      <w:pPr>
        <w:pStyle w:val="a3"/>
        <w:numPr>
          <w:ilvl w:val="0"/>
          <w:numId w:val="31"/>
        </w:numPr>
        <w:tabs>
          <w:tab w:val="clear" w:pos="1780"/>
          <w:tab w:val="num" w:pos="1190"/>
        </w:tabs>
        <w:snapToGrid w:val="0"/>
        <w:spacing w:line="500" w:lineRule="exact"/>
        <w:ind w:left="1176" w:hanging="504"/>
        <w:jc w:val="both"/>
        <w:rPr>
          <w:rFonts w:ascii="Times New Roman" w:eastAsia="標楷體" w:hAnsi="標楷體"/>
          <w:color w:val="0D0D0D"/>
          <w:sz w:val="28"/>
          <w:szCs w:val="28"/>
        </w:rPr>
      </w:pPr>
      <w:r w:rsidRPr="00952FB8">
        <w:rPr>
          <w:rFonts w:ascii="Times New Roman" w:eastAsia="標楷體" w:hAnsi="標楷體"/>
          <w:color w:val="0D0D0D"/>
          <w:sz w:val="28"/>
          <w:szCs w:val="28"/>
        </w:rPr>
        <w:t>取得客戶</w:t>
      </w:r>
      <w:r w:rsidRPr="00952FB8">
        <w:rPr>
          <w:rFonts w:ascii="Times New Roman" w:eastAsia="標楷體" w:hAnsi="標楷體" w:hint="eastAsia"/>
          <w:color w:val="0D0D0D"/>
          <w:sz w:val="28"/>
          <w:szCs w:val="28"/>
        </w:rPr>
        <w:t>進一步之商業</w:t>
      </w:r>
      <w:r w:rsidRPr="00952FB8">
        <w:rPr>
          <w:rFonts w:ascii="Times New Roman" w:eastAsia="標楷體" w:hAnsi="標楷體"/>
          <w:color w:val="0D0D0D"/>
          <w:sz w:val="28"/>
          <w:szCs w:val="28"/>
        </w:rPr>
        <w:t>資</w:t>
      </w:r>
      <w:r w:rsidRPr="00952FB8">
        <w:rPr>
          <w:rFonts w:ascii="Times New Roman" w:eastAsia="標楷體" w:hAnsi="標楷體" w:hint="eastAsia"/>
          <w:color w:val="0D0D0D"/>
          <w:sz w:val="28"/>
          <w:szCs w:val="28"/>
        </w:rPr>
        <w:t>訊</w:t>
      </w:r>
      <w:r w:rsidR="00EB0063" w:rsidRPr="00952FB8">
        <w:rPr>
          <w:rFonts w:ascii="Times New Roman" w:eastAsia="標楷體" w:hAnsi="標楷體" w:hint="eastAsia"/>
          <w:color w:val="0D0D0D"/>
          <w:sz w:val="28"/>
          <w:szCs w:val="28"/>
        </w:rPr>
        <w:t>：瞭解客戶最新</w:t>
      </w:r>
      <w:r w:rsidRPr="00952FB8">
        <w:rPr>
          <w:rFonts w:ascii="Times New Roman" w:eastAsia="標楷體" w:hAnsi="標楷體" w:hint="eastAsia"/>
          <w:color w:val="0D0D0D"/>
          <w:sz w:val="28"/>
          <w:szCs w:val="28"/>
        </w:rPr>
        <w:t>商業活動</w:t>
      </w:r>
      <w:r w:rsidR="00296757" w:rsidRPr="00952FB8">
        <w:rPr>
          <w:rFonts w:ascii="Times New Roman" w:eastAsia="標楷體" w:hAnsi="標楷體" w:hint="eastAsia"/>
          <w:color w:val="0D0D0D"/>
          <w:sz w:val="28"/>
          <w:szCs w:val="28"/>
        </w:rPr>
        <w:t>與業務往來</w:t>
      </w:r>
      <w:r w:rsidR="008342E0" w:rsidRPr="00952FB8">
        <w:rPr>
          <w:rFonts w:ascii="Times New Roman" w:eastAsia="標楷體" w:hAnsi="標楷體" w:hint="eastAsia"/>
          <w:color w:val="0D0D0D"/>
          <w:sz w:val="28"/>
          <w:szCs w:val="28"/>
        </w:rPr>
        <w:t>資訊</w:t>
      </w:r>
      <w:r w:rsidRPr="00952FB8">
        <w:rPr>
          <w:rFonts w:ascii="Times New Roman" w:eastAsia="標楷體" w:hAnsi="標楷體" w:hint="eastAsia"/>
          <w:color w:val="0D0D0D"/>
          <w:sz w:val="28"/>
          <w:szCs w:val="28"/>
        </w:rPr>
        <w:t>。</w:t>
      </w:r>
    </w:p>
    <w:p w:rsidR="00145342" w:rsidRDefault="00145342" w:rsidP="00952FB8">
      <w:pPr>
        <w:pStyle w:val="a3"/>
        <w:numPr>
          <w:ilvl w:val="0"/>
          <w:numId w:val="31"/>
        </w:numPr>
        <w:tabs>
          <w:tab w:val="clear" w:pos="1780"/>
          <w:tab w:val="num" w:pos="1190"/>
        </w:tabs>
        <w:snapToGrid w:val="0"/>
        <w:spacing w:line="500" w:lineRule="exact"/>
        <w:ind w:left="1176" w:hanging="504"/>
        <w:jc w:val="both"/>
        <w:rPr>
          <w:rFonts w:ascii="Times New Roman" w:eastAsia="標楷體" w:hAnsi="標楷體"/>
          <w:color w:val="0D0D0D"/>
          <w:sz w:val="28"/>
          <w:szCs w:val="28"/>
        </w:rPr>
      </w:pPr>
      <w:r w:rsidRPr="00952FB8">
        <w:rPr>
          <w:rFonts w:ascii="Times New Roman" w:eastAsia="標楷體" w:hAnsi="標楷體"/>
          <w:color w:val="0D0D0D"/>
          <w:sz w:val="28"/>
          <w:szCs w:val="28"/>
        </w:rPr>
        <w:t>取得</w:t>
      </w:r>
      <w:r w:rsidRPr="00952FB8">
        <w:rPr>
          <w:rFonts w:ascii="Times New Roman" w:eastAsia="標楷體" w:hAnsi="標楷體" w:hint="eastAsia"/>
          <w:color w:val="0D0D0D"/>
          <w:sz w:val="28"/>
          <w:szCs w:val="28"/>
        </w:rPr>
        <w:t>將進行或已完成交易之</w:t>
      </w:r>
      <w:r w:rsidR="00A26E29" w:rsidRPr="00952FB8">
        <w:rPr>
          <w:rFonts w:ascii="Times New Roman" w:eastAsia="標楷體" w:hAnsi="標楷體" w:hint="eastAsia"/>
          <w:color w:val="0D0D0D"/>
          <w:sz w:val="28"/>
          <w:szCs w:val="28"/>
        </w:rPr>
        <w:t>說明與</w:t>
      </w:r>
      <w:r w:rsidRPr="00952FB8">
        <w:rPr>
          <w:rFonts w:ascii="Times New Roman" w:eastAsia="標楷體" w:hAnsi="標楷體" w:hint="eastAsia"/>
          <w:color w:val="0D0D0D"/>
          <w:sz w:val="28"/>
          <w:szCs w:val="28"/>
        </w:rPr>
        <w:t>資訊。</w:t>
      </w:r>
    </w:p>
    <w:p w:rsidR="00642D32" w:rsidRPr="00952FB8" w:rsidRDefault="00642D32" w:rsidP="00952FB8">
      <w:pPr>
        <w:pStyle w:val="a3"/>
        <w:numPr>
          <w:ilvl w:val="0"/>
          <w:numId w:val="31"/>
        </w:numPr>
        <w:tabs>
          <w:tab w:val="clear" w:pos="1780"/>
          <w:tab w:val="num" w:pos="1190"/>
        </w:tabs>
        <w:snapToGrid w:val="0"/>
        <w:spacing w:line="500" w:lineRule="exact"/>
        <w:ind w:left="1176" w:hanging="504"/>
        <w:jc w:val="both"/>
        <w:rPr>
          <w:rFonts w:ascii="Times New Roman" w:eastAsia="標楷體" w:hAnsi="標楷體"/>
          <w:color w:val="0D0D0D"/>
          <w:sz w:val="28"/>
          <w:szCs w:val="28"/>
        </w:rPr>
      </w:pPr>
      <w:r w:rsidRPr="00952FB8">
        <w:rPr>
          <w:rFonts w:ascii="Times New Roman" w:eastAsia="標楷體" w:hAnsi="標楷體" w:hint="eastAsia"/>
          <w:color w:val="0D0D0D"/>
          <w:sz w:val="28"/>
          <w:szCs w:val="28"/>
        </w:rPr>
        <w:lastRenderedPageBreak/>
        <w:t>依據客戶型態進行實地或電話訪查</w:t>
      </w:r>
      <w:r w:rsidR="001665A9" w:rsidRPr="00952FB8">
        <w:rPr>
          <w:rFonts w:ascii="Times New Roman" w:eastAsia="標楷體" w:hAnsi="標楷體" w:hint="eastAsia"/>
          <w:color w:val="0D0D0D"/>
          <w:sz w:val="28"/>
          <w:szCs w:val="28"/>
        </w:rPr>
        <w:t>，</w:t>
      </w:r>
      <w:r w:rsidRPr="00952FB8">
        <w:rPr>
          <w:rFonts w:ascii="Times New Roman" w:eastAsia="標楷體" w:hAnsi="標楷體" w:hint="eastAsia"/>
          <w:color w:val="0D0D0D"/>
          <w:sz w:val="28"/>
          <w:szCs w:val="28"/>
        </w:rPr>
        <w:t>以確認客戶之實際營運情形</w:t>
      </w:r>
      <w:r w:rsidR="00A23F8A" w:rsidRPr="00952FB8">
        <w:rPr>
          <w:rFonts w:ascii="Times New Roman" w:eastAsia="標楷體" w:hAnsi="標楷體"/>
          <w:color w:val="0D0D0D"/>
          <w:sz w:val="28"/>
          <w:szCs w:val="28"/>
        </w:rPr>
        <w:t>。</w:t>
      </w:r>
    </w:p>
    <w:p w:rsidR="009C7A51" w:rsidRPr="00A4234D" w:rsidRDefault="00986C3F" w:rsidP="00952FB8">
      <w:pPr>
        <w:pStyle w:val="a3"/>
        <w:numPr>
          <w:ilvl w:val="0"/>
          <w:numId w:val="21"/>
        </w:numPr>
        <w:snapToGrid w:val="0"/>
        <w:spacing w:line="500" w:lineRule="exact"/>
        <w:ind w:left="1176" w:hanging="86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取得較高管理階層之核准</w:t>
      </w:r>
      <w:r w:rsidR="009C7A51" w:rsidRPr="00A4234D">
        <w:rPr>
          <w:rFonts w:ascii="Times New Roman" w:eastAsia="標楷體" w:hAnsi="標楷體"/>
          <w:color w:val="0D0D0D"/>
          <w:sz w:val="28"/>
          <w:szCs w:val="28"/>
        </w:rPr>
        <w:t>。</w:t>
      </w:r>
    </w:p>
    <w:p w:rsidR="00E913BF" w:rsidRPr="00A4234D" w:rsidRDefault="00986C3F" w:rsidP="00952FB8">
      <w:pPr>
        <w:pStyle w:val="a3"/>
        <w:numPr>
          <w:ilvl w:val="0"/>
          <w:numId w:val="21"/>
        </w:numPr>
        <w:snapToGrid w:val="0"/>
        <w:spacing w:line="500" w:lineRule="exact"/>
        <w:ind w:left="1176" w:hanging="86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增加進行客戶審查之頻率</w:t>
      </w:r>
      <w:r w:rsidR="00E913BF" w:rsidRPr="00A4234D">
        <w:rPr>
          <w:rFonts w:ascii="Times New Roman" w:eastAsia="標楷體" w:hAnsi="標楷體"/>
          <w:color w:val="0D0D0D"/>
          <w:sz w:val="28"/>
          <w:szCs w:val="28"/>
        </w:rPr>
        <w:t>。</w:t>
      </w:r>
    </w:p>
    <w:p w:rsidR="00986C3F" w:rsidRPr="00A4234D" w:rsidRDefault="00986C3F" w:rsidP="00952FB8">
      <w:pPr>
        <w:pStyle w:val="a3"/>
        <w:numPr>
          <w:ilvl w:val="0"/>
          <w:numId w:val="21"/>
        </w:numPr>
        <w:snapToGrid w:val="0"/>
        <w:spacing w:line="500" w:lineRule="exact"/>
        <w:ind w:left="1176" w:hanging="86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加強之監控機制</w:t>
      </w:r>
      <w:r w:rsidR="007228E1" w:rsidRPr="00A4234D">
        <w:rPr>
          <w:rFonts w:ascii="Times New Roman" w:eastAsia="標楷體" w:hAnsi="標楷體" w:hint="eastAsia"/>
          <w:color w:val="0D0D0D"/>
          <w:sz w:val="28"/>
          <w:szCs w:val="28"/>
        </w:rPr>
        <w:t>。</w:t>
      </w:r>
    </w:p>
    <w:p w:rsidR="00F837A9" w:rsidRPr="00A4234D" w:rsidRDefault="00BD7503" w:rsidP="00E308D1">
      <w:pPr>
        <w:pStyle w:val="a3"/>
        <w:snapToGrid w:val="0"/>
        <w:spacing w:line="500" w:lineRule="exact"/>
        <w:ind w:leftChars="236" w:left="574" w:hangingChars="3" w:hanging="8"/>
        <w:jc w:val="both"/>
        <w:rPr>
          <w:rFonts w:ascii="Times New Roman" w:eastAsia="標楷體" w:hAnsi="標楷體"/>
          <w:color w:val="0D0D0D"/>
          <w:sz w:val="28"/>
          <w:szCs w:val="28"/>
        </w:rPr>
      </w:pPr>
      <w:r>
        <w:rPr>
          <w:rFonts w:ascii="Times New Roman" w:eastAsia="標楷體" w:hAnsi="標楷體" w:hint="eastAsia"/>
          <w:color w:val="0D0D0D"/>
          <w:sz w:val="28"/>
          <w:szCs w:val="28"/>
        </w:rPr>
        <w:t>證券商</w:t>
      </w:r>
      <w:r w:rsidR="00F837A9" w:rsidRPr="00A4234D">
        <w:rPr>
          <w:rFonts w:ascii="Times New Roman" w:eastAsia="標楷體" w:hAnsi="標楷體" w:hint="eastAsia"/>
          <w:color w:val="0D0D0D"/>
          <w:sz w:val="28"/>
          <w:szCs w:val="28"/>
        </w:rPr>
        <w:t>對於風險</w:t>
      </w:r>
      <w:r w:rsidR="00CA02FA" w:rsidRPr="00A4234D">
        <w:rPr>
          <w:rFonts w:ascii="Times New Roman" w:eastAsia="標楷體" w:hAnsi="標楷體" w:hint="eastAsia"/>
          <w:color w:val="0D0D0D"/>
          <w:sz w:val="28"/>
          <w:szCs w:val="28"/>
        </w:rPr>
        <w:t>等級</w:t>
      </w:r>
      <w:r w:rsidR="00216057" w:rsidRPr="00A4234D">
        <w:rPr>
          <w:rFonts w:ascii="Times New Roman" w:eastAsia="標楷體" w:hAnsi="標楷體" w:hint="eastAsia"/>
          <w:color w:val="0D0D0D"/>
          <w:sz w:val="28"/>
          <w:szCs w:val="28"/>
        </w:rPr>
        <w:t>為最高</w:t>
      </w:r>
      <w:r w:rsidR="00F837A9" w:rsidRPr="00A4234D">
        <w:rPr>
          <w:rFonts w:ascii="Times New Roman" w:eastAsia="標楷體" w:hAnsi="標楷體" w:hint="eastAsia"/>
          <w:color w:val="0D0D0D"/>
          <w:sz w:val="28"/>
          <w:szCs w:val="28"/>
        </w:rPr>
        <w:t>之客戶，應至少每二年進行</w:t>
      </w:r>
      <w:r w:rsidR="00EB3864" w:rsidRPr="00A4234D">
        <w:rPr>
          <w:rFonts w:ascii="Times New Roman" w:eastAsia="標楷體" w:hAnsi="標楷體" w:hint="eastAsia"/>
          <w:color w:val="0D0D0D"/>
          <w:sz w:val="28"/>
          <w:szCs w:val="28"/>
        </w:rPr>
        <w:t>一次</w:t>
      </w:r>
      <w:r w:rsidR="00F837A9" w:rsidRPr="00A4234D">
        <w:rPr>
          <w:rFonts w:ascii="Times New Roman" w:eastAsia="標楷體" w:hAnsi="標楷體" w:hint="eastAsia"/>
          <w:color w:val="0D0D0D"/>
          <w:sz w:val="28"/>
          <w:szCs w:val="28"/>
        </w:rPr>
        <w:t>客戶審查。</w:t>
      </w:r>
    </w:p>
    <w:p w:rsidR="00E06F7F" w:rsidRPr="00A4234D" w:rsidRDefault="00642D32" w:rsidP="00E308D1">
      <w:pPr>
        <w:pStyle w:val="a3"/>
        <w:snapToGrid w:val="0"/>
        <w:spacing w:line="500" w:lineRule="exact"/>
        <w:ind w:leftChars="236" w:left="574" w:hangingChars="3" w:hanging="8"/>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對於</w:t>
      </w:r>
      <w:r w:rsidR="00E308D1" w:rsidRPr="00A4234D">
        <w:rPr>
          <w:rFonts w:ascii="Times New Roman" w:eastAsia="標楷體" w:hAnsi="標楷體" w:hint="eastAsia"/>
          <w:color w:val="0D0D0D"/>
          <w:sz w:val="28"/>
          <w:szCs w:val="28"/>
        </w:rPr>
        <w:t>低風險情形，得由</w:t>
      </w:r>
      <w:r w:rsidR="00BD7503">
        <w:rPr>
          <w:rFonts w:ascii="Times New Roman" w:eastAsia="標楷體" w:hAnsi="標楷體" w:hint="eastAsia"/>
          <w:color w:val="0D0D0D"/>
          <w:sz w:val="28"/>
          <w:szCs w:val="28"/>
        </w:rPr>
        <w:t>證券商</w:t>
      </w:r>
      <w:r w:rsidR="00E308D1" w:rsidRPr="00A4234D">
        <w:rPr>
          <w:rFonts w:ascii="Times New Roman" w:eastAsia="標楷體" w:hAnsi="標楷體" w:hint="eastAsia"/>
          <w:color w:val="0D0D0D"/>
          <w:sz w:val="28"/>
          <w:szCs w:val="28"/>
        </w:rPr>
        <w:t>依據其風險防制政策、監控及程序，採取簡化措施。簡化確認客戶身分措施得採行如下</w:t>
      </w:r>
      <w:r w:rsidR="00E06F7F" w:rsidRPr="00A4234D">
        <w:rPr>
          <w:rFonts w:ascii="Times New Roman" w:eastAsia="標楷體" w:hAnsi="標楷體" w:hint="eastAsia"/>
          <w:color w:val="0D0D0D"/>
          <w:sz w:val="28"/>
          <w:szCs w:val="28"/>
        </w:rPr>
        <w:t>：</w:t>
      </w:r>
    </w:p>
    <w:p w:rsidR="00E06F7F" w:rsidRPr="00A4234D" w:rsidRDefault="00E308D1" w:rsidP="00952FB8">
      <w:pPr>
        <w:pStyle w:val="a3"/>
        <w:numPr>
          <w:ilvl w:val="0"/>
          <w:numId w:val="22"/>
        </w:numPr>
        <w:snapToGrid w:val="0"/>
        <w:spacing w:line="500" w:lineRule="exact"/>
        <w:ind w:left="1176" w:hanging="86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降低客戶身分資訊更新之頻率</w:t>
      </w:r>
      <w:r w:rsidR="00E06F7F" w:rsidRPr="00A4234D">
        <w:rPr>
          <w:rFonts w:ascii="Times New Roman" w:eastAsia="標楷體" w:hAnsi="標楷體" w:hint="eastAsia"/>
          <w:color w:val="0D0D0D"/>
          <w:sz w:val="28"/>
          <w:szCs w:val="28"/>
        </w:rPr>
        <w:t>。</w:t>
      </w:r>
    </w:p>
    <w:p w:rsidR="00E06F7F" w:rsidRPr="00A4234D" w:rsidRDefault="00E308D1" w:rsidP="00952FB8">
      <w:pPr>
        <w:pStyle w:val="a3"/>
        <w:numPr>
          <w:ilvl w:val="0"/>
          <w:numId w:val="22"/>
        </w:numPr>
        <w:snapToGrid w:val="0"/>
        <w:spacing w:line="500" w:lineRule="exact"/>
        <w:ind w:left="1176" w:hanging="86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降低持續性監控之等級，並以合理的金額門檻作為審查交易之基礎</w:t>
      </w:r>
      <w:r w:rsidR="00E06F7F" w:rsidRPr="00A4234D">
        <w:rPr>
          <w:rFonts w:ascii="Times New Roman" w:eastAsia="標楷體" w:hAnsi="標楷體" w:hint="eastAsia"/>
          <w:color w:val="0D0D0D"/>
          <w:sz w:val="28"/>
          <w:szCs w:val="28"/>
        </w:rPr>
        <w:t>。</w:t>
      </w:r>
    </w:p>
    <w:p w:rsidR="00E06F7F" w:rsidRPr="00A4234D" w:rsidRDefault="00E308D1" w:rsidP="00952FB8">
      <w:pPr>
        <w:pStyle w:val="a3"/>
        <w:numPr>
          <w:ilvl w:val="0"/>
          <w:numId w:val="22"/>
        </w:numPr>
        <w:snapToGrid w:val="0"/>
        <w:spacing w:line="500" w:lineRule="exact"/>
        <w:ind w:left="1176" w:hanging="868"/>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從交易類型或已建立業務往來關係可推斷其目的及性質者，得無須再</w:t>
      </w:r>
      <w:r w:rsidR="001665A9" w:rsidRPr="00A4234D">
        <w:rPr>
          <w:rFonts w:ascii="Times New Roman" w:eastAsia="標楷體" w:hAnsi="標楷體" w:hint="eastAsia"/>
          <w:color w:val="0D0D0D"/>
          <w:sz w:val="28"/>
          <w:szCs w:val="28"/>
        </w:rPr>
        <w:t>針對瞭解業務往來關係之目的及其性質，</w:t>
      </w:r>
      <w:r w:rsidRPr="00A4234D">
        <w:rPr>
          <w:rFonts w:ascii="Times New Roman" w:eastAsia="標楷體" w:hAnsi="標楷體" w:hint="eastAsia"/>
          <w:color w:val="0D0D0D"/>
          <w:sz w:val="28"/>
          <w:szCs w:val="28"/>
        </w:rPr>
        <w:t>蒐集特定資訊或執行特別措施</w:t>
      </w:r>
      <w:r w:rsidR="00E06F7F" w:rsidRPr="00A4234D">
        <w:rPr>
          <w:rFonts w:ascii="Times New Roman" w:eastAsia="標楷體" w:hAnsi="標楷體" w:hint="eastAsia"/>
          <w:color w:val="0D0D0D"/>
          <w:sz w:val="28"/>
          <w:szCs w:val="28"/>
        </w:rPr>
        <w:t>。</w:t>
      </w:r>
    </w:p>
    <w:p w:rsidR="00E06F7F" w:rsidRPr="00A4234D" w:rsidRDefault="00E308D1" w:rsidP="00E308D1">
      <w:pPr>
        <w:pStyle w:val="a3"/>
        <w:snapToGrid w:val="0"/>
        <w:spacing w:line="500" w:lineRule="exact"/>
        <w:ind w:leftChars="236" w:left="574" w:hangingChars="3" w:hanging="8"/>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但確認客戶身分</w:t>
      </w:r>
      <w:r w:rsidR="005D49AA" w:rsidRPr="00A4234D">
        <w:rPr>
          <w:rFonts w:ascii="Times New Roman" w:eastAsia="標楷體" w:hAnsi="標楷體" w:hint="eastAsia"/>
          <w:color w:val="0D0D0D"/>
          <w:sz w:val="28"/>
          <w:szCs w:val="28"/>
        </w:rPr>
        <w:t>及持續監控</w:t>
      </w:r>
      <w:r w:rsidRPr="00A4234D">
        <w:rPr>
          <w:rFonts w:ascii="Times New Roman" w:eastAsia="標楷體" w:hAnsi="標楷體" w:hint="eastAsia"/>
          <w:color w:val="0D0D0D"/>
          <w:sz w:val="28"/>
          <w:szCs w:val="28"/>
        </w:rPr>
        <w:t>時</w:t>
      </w:r>
      <w:r w:rsidR="001665A9" w:rsidRPr="00A4234D">
        <w:rPr>
          <w:rFonts w:ascii="Times New Roman" w:eastAsia="標楷體" w:hAnsi="標楷體" w:hint="eastAsia"/>
          <w:color w:val="0D0D0D"/>
          <w:sz w:val="28"/>
          <w:szCs w:val="28"/>
        </w:rPr>
        <w:t>，遇</w:t>
      </w:r>
      <w:r w:rsidRPr="00A4234D">
        <w:rPr>
          <w:rFonts w:ascii="Times New Roman" w:eastAsia="標楷體" w:hAnsi="標楷體" w:hint="eastAsia"/>
          <w:color w:val="0D0D0D"/>
          <w:sz w:val="28"/>
          <w:szCs w:val="28"/>
        </w:rPr>
        <w:t>有下列情形者，不得採取簡化確認客戶身分措施：</w:t>
      </w:r>
    </w:p>
    <w:p w:rsidR="00E308D1" w:rsidRPr="00A4234D" w:rsidRDefault="00E308D1" w:rsidP="00952FB8">
      <w:pPr>
        <w:pStyle w:val="a3"/>
        <w:numPr>
          <w:ilvl w:val="0"/>
          <w:numId w:val="25"/>
        </w:numPr>
        <w:snapToGrid w:val="0"/>
        <w:spacing w:line="500" w:lineRule="exact"/>
        <w:ind w:left="1190" w:hanging="882"/>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客戶來自未採取有效防制洗錢或打擊資助恐怖主義之高風險地區或國家，包括但不限於金融監督管理委員會函轉國際防制洗錢組織所公告防制洗錢與打擊資助恐怖主義有嚴重缺失之國家或地區，及其他未遵循或未充分遵循國際防制洗錢組織建議之國家或地區</w:t>
      </w:r>
      <w:r w:rsidR="002D7557" w:rsidRPr="00A4234D">
        <w:rPr>
          <w:rFonts w:ascii="Times New Roman" w:eastAsia="標楷體" w:hAnsi="標楷體" w:hint="eastAsia"/>
          <w:color w:val="0D0D0D"/>
          <w:sz w:val="28"/>
          <w:szCs w:val="28"/>
        </w:rPr>
        <w:t>。</w:t>
      </w:r>
    </w:p>
    <w:p w:rsidR="0036717A" w:rsidRPr="00A4234D" w:rsidRDefault="00BD7503" w:rsidP="00952FB8">
      <w:pPr>
        <w:pStyle w:val="a3"/>
        <w:numPr>
          <w:ilvl w:val="0"/>
          <w:numId w:val="25"/>
        </w:numPr>
        <w:snapToGrid w:val="0"/>
        <w:spacing w:line="500" w:lineRule="exact"/>
        <w:ind w:left="1190" w:hanging="882"/>
        <w:jc w:val="both"/>
        <w:rPr>
          <w:rFonts w:ascii="Times New Roman" w:eastAsia="標楷體" w:hAnsi="標楷體"/>
          <w:color w:val="0D0D0D"/>
          <w:sz w:val="28"/>
          <w:szCs w:val="28"/>
        </w:rPr>
      </w:pPr>
      <w:r w:rsidRPr="003C21C7">
        <w:rPr>
          <w:rFonts w:eastAsia="標楷體" w:hAnsi="標楷體" w:hint="eastAsia"/>
          <w:sz w:val="28"/>
          <w:szCs w:val="28"/>
        </w:rPr>
        <w:t>有明顯事證</w:t>
      </w:r>
      <w:r w:rsidR="00E308D1" w:rsidRPr="00A4234D">
        <w:rPr>
          <w:rFonts w:ascii="Times New Roman" w:eastAsia="標楷體" w:hAnsi="標楷體" w:hint="eastAsia"/>
          <w:color w:val="0D0D0D"/>
          <w:sz w:val="28"/>
          <w:szCs w:val="28"/>
        </w:rPr>
        <w:t>足資懷疑該客戶或交易涉及洗錢或資助恐怖主義者</w:t>
      </w:r>
      <w:r w:rsidR="0036717A" w:rsidRPr="00A4234D">
        <w:rPr>
          <w:rFonts w:ascii="Times New Roman" w:eastAsia="標楷體" w:hAnsi="標楷體" w:hint="eastAsia"/>
          <w:color w:val="0D0D0D"/>
          <w:sz w:val="28"/>
          <w:szCs w:val="28"/>
        </w:rPr>
        <w:t>。</w:t>
      </w:r>
    </w:p>
    <w:p w:rsidR="004641F6" w:rsidRDefault="004641F6" w:rsidP="00462567">
      <w:pPr>
        <w:pStyle w:val="a3"/>
        <w:snapToGrid w:val="0"/>
        <w:spacing w:line="500" w:lineRule="exact"/>
        <w:ind w:left="567"/>
        <w:jc w:val="both"/>
        <w:rPr>
          <w:rFonts w:ascii="Times New Roman" w:eastAsia="標楷體" w:hAnsi="Times New Roman"/>
          <w:color w:val="0D0D0D"/>
          <w:sz w:val="28"/>
          <w:szCs w:val="28"/>
        </w:rPr>
      </w:pPr>
    </w:p>
    <w:p w:rsidR="004641F6" w:rsidRPr="004641F6" w:rsidRDefault="004641F6" w:rsidP="004641F6">
      <w:pPr>
        <w:pStyle w:val="a3"/>
        <w:snapToGrid w:val="0"/>
        <w:spacing w:line="500" w:lineRule="exact"/>
        <w:ind w:leftChars="1" w:left="568" w:hangingChars="202" w:hanging="566"/>
        <w:jc w:val="both"/>
        <w:rPr>
          <w:rFonts w:ascii="Times New Roman" w:eastAsia="標楷體" w:hAnsi="Times New Roman"/>
          <w:color w:val="0D0D0D"/>
          <w:sz w:val="28"/>
          <w:szCs w:val="28"/>
        </w:rPr>
      </w:pPr>
      <w:r w:rsidRPr="004641F6">
        <w:rPr>
          <w:rFonts w:ascii="Times New Roman" w:eastAsia="標楷體" w:hAnsi="Times New Roman" w:hint="eastAsia"/>
          <w:color w:val="0D0D0D"/>
          <w:sz w:val="28"/>
          <w:szCs w:val="28"/>
        </w:rPr>
        <w:t>八、</w:t>
      </w:r>
      <w:r>
        <w:rPr>
          <w:rFonts w:ascii="Times New Roman" w:eastAsia="標楷體" w:hAnsi="Times New Roman" w:hint="eastAsia"/>
          <w:color w:val="0D0D0D"/>
          <w:sz w:val="28"/>
          <w:szCs w:val="28"/>
        </w:rPr>
        <w:t>證券商</w:t>
      </w:r>
      <w:r w:rsidRPr="004641F6">
        <w:rPr>
          <w:rFonts w:ascii="Times New Roman" w:eastAsia="標楷體" w:hAnsi="Times New Roman" w:hint="eastAsia"/>
          <w:color w:val="0D0D0D"/>
          <w:sz w:val="28"/>
          <w:szCs w:val="28"/>
        </w:rPr>
        <w:t>應建立定期之全面性洗錢及資恐風險評估作業，使管理階層得以適時且有效地瞭解</w:t>
      </w:r>
      <w:r>
        <w:rPr>
          <w:rFonts w:ascii="Times New Roman" w:eastAsia="標楷體" w:hAnsi="Times New Roman" w:hint="eastAsia"/>
          <w:color w:val="0D0D0D"/>
          <w:sz w:val="28"/>
          <w:szCs w:val="28"/>
        </w:rPr>
        <w:t>證券商</w:t>
      </w:r>
      <w:r w:rsidRPr="004641F6">
        <w:rPr>
          <w:rFonts w:ascii="Times New Roman" w:eastAsia="標楷體" w:hAnsi="Times New Roman" w:hint="eastAsia"/>
          <w:color w:val="0D0D0D"/>
          <w:sz w:val="28"/>
          <w:szCs w:val="28"/>
        </w:rPr>
        <w:t>所面對之整體洗錢與資恐風險、決定</w:t>
      </w:r>
      <w:r w:rsidRPr="004641F6">
        <w:rPr>
          <w:rFonts w:ascii="Times New Roman" w:eastAsia="標楷體" w:hAnsi="Times New Roman" w:hint="eastAsia"/>
          <w:color w:val="0D0D0D"/>
          <w:sz w:val="28"/>
          <w:szCs w:val="28"/>
        </w:rPr>
        <w:lastRenderedPageBreak/>
        <w:t>應建立之機制及發展合宜之抵減措施。</w:t>
      </w:r>
    </w:p>
    <w:p w:rsidR="004641F6" w:rsidRPr="004641F6" w:rsidRDefault="004641F6" w:rsidP="004641F6">
      <w:pPr>
        <w:pStyle w:val="a3"/>
        <w:snapToGrid w:val="0"/>
        <w:spacing w:line="500" w:lineRule="exact"/>
        <w:ind w:leftChars="236" w:left="574" w:hangingChars="3" w:hanging="8"/>
        <w:jc w:val="both"/>
        <w:rPr>
          <w:rFonts w:ascii="Times New Roman" w:eastAsia="標楷體" w:hAnsi="Times New Roman"/>
          <w:color w:val="0D0D0D"/>
          <w:sz w:val="28"/>
          <w:szCs w:val="28"/>
        </w:rPr>
      </w:pPr>
      <w:r>
        <w:rPr>
          <w:rFonts w:ascii="Times New Roman" w:eastAsia="標楷體" w:hAnsi="Times New Roman" w:hint="eastAsia"/>
          <w:color w:val="0D0D0D"/>
          <w:sz w:val="28"/>
          <w:szCs w:val="28"/>
        </w:rPr>
        <w:t>證券商</w:t>
      </w:r>
      <w:r w:rsidRPr="004641F6">
        <w:rPr>
          <w:rFonts w:ascii="Times New Roman" w:eastAsia="標楷體" w:hAnsi="Times New Roman" w:hint="eastAsia"/>
          <w:color w:val="0D0D0D"/>
          <w:sz w:val="28"/>
          <w:szCs w:val="28"/>
        </w:rPr>
        <w:t>應依據下列指標，建立定期且全面性之洗錢及資恐風險評估作業：</w:t>
      </w:r>
    </w:p>
    <w:p w:rsidR="004641F6" w:rsidRPr="004641F6" w:rsidRDefault="004641F6" w:rsidP="004641F6">
      <w:pPr>
        <w:pStyle w:val="a3"/>
        <w:snapToGrid w:val="0"/>
        <w:spacing w:line="500" w:lineRule="exact"/>
        <w:ind w:leftChars="117" w:left="564" w:hangingChars="101" w:hanging="283"/>
        <w:jc w:val="both"/>
        <w:rPr>
          <w:rFonts w:ascii="Times New Roman" w:eastAsia="標楷體" w:hAnsi="Times New Roman"/>
          <w:color w:val="0D0D0D"/>
          <w:sz w:val="28"/>
          <w:szCs w:val="28"/>
        </w:rPr>
      </w:pPr>
      <w:r w:rsidRPr="004641F6">
        <w:rPr>
          <w:rFonts w:ascii="Times New Roman" w:eastAsia="標楷體" w:hAnsi="Times New Roman" w:hint="eastAsia"/>
          <w:color w:val="0D0D0D"/>
          <w:sz w:val="28"/>
          <w:szCs w:val="28"/>
        </w:rPr>
        <w:t>（一）</w:t>
      </w:r>
      <w:r w:rsidRPr="004641F6">
        <w:rPr>
          <w:rFonts w:ascii="Times New Roman" w:eastAsia="標楷體" w:hAnsi="Times New Roman" w:hint="eastAsia"/>
          <w:color w:val="0D0D0D"/>
          <w:sz w:val="28"/>
          <w:szCs w:val="28"/>
        </w:rPr>
        <w:tab/>
      </w:r>
      <w:r w:rsidRPr="004641F6">
        <w:rPr>
          <w:rFonts w:ascii="Times New Roman" w:eastAsia="標楷體" w:hAnsi="Times New Roman" w:hint="eastAsia"/>
          <w:color w:val="0D0D0D"/>
          <w:sz w:val="28"/>
          <w:szCs w:val="28"/>
        </w:rPr>
        <w:t>業務之性質、規模、多元性及複雜度。</w:t>
      </w:r>
    </w:p>
    <w:p w:rsidR="004641F6" w:rsidRPr="004641F6" w:rsidRDefault="004641F6" w:rsidP="004641F6">
      <w:pPr>
        <w:pStyle w:val="a3"/>
        <w:snapToGrid w:val="0"/>
        <w:spacing w:line="500" w:lineRule="exact"/>
        <w:ind w:leftChars="117" w:left="564" w:hangingChars="101" w:hanging="283"/>
        <w:jc w:val="both"/>
        <w:rPr>
          <w:rFonts w:ascii="Times New Roman" w:eastAsia="標楷體" w:hAnsi="Times New Roman"/>
          <w:color w:val="0D0D0D"/>
          <w:sz w:val="28"/>
          <w:szCs w:val="28"/>
        </w:rPr>
      </w:pPr>
      <w:r w:rsidRPr="004641F6">
        <w:rPr>
          <w:rFonts w:ascii="Times New Roman" w:eastAsia="標楷體" w:hAnsi="Times New Roman" w:hint="eastAsia"/>
          <w:color w:val="0D0D0D"/>
          <w:sz w:val="28"/>
          <w:szCs w:val="28"/>
        </w:rPr>
        <w:t>（二）</w:t>
      </w:r>
      <w:r w:rsidRPr="004641F6">
        <w:rPr>
          <w:rFonts w:ascii="Times New Roman" w:eastAsia="標楷體" w:hAnsi="Times New Roman" w:hint="eastAsia"/>
          <w:color w:val="0D0D0D"/>
          <w:sz w:val="28"/>
          <w:szCs w:val="28"/>
        </w:rPr>
        <w:tab/>
      </w:r>
      <w:r w:rsidRPr="004641F6">
        <w:rPr>
          <w:rFonts w:ascii="Times New Roman" w:eastAsia="標楷體" w:hAnsi="Times New Roman" w:hint="eastAsia"/>
          <w:color w:val="0D0D0D"/>
          <w:sz w:val="28"/>
          <w:szCs w:val="28"/>
        </w:rPr>
        <w:t>目標市場。</w:t>
      </w:r>
    </w:p>
    <w:p w:rsidR="004641F6" w:rsidRPr="004641F6" w:rsidRDefault="004641F6" w:rsidP="004641F6">
      <w:pPr>
        <w:pStyle w:val="a3"/>
        <w:snapToGrid w:val="0"/>
        <w:spacing w:line="500" w:lineRule="exact"/>
        <w:ind w:leftChars="117" w:left="1132" w:hangingChars="304" w:hanging="851"/>
        <w:jc w:val="both"/>
        <w:rPr>
          <w:rFonts w:ascii="Times New Roman" w:eastAsia="標楷體" w:hAnsi="Times New Roman"/>
          <w:color w:val="0D0D0D"/>
          <w:sz w:val="28"/>
          <w:szCs w:val="28"/>
        </w:rPr>
      </w:pPr>
      <w:r w:rsidRPr="004641F6">
        <w:rPr>
          <w:rFonts w:ascii="Times New Roman" w:eastAsia="標楷體" w:hAnsi="Times New Roman" w:hint="eastAsia"/>
          <w:color w:val="0D0D0D"/>
          <w:sz w:val="28"/>
          <w:szCs w:val="28"/>
        </w:rPr>
        <w:t>（三）</w:t>
      </w:r>
      <w:r w:rsidRPr="004641F6">
        <w:rPr>
          <w:rFonts w:ascii="Times New Roman" w:eastAsia="標楷體" w:hAnsi="Times New Roman" w:hint="eastAsia"/>
          <w:color w:val="0D0D0D"/>
          <w:sz w:val="28"/>
          <w:szCs w:val="28"/>
        </w:rPr>
        <w:tab/>
      </w:r>
      <w:r>
        <w:rPr>
          <w:rFonts w:ascii="Times New Roman" w:eastAsia="標楷體" w:hAnsi="Times New Roman" w:hint="eastAsia"/>
          <w:color w:val="0D0D0D"/>
          <w:sz w:val="28"/>
          <w:szCs w:val="28"/>
        </w:rPr>
        <w:t>證券商</w:t>
      </w:r>
      <w:r w:rsidRPr="004641F6">
        <w:rPr>
          <w:rFonts w:ascii="Times New Roman" w:eastAsia="標楷體" w:hAnsi="Times New Roman" w:hint="eastAsia"/>
          <w:color w:val="0D0D0D"/>
          <w:sz w:val="28"/>
          <w:szCs w:val="28"/>
        </w:rPr>
        <w:t>交易數量與規模：考量</w:t>
      </w:r>
      <w:r>
        <w:rPr>
          <w:rFonts w:ascii="Times New Roman" w:eastAsia="標楷體" w:hAnsi="Times New Roman" w:hint="eastAsia"/>
          <w:color w:val="0D0D0D"/>
          <w:sz w:val="28"/>
          <w:szCs w:val="28"/>
        </w:rPr>
        <w:t>證券商</w:t>
      </w:r>
      <w:r w:rsidRPr="004641F6">
        <w:rPr>
          <w:rFonts w:ascii="Times New Roman" w:eastAsia="標楷體" w:hAnsi="Times New Roman" w:hint="eastAsia"/>
          <w:color w:val="0D0D0D"/>
          <w:sz w:val="28"/>
          <w:szCs w:val="28"/>
        </w:rPr>
        <w:t>一般交易活動與其客戶之特性等。</w:t>
      </w:r>
    </w:p>
    <w:p w:rsidR="004641F6" w:rsidRPr="004641F6" w:rsidRDefault="004641F6" w:rsidP="004641F6">
      <w:pPr>
        <w:pStyle w:val="a3"/>
        <w:snapToGrid w:val="0"/>
        <w:spacing w:line="500" w:lineRule="exact"/>
        <w:ind w:leftChars="117" w:left="1132" w:hangingChars="304" w:hanging="851"/>
        <w:jc w:val="both"/>
        <w:rPr>
          <w:rFonts w:ascii="Times New Roman" w:eastAsia="標楷體" w:hAnsi="Times New Roman"/>
          <w:color w:val="0D0D0D"/>
          <w:sz w:val="28"/>
          <w:szCs w:val="28"/>
        </w:rPr>
      </w:pPr>
      <w:r w:rsidRPr="004641F6">
        <w:rPr>
          <w:rFonts w:ascii="Times New Roman" w:eastAsia="標楷體" w:hAnsi="Times New Roman" w:hint="eastAsia"/>
          <w:color w:val="0D0D0D"/>
          <w:sz w:val="28"/>
          <w:szCs w:val="28"/>
        </w:rPr>
        <w:t>（四）</w:t>
      </w:r>
      <w:r w:rsidRPr="004641F6">
        <w:rPr>
          <w:rFonts w:ascii="Times New Roman" w:eastAsia="標楷體" w:hAnsi="Times New Roman" w:hint="eastAsia"/>
          <w:color w:val="0D0D0D"/>
          <w:sz w:val="28"/>
          <w:szCs w:val="28"/>
        </w:rPr>
        <w:tab/>
      </w:r>
      <w:r w:rsidRPr="004641F6">
        <w:rPr>
          <w:rFonts w:ascii="Times New Roman" w:eastAsia="標楷體" w:hAnsi="Times New Roman" w:hint="eastAsia"/>
          <w:color w:val="0D0D0D"/>
          <w:sz w:val="28"/>
          <w:szCs w:val="28"/>
        </w:rPr>
        <w:t>高風險相關之管理數據與報告：如高風險客戶之數目與比例；高風險產品、服務或交易之金額、數量或比例；客戶之國籍、註冊地或營業地、或交易涉及高風險地域之金額或比例等。</w:t>
      </w:r>
    </w:p>
    <w:p w:rsidR="004641F6" w:rsidRPr="004641F6" w:rsidRDefault="004641F6" w:rsidP="004641F6">
      <w:pPr>
        <w:pStyle w:val="a3"/>
        <w:snapToGrid w:val="0"/>
        <w:spacing w:line="500" w:lineRule="exact"/>
        <w:ind w:leftChars="117" w:left="1132" w:hangingChars="304" w:hanging="851"/>
        <w:jc w:val="both"/>
        <w:rPr>
          <w:rFonts w:ascii="Times New Roman" w:eastAsia="標楷體" w:hAnsi="Times New Roman"/>
          <w:color w:val="0D0D0D"/>
          <w:sz w:val="28"/>
          <w:szCs w:val="28"/>
        </w:rPr>
      </w:pPr>
      <w:r w:rsidRPr="004641F6">
        <w:rPr>
          <w:rFonts w:ascii="Times New Roman" w:eastAsia="標楷體" w:hAnsi="Times New Roman" w:hint="eastAsia"/>
          <w:color w:val="0D0D0D"/>
          <w:sz w:val="28"/>
          <w:szCs w:val="28"/>
        </w:rPr>
        <w:t>（五）</w:t>
      </w:r>
      <w:r w:rsidRPr="004641F6">
        <w:rPr>
          <w:rFonts w:ascii="Times New Roman" w:eastAsia="標楷體" w:hAnsi="Times New Roman" w:hint="eastAsia"/>
          <w:color w:val="0D0D0D"/>
          <w:sz w:val="28"/>
          <w:szCs w:val="28"/>
        </w:rPr>
        <w:tab/>
      </w:r>
      <w:r w:rsidRPr="004641F6">
        <w:rPr>
          <w:rFonts w:ascii="Times New Roman" w:eastAsia="標楷體" w:hAnsi="Times New Roman" w:hint="eastAsia"/>
          <w:color w:val="0D0D0D"/>
          <w:sz w:val="28"/>
          <w:szCs w:val="28"/>
        </w:rPr>
        <w:t>業務與產品，包含提供業務與產品予客戶之管道及方式、執行客戶審查措施之方式，如資訊系統使用的程度以及是否委託第三人執行審查等。</w:t>
      </w:r>
    </w:p>
    <w:p w:rsidR="004641F6" w:rsidRPr="004641F6" w:rsidRDefault="004641F6" w:rsidP="004641F6">
      <w:pPr>
        <w:pStyle w:val="a3"/>
        <w:snapToGrid w:val="0"/>
        <w:spacing w:line="500" w:lineRule="exact"/>
        <w:ind w:leftChars="117" w:left="1132" w:hangingChars="304" w:hanging="851"/>
        <w:jc w:val="both"/>
        <w:rPr>
          <w:rFonts w:ascii="Times New Roman" w:eastAsia="標楷體" w:hAnsi="Times New Roman"/>
          <w:color w:val="0D0D0D"/>
          <w:sz w:val="28"/>
          <w:szCs w:val="28"/>
        </w:rPr>
      </w:pPr>
      <w:r w:rsidRPr="004641F6">
        <w:rPr>
          <w:rFonts w:ascii="Times New Roman" w:eastAsia="標楷體" w:hAnsi="Times New Roman" w:hint="eastAsia"/>
          <w:color w:val="0D0D0D"/>
          <w:sz w:val="28"/>
          <w:szCs w:val="28"/>
        </w:rPr>
        <w:t>（六）</w:t>
      </w:r>
      <w:r w:rsidRPr="004641F6">
        <w:rPr>
          <w:rFonts w:ascii="Times New Roman" w:eastAsia="標楷體" w:hAnsi="Times New Roman" w:hint="eastAsia"/>
          <w:color w:val="0D0D0D"/>
          <w:sz w:val="28"/>
          <w:szCs w:val="28"/>
        </w:rPr>
        <w:tab/>
      </w:r>
      <w:r w:rsidRPr="004641F6">
        <w:rPr>
          <w:rFonts w:ascii="Times New Roman" w:eastAsia="標楷體" w:hAnsi="Times New Roman" w:hint="eastAsia"/>
          <w:color w:val="0D0D0D"/>
          <w:sz w:val="28"/>
          <w:szCs w:val="28"/>
        </w:rPr>
        <w:t>內部稽核與監理機關之檢查結果。</w:t>
      </w:r>
    </w:p>
    <w:p w:rsidR="004641F6" w:rsidRPr="004641F6" w:rsidRDefault="004641F6" w:rsidP="004641F6">
      <w:pPr>
        <w:pStyle w:val="a3"/>
        <w:snapToGrid w:val="0"/>
        <w:spacing w:line="500" w:lineRule="exact"/>
        <w:ind w:leftChars="236" w:left="574" w:hangingChars="3" w:hanging="8"/>
        <w:jc w:val="both"/>
        <w:rPr>
          <w:rFonts w:ascii="Times New Roman" w:eastAsia="標楷體" w:hAnsi="Times New Roman"/>
          <w:color w:val="0D0D0D"/>
          <w:sz w:val="28"/>
          <w:szCs w:val="28"/>
        </w:rPr>
      </w:pPr>
      <w:r>
        <w:rPr>
          <w:rFonts w:ascii="Times New Roman" w:eastAsia="標楷體" w:hAnsi="Times New Roman" w:hint="eastAsia"/>
          <w:color w:val="0D0D0D"/>
          <w:sz w:val="28"/>
          <w:szCs w:val="28"/>
        </w:rPr>
        <w:t>證券商</w:t>
      </w:r>
      <w:r w:rsidRPr="004641F6">
        <w:rPr>
          <w:rFonts w:ascii="Times New Roman" w:eastAsia="標楷體" w:hAnsi="Times New Roman" w:hint="eastAsia"/>
          <w:color w:val="0D0D0D"/>
          <w:sz w:val="28"/>
          <w:szCs w:val="28"/>
        </w:rPr>
        <w:t>於進行前項之全面性洗錢及資恐風險評估作業時，除考量上開指標外，建議輔以其他內部與外部來源取得之資訊，如：</w:t>
      </w:r>
    </w:p>
    <w:p w:rsidR="004641F6" w:rsidRPr="004641F6" w:rsidRDefault="004641F6" w:rsidP="004641F6">
      <w:pPr>
        <w:pStyle w:val="a3"/>
        <w:snapToGrid w:val="0"/>
        <w:spacing w:line="500" w:lineRule="exact"/>
        <w:ind w:leftChars="117" w:left="1132" w:hangingChars="304" w:hanging="851"/>
        <w:jc w:val="both"/>
        <w:rPr>
          <w:rFonts w:ascii="Times New Roman" w:eastAsia="標楷體" w:hAnsi="Times New Roman"/>
          <w:color w:val="0D0D0D"/>
          <w:sz w:val="28"/>
          <w:szCs w:val="28"/>
        </w:rPr>
      </w:pPr>
      <w:r w:rsidRPr="004641F6">
        <w:rPr>
          <w:rFonts w:ascii="Times New Roman" w:eastAsia="標楷體" w:hAnsi="Times New Roman" w:hint="eastAsia"/>
          <w:color w:val="0D0D0D"/>
          <w:sz w:val="28"/>
          <w:szCs w:val="28"/>
        </w:rPr>
        <w:t>（一）</w:t>
      </w:r>
      <w:r w:rsidRPr="004641F6">
        <w:rPr>
          <w:rFonts w:ascii="Times New Roman" w:eastAsia="標楷體" w:hAnsi="Times New Roman" w:hint="eastAsia"/>
          <w:color w:val="0D0D0D"/>
          <w:sz w:val="28"/>
          <w:szCs w:val="28"/>
        </w:rPr>
        <w:tab/>
      </w:r>
      <w:r>
        <w:rPr>
          <w:rFonts w:ascii="Times New Roman" w:eastAsia="標楷體" w:hAnsi="Times New Roman" w:hint="eastAsia"/>
          <w:color w:val="0D0D0D"/>
          <w:sz w:val="28"/>
          <w:szCs w:val="28"/>
        </w:rPr>
        <w:t>證券商</w:t>
      </w:r>
      <w:r w:rsidRPr="004641F6">
        <w:rPr>
          <w:rFonts w:ascii="Times New Roman" w:eastAsia="標楷體" w:hAnsi="Times New Roman" w:hint="eastAsia"/>
          <w:color w:val="0D0D0D"/>
          <w:sz w:val="28"/>
          <w:szCs w:val="28"/>
        </w:rPr>
        <w:t>內部管理階層</w:t>
      </w:r>
      <w:r w:rsidRPr="004641F6">
        <w:rPr>
          <w:rFonts w:ascii="Times New Roman" w:eastAsia="標楷體" w:hAnsi="Times New Roman" w:hint="eastAsia"/>
          <w:color w:val="0D0D0D"/>
          <w:sz w:val="28"/>
          <w:szCs w:val="28"/>
        </w:rPr>
        <w:t>(</w:t>
      </w:r>
      <w:r w:rsidRPr="004641F6">
        <w:rPr>
          <w:rFonts w:ascii="Times New Roman" w:eastAsia="標楷體" w:hAnsi="Times New Roman" w:hint="eastAsia"/>
          <w:color w:val="0D0D0D"/>
          <w:sz w:val="28"/>
          <w:szCs w:val="28"/>
        </w:rPr>
        <w:t>如事業單位主管、客戶關係經理等</w:t>
      </w:r>
      <w:r w:rsidRPr="004641F6">
        <w:rPr>
          <w:rFonts w:ascii="Times New Roman" w:eastAsia="標楷體" w:hAnsi="Times New Roman" w:hint="eastAsia"/>
          <w:color w:val="0D0D0D"/>
          <w:sz w:val="28"/>
          <w:szCs w:val="28"/>
        </w:rPr>
        <w:t>)</w:t>
      </w:r>
      <w:r w:rsidRPr="004641F6">
        <w:rPr>
          <w:rFonts w:ascii="Times New Roman" w:eastAsia="標楷體" w:hAnsi="Times New Roman" w:hint="eastAsia"/>
          <w:color w:val="0D0D0D"/>
          <w:sz w:val="28"/>
          <w:szCs w:val="28"/>
        </w:rPr>
        <w:t>所提供的管理報告。</w:t>
      </w:r>
    </w:p>
    <w:p w:rsidR="004641F6" w:rsidRPr="004641F6" w:rsidRDefault="004641F6" w:rsidP="004641F6">
      <w:pPr>
        <w:pStyle w:val="a3"/>
        <w:snapToGrid w:val="0"/>
        <w:spacing w:line="500" w:lineRule="exact"/>
        <w:ind w:leftChars="117" w:left="1132" w:hangingChars="304" w:hanging="851"/>
        <w:jc w:val="both"/>
        <w:rPr>
          <w:rFonts w:ascii="Times New Roman" w:eastAsia="標楷體" w:hAnsi="Times New Roman"/>
          <w:color w:val="0D0D0D"/>
          <w:sz w:val="28"/>
          <w:szCs w:val="28"/>
        </w:rPr>
      </w:pPr>
      <w:r w:rsidRPr="004641F6">
        <w:rPr>
          <w:rFonts w:ascii="Times New Roman" w:eastAsia="標楷體" w:hAnsi="Times New Roman" w:hint="eastAsia"/>
          <w:color w:val="0D0D0D"/>
          <w:sz w:val="28"/>
          <w:szCs w:val="28"/>
        </w:rPr>
        <w:t>（二）</w:t>
      </w:r>
      <w:r w:rsidRPr="004641F6">
        <w:rPr>
          <w:rFonts w:ascii="Times New Roman" w:eastAsia="標楷體" w:hAnsi="Times New Roman" w:hint="eastAsia"/>
          <w:color w:val="0D0D0D"/>
          <w:sz w:val="28"/>
          <w:szCs w:val="28"/>
        </w:rPr>
        <w:tab/>
      </w:r>
      <w:r w:rsidRPr="004641F6">
        <w:rPr>
          <w:rFonts w:ascii="Times New Roman" w:eastAsia="標楷體" w:hAnsi="Times New Roman" w:hint="eastAsia"/>
          <w:color w:val="0D0D0D"/>
          <w:sz w:val="28"/>
          <w:szCs w:val="28"/>
        </w:rPr>
        <w:t>國際組織與他國所發布之防制洗錢及打擊資恐相關報告。</w:t>
      </w:r>
    </w:p>
    <w:p w:rsidR="004641F6" w:rsidRPr="004641F6" w:rsidRDefault="004641F6" w:rsidP="004641F6">
      <w:pPr>
        <w:pStyle w:val="a3"/>
        <w:snapToGrid w:val="0"/>
        <w:spacing w:line="500" w:lineRule="exact"/>
        <w:ind w:leftChars="117" w:left="1132" w:hangingChars="304" w:hanging="851"/>
        <w:jc w:val="both"/>
        <w:rPr>
          <w:rFonts w:ascii="Times New Roman" w:eastAsia="標楷體" w:hAnsi="Times New Roman"/>
          <w:color w:val="0D0D0D"/>
          <w:sz w:val="28"/>
          <w:szCs w:val="28"/>
        </w:rPr>
      </w:pPr>
      <w:r w:rsidRPr="004641F6">
        <w:rPr>
          <w:rFonts w:ascii="Times New Roman" w:eastAsia="標楷體" w:hAnsi="Times New Roman" w:hint="eastAsia"/>
          <w:color w:val="0D0D0D"/>
          <w:sz w:val="28"/>
          <w:szCs w:val="28"/>
        </w:rPr>
        <w:t>（三）</w:t>
      </w:r>
      <w:r w:rsidRPr="004641F6">
        <w:rPr>
          <w:rFonts w:ascii="Times New Roman" w:eastAsia="標楷體" w:hAnsi="Times New Roman" w:hint="eastAsia"/>
          <w:color w:val="0D0D0D"/>
          <w:sz w:val="28"/>
          <w:szCs w:val="28"/>
        </w:rPr>
        <w:tab/>
      </w:r>
      <w:r w:rsidRPr="004641F6">
        <w:rPr>
          <w:rFonts w:ascii="Times New Roman" w:eastAsia="標楷體" w:hAnsi="Times New Roman" w:hint="eastAsia"/>
          <w:color w:val="0D0D0D"/>
          <w:sz w:val="28"/>
          <w:szCs w:val="28"/>
        </w:rPr>
        <w:t>主管機關發布之洗錢及資恐風險資訊。</w:t>
      </w:r>
    </w:p>
    <w:p w:rsidR="004641F6" w:rsidRPr="004641F6" w:rsidRDefault="004641F6" w:rsidP="004641F6">
      <w:pPr>
        <w:pStyle w:val="a3"/>
        <w:snapToGrid w:val="0"/>
        <w:spacing w:line="500" w:lineRule="exact"/>
        <w:ind w:leftChars="236" w:left="574" w:hangingChars="3" w:hanging="8"/>
        <w:jc w:val="both"/>
        <w:rPr>
          <w:rFonts w:ascii="Times New Roman" w:eastAsia="標楷體" w:hAnsi="Times New Roman"/>
          <w:color w:val="0D0D0D"/>
          <w:sz w:val="28"/>
          <w:szCs w:val="28"/>
        </w:rPr>
      </w:pPr>
      <w:r>
        <w:rPr>
          <w:rFonts w:ascii="Times New Roman" w:eastAsia="標楷體" w:hAnsi="Times New Roman" w:hint="eastAsia"/>
          <w:color w:val="0D0D0D"/>
          <w:sz w:val="28"/>
          <w:szCs w:val="28"/>
        </w:rPr>
        <w:t>證券商</w:t>
      </w:r>
      <w:r w:rsidRPr="004641F6">
        <w:rPr>
          <w:rFonts w:ascii="Times New Roman" w:eastAsia="標楷體" w:hAnsi="Times New Roman" w:hint="eastAsia"/>
          <w:color w:val="0D0D0D"/>
          <w:sz w:val="28"/>
          <w:szCs w:val="28"/>
        </w:rPr>
        <w:t>之全面性洗錢及資恐風險評估結果應做為發展防制洗錢及打擊資恐計畫之基礎；</w:t>
      </w:r>
      <w:r>
        <w:rPr>
          <w:rFonts w:ascii="Times New Roman" w:eastAsia="標楷體" w:hAnsi="Times New Roman" w:hint="eastAsia"/>
          <w:color w:val="0D0D0D"/>
          <w:sz w:val="28"/>
          <w:szCs w:val="28"/>
        </w:rPr>
        <w:t>證券商</w:t>
      </w:r>
      <w:r w:rsidRPr="004641F6">
        <w:rPr>
          <w:rFonts w:ascii="Times New Roman" w:eastAsia="標楷體" w:hAnsi="Times New Roman" w:hint="eastAsia"/>
          <w:color w:val="0D0D0D"/>
          <w:sz w:val="28"/>
          <w:szCs w:val="28"/>
        </w:rPr>
        <w:t>應依據風險評估結果分配適當人力與資源，採取有效的反制措施，以預防或降低風險。</w:t>
      </w:r>
    </w:p>
    <w:p w:rsidR="004641F6" w:rsidRDefault="004641F6" w:rsidP="004641F6">
      <w:pPr>
        <w:pStyle w:val="a3"/>
        <w:snapToGrid w:val="0"/>
        <w:spacing w:line="500" w:lineRule="exact"/>
        <w:ind w:leftChars="236" w:left="574" w:hangingChars="3" w:hanging="8"/>
        <w:jc w:val="both"/>
        <w:rPr>
          <w:rFonts w:ascii="Times New Roman" w:eastAsia="標楷體" w:hAnsi="Times New Roman"/>
          <w:color w:val="0D0D0D"/>
          <w:sz w:val="28"/>
          <w:szCs w:val="28"/>
        </w:rPr>
      </w:pPr>
      <w:r>
        <w:rPr>
          <w:rFonts w:ascii="Times New Roman" w:eastAsia="標楷體" w:hAnsi="Times New Roman" w:hint="eastAsia"/>
          <w:color w:val="0D0D0D"/>
          <w:sz w:val="28"/>
          <w:szCs w:val="28"/>
        </w:rPr>
        <w:t>證券商</w:t>
      </w:r>
      <w:r w:rsidRPr="004641F6">
        <w:rPr>
          <w:rFonts w:ascii="Times New Roman" w:eastAsia="標楷體" w:hAnsi="Times New Roman" w:hint="eastAsia"/>
          <w:color w:val="0D0D0D"/>
          <w:sz w:val="28"/>
          <w:szCs w:val="28"/>
        </w:rPr>
        <w:t>有重大改變，如發生重大事件、管理及營運上有重大發展、或有相關新威脅產生時，應重新進行評估作業。</w:t>
      </w:r>
    </w:p>
    <w:p w:rsidR="004641F6" w:rsidRPr="004641F6" w:rsidRDefault="004641F6" w:rsidP="00462567">
      <w:pPr>
        <w:pStyle w:val="a3"/>
        <w:snapToGrid w:val="0"/>
        <w:spacing w:line="500" w:lineRule="exact"/>
        <w:ind w:left="567"/>
        <w:jc w:val="both"/>
        <w:rPr>
          <w:rFonts w:ascii="Times New Roman" w:eastAsia="標楷體" w:hAnsi="Times New Roman"/>
          <w:color w:val="0D0D0D"/>
          <w:sz w:val="28"/>
          <w:szCs w:val="28"/>
        </w:rPr>
      </w:pPr>
    </w:p>
    <w:p w:rsidR="006F7573" w:rsidRPr="00A4234D" w:rsidRDefault="004641F6" w:rsidP="003C21C7">
      <w:pPr>
        <w:pStyle w:val="a3"/>
        <w:snapToGrid w:val="0"/>
        <w:spacing w:line="500" w:lineRule="exact"/>
        <w:ind w:leftChars="1" w:left="568" w:hangingChars="202" w:hanging="566"/>
        <w:jc w:val="both"/>
        <w:rPr>
          <w:rFonts w:ascii="標楷體" w:eastAsia="標楷體" w:hAnsi="標楷體"/>
          <w:color w:val="0D0D0D" w:themeColor="text1" w:themeTint="F2"/>
          <w:sz w:val="28"/>
          <w:szCs w:val="28"/>
        </w:rPr>
      </w:pPr>
      <w:r>
        <w:rPr>
          <w:rFonts w:ascii="Times New Roman" w:eastAsia="標楷體" w:hAnsi="標楷體" w:hint="eastAsia"/>
          <w:color w:val="0D0D0D"/>
          <w:sz w:val="28"/>
          <w:szCs w:val="28"/>
        </w:rPr>
        <w:t>九</w:t>
      </w:r>
      <w:r w:rsidR="00AF1F29" w:rsidRPr="00A4234D">
        <w:rPr>
          <w:rFonts w:ascii="Times New Roman" w:eastAsia="標楷體" w:hAnsi="標楷體" w:hint="eastAsia"/>
          <w:color w:val="0D0D0D"/>
          <w:sz w:val="28"/>
          <w:szCs w:val="28"/>
        </w:rPr>
        <w:t>、</w:t>
      </w:r>
      <w:r w:rsidR="00BD7503">
        <w:rPr>
          <w:rFonts w:ascii="標楷體" w:eastAsia="標楷體" w:hAnsi="標楷體" w:hint="eastAsia"/>
          <w:color w:val="0D0D0D" w:themeColor="text1" w:themeTint="F2"/>
          <w:sz w:val="28"/>
          <w:szCs w:val="28"/>
        </w:rPr>
        <w:t>證券商</w:t>
      </w:r>
      <w:r w:rsidR="00C90758" w:rsidRPr="00A4234D">
        <w:rPr>
          <w:rFonts w:ascii="標楷體" w:eastAsia="標楷體" w:hAnsi="標楷體" w:hint="eastAsia"/>
          <w:color w:val="0D0D0D" w:themeColor="text1" w:themeTint="F2"/>
          <w:sz w:val="28"/>
          <w:szCs w:val="28"/>
        </w:rPr>
        <w:t>應依其</w:t>
      </w:r>
      <w:r w:rsidR="00C90758" w:rsidRPr="00A4234D">
        <w:rPr>
          <w:rFonts w:ascii="Times New Roman" w:eastAsia="標楷體" w:hAnsi="標楷體" w:hint="eastAsia"/>
          <w:color w:val="0D0D0D" w:themeColor="text1" w:themeTint="F2"/>
          <w:sz w:val="28"/>
          <w:szCs w:val="28"/>
        </w:rPr>
        <w:t>洗錢與資恐風險及業務規模，訂定、執行防制洗錢及</w:t>
      </w:r>
      <w:r w:rsidR="00C90758" w:rsidRPr="00A4234D">
        <w:rPr>
          <w:rFonts w:ascii="Times New Roman" w:eastAsia="標楷體" w:hAnsi="標楷體" w:hint="eastAsia"/>
          <w:color w:val="0D0D0D" w:themeColor="text1" w:themeTint="F2"/>
          <w:sz w:val="28"/>
          <w:szCs w:val="28"/>
        </w:rPr>
        <w:lastRenderedPageBreak/>
        <w:t>打擊資恐計畫，內容</w:t>
      </w:r>
      <w:r w:rsidR="003F080D" w:rsidRPr="003C21C7">
        <w:rPr>
          <w:rFonts w:ascii="Times New Roman" w:eastAsia="標楷體" w:hAnsi="標楷體" w:hint="eastAsia"/>
          <w:color w:val="0D0D0D" w:themeColor="text1" w:themeTint="F2"/>
          <w:sz w:val="28"/>
          <w:szCs w:val="28"/>
        </w:rPr>
        <w:t>除應涵蓋確認客戶身分、紀錄保存與申報一定金額以上通貨交易及疑似洗錢交易等內部政策、程序及控管外，</w:t>
      </w:r>
      <w:r w:rsidR="002528DA">
        <w:rPr>
          <w:rFonts w:ascii="Times New Roman" w:eastAsia="標楷體" w:hAnsi="標楷體" w:hint="eastAsia"/>
          <w:color w:val="0D0D0D" w:themeColor="text1" w:themeTint="F2"/>
          <w:sz w:val="28"/>
          <w:szCs w:val="28"/>
        </w:rPr>
        <w:t>並應</w:t>
      </w:r>
      <w:r w:rsidR="00C90758" w:rsidRPr="00A4234D">
        <w:rPr>
          <w:rFonts w:ascii="Times New Roman" w:eastAsia="標楷體" w:hAnsi="標楷體" w:hint="eastAsia"/>
          <w:color w:val="0D0D0D" w:themeColor="text1" w:themeTint="F2"/>
          <w:sz w:val="28"/>
          <w:szCs w:val="28"/>
        </w:rPr>
        <w:t>包括指定管理階層人員協調督導防制洗錢</w:t>
      </w:r>
      <w:r w:rsidR="00621870" w:rsidRPr="003C21C7">
        <w:rPr>
          <w:rFonts w:ascii="Times New Roman" w:eastAsia="標楷體" w:hAnsi="標楷體" w:hint="eastAsia"/>
          <w:color w:val="0D0D0D" w:themeColor="text1" w:themeTint="F2"/>
          <w:sz w:val="28"/>
          <w:szCs w:val="28"/>
        </w:rPr>
        <w:t>及打擊資恐</w:t>
      </w:r>
      <w:r w:rsidR="00C90758" w:rsidRPr="00A4234D">
        <w:rPr>
          <w:rFonts w:ascii="Times New Roman" w:eastAsia="標楷體" w:hAnsi="標楷體" w:hint="eastAsia"/>
          <w:color w:val="0D0D0D" w:themeColor="text1" w:themeTint="F2"/>
          <w:sz w:val="28"/>
          <w:szCs w:val="28"/>
        </w:rPr>
        <w:t>之執行、建立</w:t>
      </w:r>
      <w:r w:rsidR="00C90758" w:rsidRPr="00A4234D">
        <w:rPr>
          <w:rFonts w:ascii="標楷體" w:eastAsia="標楷體" w:hAnsi="標楷體" w:hint="eastAsia"/>
          <w:color w:val="0D0D0D" w:themeColor="text1" w:themeTint="F2"/>
          <w:sz w:val="28"/>
          <w:szCs w:val="28"/>
        </w:rPr>
        <w:t>審慎適當之員工遴選程序、實施持續性之員工訓練計畫及測試</w:t>
      </w:r>
      <w:r w:rsidR="00BD7503">
        <w:rPr>
          <w:rFonts w:ascii="標楷體" w:eastAsia="標楷體" w:hAnsi="標楷體" w:hint="eastAsia"/>
          <w:color w:val="0D0D0D" w:themeColor="text1" w:themeTint="F2"/>
          <w:sz w:val="28"/>
          <w:szCs w:val="28"/>
        </w:rPr>
        <w:t>證券商</w:t>
      </w:r>
      <w:r w:rsidR="00C90758" w:rsidRPr="00A4234D">
        <w:rPr>
          <w:rFonts w:ascii="標楷體" w:eastAsia="標楷體" w:hAnsi="標楷體" w:hint="eastAsia"/>
          <w:color w:val="0D0D0D" w:themeColor="text1" w:themeTint="F2"/>
          <w:sz w:val="28"/>
          <w:szCs w:val="28"/>
        </w:rPr>
        <w:t>防制</w:t>
      </w:r>
      <w:r w:rsidR="00C90758" w:rsidRPr="00A4234D">
        <w:rPr>
          <w:rFonts w:ascii="Times New Roman" w:eastAsia="標楷體" w:hAnsi="標楷體" w:hint="eastAsia"/>
          <w:color w:val="0D0D0D" w:themeColor="text1" w:themeTint="F2"/>
          <w:sz w:val="28"/>
          <w:szCs w:val="28"/>
        </w:rPr>
        <w:t>洗錢及打擊資恐系統有效性之獨立稽核功能等內部政策、程序及控管，</w:t>
      </w:r>
      <w:r w:rsidR="00BD7503">
        <w:rPr>
          <w:rFonts w:ascii="Times New Roman" w:eastAsia="標楷體" w:hAnsi="標楷體" w:hint="eastAsia"/>
          <w:color w:val="0D0D0D" w:themeColor="text1" w:themeTint="F2"/>
          <w:sz w:val="28"/>
          <w:szCs w:val="28"/>
        </w:rPr>
        <w:t>證券商</w:t>
      </w:r>
      <w:r w:rsidR="00C90758" w:rsidRPr="00A4234D">
        <w:rPr>
          <w:rFonts w:ascii="Times New Roman" w:eastAsia="標楷體" w:hAnsi="標楷體" w:hint="eastAsia"/>
          <w:color w:val="0D0D0D" w:themeColor="text1" w:themeTint="F2"/>
          <w:sz w:val="28"/>
          <w:szCs w:val="28"/>
        </w:rPr>
        <w:t>得依本範本相關規定辦理。</w:t>
      </w:r>
    </w:p>
    <w:p w:rsidR="00E35CC1" w:rsidRPr="00A4234D" w:rsidRDefault="00E35CC1" w:rsidP="008E18D2">
      <w:pPr>
        <w:pStyle w:val="a3"/>
        <w:snapToGrid w:val="0"/>
        <w:spacing w:line="500" w:lineRule="exact"/>
        <w:jc w:val="both"/>
        <w:rPr>
          <w:rFonts w:ascii="Times New Roman" w:eastAsia="標楷體" w:hAnsi="Times New Roman"/>
          <w:color w:val="0D0D0D" w:themeColor="text1" w:themeTint="F2"/>
          <w:sz w:val="28"/>
          <w:szCs w:val="28"/>
        </w:rPr>
      </w:pPr>
    </w:p>
    <w:p w:rsidR="00687837" w:rsidRPr="00A4234D" w:rsidRDefault="004641F6" w:rsidP="00A4234D">
      <w:pPr>
        <w:pStyle w:val="a3"/>
        <w:snapToGrid w:val="0"/>
        <w:spacing w:line="500" w:lineRule="exact"/>
        <w:ind w:left="564" w:hanging="564"/>
        <w:jc w:val="both"/>
      </w:pPr>
      <w:r>
        <w:rPr>
          <w:rFonts w:eastAsia="標楷體" w:hint="eastAsia"/>
          <w:color w:val="0D0D0D"/>
          <w:sz w:val="28"/>
          <w:szCs w:val="28"/>
        </w:rPr>
        <w:t>十</w:t>
      </w:r>
      <w:r w:rsidR="004E08F1" w:rsidRPr="00A4234D">
        <w:rPr>
          <w:rFonts w:ascii="Times New Roman" w:eastAsia="標楷體" w:hAnsi="Times New Roman" w:hint="eastAsia"/>
          <w:color w:val="0D0D0D"/>
          <w:sz w:val="28"/>
          <w:szCs w:val="28"/>
        </w:rPr>
        <w:t>、</w:t>
      </w:r>
      <w:r w:rsidR="00BD7503">
        <w:rPr>
          <w:rFonts w:ascii="標楷體" w:eastAsia="標楷體" w:hAnsi="標楷體" w:hint="eastAsia"/>
          <w:sz w:val="28"/>
          <w:szCs w:val="28"/>
        </w:rPr>
        <w:t>證券商</w:t>
      </w:r>
      <w:r w:rsidR="003C4159" w:rsidRPr="00A4234D">
        <w:rPr>
          <w:rFonts w:eastAsia="標楷體" w:hAnsi="標楷體" w:hint="eastAsia"/>
          <w:color w:val="0D0D0D"/>
          <w:sz w:val="28"/>
          <w:szCs w:val="28"/>
        </w:rPr>
        <w:t>依據</w:t>
      </w:r>
      <w:r w:rsidR="00C90758" w:rsidRPr="00A4234D">
        <w:rPr>
          <w:rFonts w:eastAsia="標楷體" w:hAnsi="標楷體" w:hint="eastAsia"/>
          <w:color w:val="0D0D0D"/>
          <w:sz w:val="28"/>
          <w:szCs w:val="28"/>
        </w:rPr>
        <w:t>本指引</w:t>
      </w:r>
      <w:r w:rsidR="003C4159" w:rsidRPr="00A4234D">
        <w:rPr>
          <w:rFonts w:eastAsia="標楷體" w:hAnsi="標楷體" w:hint="eastAsia"/>
          <w:color w:val="0D0D0D"/>
          <w:sz w:val="28"/>
          <w:szCs w:val="28"/>
        </w:rPr>
        <w:t>訂定之政策</w:t>
      </w:r>
      <w:r w:rsidR="004E08F1" w:rsidRPr="00A4234D">
        <w:rPr>
          <w:rFonts w:ascii="Times New Roman" w:eastAsia="標楷體" w:hAnsi="標楷體" w:hint="eastAsia"/>
          <w:color w:val="0D0D0D"/>
          <w:sz w:val="28"/>
          <w:szCs w:val="28"/>
        </w:rPr>
        <w:t>應</w:t>
      </w:r>
      <w:r w:rsidR="004E08F1" w:rsidRPr="00A4234D">
        <w:rPr>
          <w:rFonts w:ascii="標楷體" w:eastAsia="標楷體" w:hAnsi="標楷體"/>
          <w:sz w:val="28"/>
          <w:szCs w:val="28"/>
        </w:rPr>
        <w:t>經董事會（或分層授權之權責單位）通過後實施</w:t>
      </w:r>
      <w:r w:rsidR="004E08F1" w:rsidRPr="00A4234D">
        <w:rPr>
          <w:rFonts w:ascii="Times New Roman" w:eastAsia="標楷體" w:hAnsi="標楷體"/>
          <w:color w:val="0D0D0D"/>
          <w:sz w:val="28"/>
          <w:szCs w:val="28"/>
        </w:rPr>
        <w:t>，</w:t>
      </w:r>
      <w:r w:rsidR="004A16EE">
        <w:rPr>
          <w:rFonts w:ascii="Times New Roman" w:eastAsia="標楷體" w:hAnsi="標楷體" w:hint="eastAsia"/>
          <w:color w:val="0D0D0D"/>
          <w:sz w:val="28"/>
          <w:szCs w:val="28"/>
        </w:rPr>
        <w:t>並</w:t>
      </w:r>
      <w:r w:rsidR="002C18AA" w:rsidRPr="00A4234D">
        <w:rPr>
          <w:rFonts w:ascii="Times New Roman" w:eastAsia="標楷體" w:hAnsi="標楷體" w:hint="eastAsia"/>
          <w:color w:val="0D0D0D"/>
          <w:sz w:val="28"/>
          <w:szCs w:val="28"/>
        </w:rPr>
        <w:t>與其「防制洗錢及打擊資助恐怖主義注意事項」</w:t>
      </w:r>
      <w:r w:rsidR="002528DA">
        <w:rPr>
          <w:rFonts w:ascii="Times New Roman" w:eastAsia="標楷體" w:hAnsi="標楷體" w:hint="eastAsia"/>
          <w:color w:val="0D0D0D"/>
          <w:sz w:val="28"/>
          <w:szCs w:val="28"/>
        </w:rPr>
        <w:t>陳</w:t>
      </w:r>
      <w:r w:rsidR="004E08F1" w:rsidRPr="00A4234D">
        <w:rPr>
          <w:rFonts w:ascii="Times New Roman" w:eastAsia="標楷體" w:hAnsi="標楷體"/>
          <w:color w:val="0D0D0D"/>
          <w:sz w:val="28"/>
          <w:szCs w:val="28"/>
        </w:rPr>
        <w:t>報金融監督管理委員會備查</w:t>
      </w:r>
      <w:r w:rsidR="002C18AA" w:rsidRPr="00A4234D">
        <w:rPr>
          <w:rFonts w:ascii="Times New Roman" w:eastAsia="標楷體" w:hAnsi="標楷體" w:hint="eastAsia"/>
          <w:color w:val="0D0D0D"/>
          <w:sz w:val="28"/>
          <w:szCs w:val="28"/>
        </w:rPr>
        <w:t>；並應定期檢討</w:t>
      </w:r>
      <w:r w:rsidR="004E08F1" w:rsidRPr="00A4234D">
        <w:rPr>
          <w:rFonts w:ascii="Times New Roman" w:eastAsia="標楷體" w:hAnsi="標楷體"/>
          <w:color w:val="0D0D0D"/>
          <w:sz w:val="28"/>
          <w:szCs w:val="28"/>
        </w:rPr>
        <w:t>。修改時亦同</w:t>
      </w:r>
      <w:r w:rsidR="004E08F1" w:rsidRPr="00A4234D">
        <w:rPr>
          <w:rFonts w:ascii="標楷體" w:eastAsia="標楷體" w:hAnsi="標楷體"/>
          <w:sz w:val="28"/>
          <w:szCs w:val="28"/>
        </w:rPr>
        <w:t>。</w:t>
      </w:r>
    </w:p>
    <w:p w:rsidR="004E08F1" w:rsidRPr="00A4234D" w:rsidRDefault="004E08F1">
      <w:pPr>
        <w:widowControl/>
        <w:rPr>
          <w:rFonts w:eastAsia="標楷體" w:hAnsi="標楷體"/>
          <w:color w:val="0D0D0D"/>
          <w:sz w:val="28"/>
          <w:szCs w:val="28"/>
        </w:rPr>
      </w:pPr>
      <w:r w:rsidRPr="00A4234D">
        <w:rPr>
          <w:rFonts w:eastAsia="標楷體" w:hAnsi="標楷體"/>
          <w:color w:val="0D0D0D"/>
          <w:sz w:val="28"/>
          <w:szCs w:val="28"/>
        </w:rPr>
        <w:br w:type="page"/>
      </w:r>
    </w:p>
    <w:p w:rsidR="00567537" w:rsidRPr="00A4234D" w:rsidRDefault="000537A9" w:rsidP="008B0923">
      <w:pPr>
        <w:spacing w:line="500" w:lineRule="exact"/>
        <w:rPr>
          <w:rFonts w:eastAsia="標楷體"/>
          <w:color w:val="0D0D0D"/>
          <w:sz w:val="28"/>
          <w:szCs w:val="28"/>
        </w:rPr>
      </w:pPr>
      <w:r w:rsidRPr="00A4234D">
        <w:rPr>
          <w:rFonts w:eastAsia="標楷體" w:hAnsi="標楷體" w:hint="eastAsia"/>
          <w:color w:val="0D0D0D"/>
          <w:sz w:val="28"/>
          <w:szCs w:val="28"/>
        </w:rPr>
        <w:lastRenderedPageBreak/>
        <w:t>附錄</w:t>
      </w:r>
      <w:r w:rsidR="00EC624F" w:rsidRPr="00A4234D">
        <w:rPr>
          <w:rFonts w:eastAsia="標楷體" w:hAnsi="標楷體" w:hint="eastAsia"/>
          <w:color w:val="0D0D0D"/>
          <w:sz w:val="28"/>
          <w:szCs w:val="28"/>
        </w:rPr>
        <w:t>：</w:t>
      </w:r>
      <w:r w:rsidR="004F0779" w:rsidRPr="00A4234D">
        <w:rPr>
          <w:rFonts w:eastAsia="標楷體" w:hAnsi="標楷體" w:hint="eastAsia"/>
          <w:color w:val="0D0D0D"/>
          <w:sz w:val="28"/>
          <w:szCs w:val="28"/>
        </w:rPr>
        <w:t>訂定高洗錢及資恐風險區域名單之參考依據</w:t>
      </w:r>
    </w:p>
    <w:p w:rsidR="00917003" w:rsidRPr="00A4234D" w:rsidRDefault="00917003" w:rsidP="00917003">
      <w:pPr>
        <w:pStyle w:val="a3"/>
        <w:numPr>
          <w:ilvl w:val="0"/>
          <w:numId w:val="9"/>
        </w:numPr>
        <w:snapToGrid w:val="0"/>
        <w:spacing w:line="500" w:lineRule="exact"/>
        <w:jc w:val="both"/>
        <w:rPr>
          <w:rFonts w:ascii="Times New Roman" w:eastAsia="標楷體" w:hAnsi="Times New Roman"/>
          <w:color w:val="0D0D0D"/>
          <w:sz w:val="28"/>
          <w:szCs w:val="28"/>
        </w:rPr>
      </w:pPr>
      <w:r w:rsidRPr="00A4234D">
        <w:rPr>
          <w:rFonts w:ascii="Times New Roman" w:eastAsia="標楷體" w:hAnsi="標楷體" w:hint="eastAsia"/>
          <w:color w:val="0D0D0D"/>
          <w:sz w:val="28"/>
          <w:szCs w:val="28"/>
        </w:rPr>
        <w:t>金融監督管理委員會函轉國際防制洗錢組織所公告防制洗錢與打擊資助恐怖份子有嚴重缺失之國家或地區、及其他未遵循或未充分遵循國際防制洗錢組織建議之國家或地區。</w:t>
      </w:r>
    </w:p>
    <w:p w:rsidR="00917003" w:rsidRPr="00A4234D" w:rsidRDefault="00917003" w:rsidP="004F0779">
      <w:pPr>
        <w:pStyle w:val="a3"/>
        <w:numPr>
          <w:ilvl w:val="0"/>
          <w:numId w:val="9"/>
        </w:numPr>
        <w:snapToGrid w:val="0"/>
        <w:spacing w:line="500" w:lineRule="exact"/>
        <w:jc w:val="both"/>
        <w:rPr>
          <w:rFonts w:ascii="Times New Roman" w:eastAsia="標楷體" w:hAnsi="標楷體"/>
          <w:color w:val="0D0D0D"/>
          <w:sz w:val="28"/>
          <w:szCs w:val="28"/>
        </w:rPr>
      </w:pPr>
      <w:r w:rsidRPr="00A4234D">
        <w:rPr>
          <w:rFonts w:ascii="Times New Roman" w:eastAsia="標楷體" w:hAnsi="標楷體" w:hint="eastAsia"/>
          <w:color w:val="0D0D0D"/>
          <w:sz w:val="28"/>
          <w:szCs w:val="28"/>
        </w:rPr>
        <w:t>受聯合國、美國或歐盟經濟制裁或</w:t>
      </w:r>
      <w:r w:rsidR="00894798" w:rsidRPr="00A4234D">
        <w:rPr>
          <w:rFonts w:ascii="Times New Roman" w:eastAsia="標楷體" w:hAnsi="標楷體" w:hint="eastAsia"/>
          <w:color w:val="0D0D0D"/>
          <w:sz w:val="28"/>
          <w:szCs w:val="28"/>
        </w:rPr>
        <w:t>採取</w:t>
      </w:r>
      <w:r w:rsidRPr="00A4234D">
        <w:rPr>
          <w:rFonts w:ascii="Times New Roman" w:eastAsia="標楷體" w:hAnsi="標楷體" w:hint="eastAsia"/>
          <w:color w:val="0D0D0D"/>
          <w:sz w:val="28"/>
          <w:szCs w:val="28"/>
        </w:rPr>
        <w:t>其他類似措施的國家或地區。</w:t>
      </w:r>
    </w:p>
    <w:p w:rsidR="00917003" w:rsidRPr="00A4234D" w:rsidRDefault="00917003" w:rsidP="00EA43D6">
      <w:pPr>
        <w:pStyle w:val="a3"/>
        <w:numPr>
          <w:ilvl w:val="0"/>
          <w:numId w:val="9"/>
        </w:numPr>
        <w:snapToGrid w:val="0"/>
        <w:spacing w:line="500" w:lineRule="exact"/>
        <w:rPr>
          <w:rFonts w:ascii="Times New Roman" w:eastAsia="標楷體" w:hAnsi="標楷體"/>
          <w:color w:val="0D0D0D"/>
          <w:sz w:val="28"/>
          <w:szCs w:val="28"/>
        </w:rPr>
      </w:pPr>
      <w:r w:rsidRPr="00A4234D">
        <w:rPr>
          <w:rFonts w:ascii="Times New Roman" w:eastAsia="標楷體" w:hAnsi="標楷體"/>
          <w:color w:val="0D0D0D"/>
          <w:sz w:val="28"/>
          <w:szCs w:val="28"/>
        </w:rPr>
        <w:t>國際貨幣基金組織</w:t>
      </w:r>
      <w:r w:rsidR="001F065D" w:rsidRPr="00A4234D">
        <w:rPr>
          <w:rFonts w:ascii="Times New Roman" w:eastAsia="標楷體" w:hAnsi="標楷體" w:hint="eastAsia"/>
          <w:color w:val="0D0D0D"/>
          <w:sz w:val="28"/>
          <w:szCs w:val="28"/>
        </w:rPr>
        <w:t xml:space="preserve"> (</w:t>
      </w:r>
      <w:r w:rsidR="001F065D" w:rsidRPr="00A4234D">
        <w:rPr>
          <w:rFonts w:ascii="Times New Roman" w:eastAsia="標楷體" w:hAnsi="標楷體"/>
          <w:color w:val="0D0D0D"/>
          <w:sz w:val="28"/>
          <w:szCs w:val="28"/>
        </w:rPr>
        <w:t>International Monetary Fund</w:t>
      </w:r>
      <w:r w:rsidR="001F065D" w:rsidRPr="00A4234D">
        <w:rPr>
          <w:rFonts w:ascii="Times New Roman" w:eastAsia="標楷體" w:hAnsi="標楷體" w:hint="eastAsia"/>
          <w:color w:val="0D0D0D"/>
          <w:sz w:val="28"/>
          <w:szCs w:val="28"/>
        </w:rPr>
        <w:t xml:space="preserve">) </w:t>
      </w:r>
      <w:r w:rsidRPr="00A4234D">
        <w:rPr>
          <w:rFonts w:ascii="Times New Roman" w:eastAsia="標楷體" w:hAnsi="標楷體" w:hint="eastAsia"/>
          <w:color w:val="0D0D0D"/>
          <w:sz w:val="28"/>
          <w:szCs w:val="28"/>
        </w:rPr>
        <w:t>所公布之境外金融中心的國家或地區</w:t>
      </w:r>
      <w:r w:rsidR="005209B9" w:rsidRPr="00A4234D">
        <w:rPr>
          <w:rFonts w:ascii="Times New Roman" w:eastAsia="標楷體" w:hAnsi="標楷體" w:hint="eastAsia"/>
          <w:color w:val="0D0D0D"/>
          <w:sz w:val="28"/>
          <w:szCs w:val="28"/>
        </w:rPr>
        <w:t xml:space="preserve"> (</w:t>
      </w:r>
      <w:r w:rsidR="002E435F" w:rsidRPr="00A4234D">
        <w:rPr>
          <w:rFonts w:ascii="Times New Roman" w:eastAsia="標楷體" w:hAnsi="標楷體"/>
          <w:color w:val="0D0D0D"/>
          <w:sz w:val="28"/>
          <w:szCs w:val="28"/>
        </w:rPr>
        <w:t>IMF Offshore Financial Centers</w:t>
      </w:r>
      <w:r w:rsidR="002E435F" w:rsidRPr="00A4234D">
        <w:rPr>
          <w:rFonts w:ascii="Times New Roman" w:eastAsia="標楷體" w:hAnsi="標楷體" w:hint="eastAsia"/>
          <w:color w:val="0D0D0D"/>
          <w:sz w:val="28"/>
          <w:szCs w:val="28"/>
        </w:rPr>
        <w:t>.</w:t>
      </w:r>
      <w:r w:rsidR="00EB0079" w:rsidRPr="00A4234D">
        <w:rPr>
          <w:rFonts w:ascii="Times New Roman" w:eastAsia="標楷體" w:hAnsi="標楷體" w:hint="eastAsia"/>
          <w:color w:val="0D0D0D"/>
          <w:sz w:val="28"/>
          <w:szCs w:val="28"/>
        </w:rPr>
        <w:t xml:space="preserve"> </w:t>
      </w:r>
      <w:r w:rsidR="005209B9" w:rsidRPr="00A4234D">
        <w:rPr>
          <w:rFonts w:ascii="Times New Roman" w:eastAsia="標楷體" w:hAnsi="標楷體"/>
          <w:color w:val="0D0D0D"/>
          <w:sz w:val="28"/>
          <w:szCs w:val="28"/>
        </w:rPr>
        <w:t>http://www.imf.org/external/NP/ofca/OFCA.aspx</w:t>
      </w:r>
      <w:r w:rsidR="005209B9" w:rsidRPr="00A4234D">
        <w:rPr>
          <w:rFonts w:ascii="Times New Roman" w:eastAsia="標楷體" w:hAnsi="標楷體" w:hint="eastAsia"/>
          <w:color w:val="0D0D0D"/>
          <w:sz w:val="28"/>
          <w:szCs w:val="28"/>
        </w:rPr>
        <w:t>)</w:t>
      </w:r>
      <w:r w:rsidRPr="00A4234D">
        <w:rPr>
          <w:rFonts w:ascii="Times New Roman" w:eastAsia="標楷體" w:hAnsi="標楷體" w:hint="eastAsia"/>
          <w:color w:val="0D0D0D"/>
          <w:sz w:val="28"/>
          <w:szCs w:val="28"/>
        </w:rPr>
        <w:t>。</w:t>
      </w:r>
    </w:p>
    <w:p w:rsidR="00917003" w:rsidRPr="00A4234D" w:rsidRDefault="00917003" w:rsidP="00EA43D6">
      <w:pPr>
        <w:pStyle w:val="a3"/>
        <w:numPr>
          <w:ilvl w:val="0"/>
          <w:numId w:val="9"/>
        </w:numPr>
        <w:snapToGrid w:val="0"/>
        <w:spacing w:line="500" w:lineRule="exact"/>
        <w:rPr>
          <w:rFonts w:ascii="Times New Roman" w:eastAsia="標楷體" w:hAnsi="標楷體"/>
          <w:color w:val="0D0D0D"/>
          <w:sz w:val="28"/>
          <w:szCs w:val="28"/>
        </w:rPr>
      </w:pPr>
      <w:r w:rsidRPr="00A4234D">
        <w:rPr>
          <w:rFonts w:ascii="Times New Roman" w:eastAsia="標楷體" w:hAnsi="標楷體" w:hint="eastAsia"/>
          <w:color w:val="0D0D0D"/>
          <w:sz w:val="28"/>
          <w:szCs w:val="28"/>
        </w:rPr>
        <w:t>美國財政部愛國者法案</w:t>
      </w:r>
      <w:r w:rsidRPr="00A4234D">
        <w:rPr>
          <w:rFonts w:ascii="Times New Roman" w:eastAsia="標楷體" w:hAnsi="標楷體" w:hint="eastAsia"/>
          <w:color w:val="0D0D0D"/>
          <w:sz w:val="28"/>
          <w:szCs w:val="28"/>
        </w:rPr>
        <w:t>Section 311</w:t>
      </w:r>
      <w:r w:rsidR="001F065D" w:rsidRPr="00A4234D">
        <w:rPr>
          <w:rFonts w:ascii="Times New Roman" w:eastAsia="標楷體" w:hAnsi="標楷體" w:hint="eastAsia"/>
          <w:color w:val="0D0D0D"/>
          <w:sz w:val="28"/>
          <w:szCs w:val="28"/>
        </w:rPr>
        <w:t xml:space="preserve"> (</w:t>
      </w:r>
      <w:r w:rsidR="001F065D" w:rsidRPr="00A4234D">
        <w:rPr>
          <w:rFonts w:ascii="Times New Roman" w:eastAsia="標楷體" w:hAnsi="標楷體"/>
          <w:color w:val="0D0D0D"/>
          <w:sz w:val="28"/>
          <w:szCs w:val="28"/>
        </w:rPr>
        <w:t>USA PATRIOT Ac</w:t>
      </w:r>
      <w:r w:rsidR="001F065D" w:rsidRPr="00A4234D">
        <w:rPr>
          <w:rFonts w:ascii="Times New Roman" w:eastAsia="標楷體" w:hAnsi="Times New Roman"/>
          <w:color w:val="0D0D0D"/>
          <w:sz w:val="28"/>
          <w:szCs w:val="28"/>
        </w:rPr>
        <w:t>t</w:t>
      </w:r>
      <w:r w:rsidR="00D31F8A" w:rsidRPr="00A4234D">
        <w:rPr>
          <w:rFonts w:ascii="Times New Roman" w:eastAsia="標楷體" w:hAnsi="Times New Roman"/>
          <w:color w:val="0D0D0D"/>
          <w:sz w:val="28"/>
          <w:szCs w:val="28"/>
        </w:rPr>
        <w:t>’</w:t>
      </w:r>
      <w:r w:rsidR="001F065D" w:rsidRPr="00A4234D">
        <w:rPr>
          <w:rFonts w:ascii="Times New Roman" w:eastAsia="標楷體" w:hAnsi="Times New Roman"/>
          <w:color w:val="0D0D0D"/>
          <w:sz w:val="28"/>
          <w:szCs w:val="28"/>
        </w:rPr>
        <w:t>s S</w:t>
      </w:r>
      <w:r w:rsidR="001F065D" w:rsidRPr="00A4234D">
        <w:rPr>
          <w:rFonts w:ascii="Times New Roman" w:eastAsia="標楷體" w:hAnsi="標楷體"/>
          <w:color w:val="0D0D0D"/>
          <w:sz w:val="28"/>
          <w:szCs w:val="28"/>
        </w:rPr>
        <w:t>ection 311</w:t>
      </w:r>
      <w:r w:rsidR="001F065D" w:rsidRPr="00A4234D">
        <w:rPr>
          <w:rFonts w:ascii="Times New Roman" w:eastAsia="標楷體" w:hAnsi="標楷體" w:hint="eastAsia"/>
          <w:color w:val="0D0D0D"/>
          <w:sz w:val="28"/>
          <w:szCs w:val="28"/>
        </w:rPr>
        <w:t xml:space="preserve">) </w:t>
      </w:r>
      <w:r w:rsidRPr="00A4234D">
        <w:rPr>
          <w:rFonts w:ascii="Times New Roman" w:eastAsia="標楷體" w:hAnsi="標楷體" w:hint="eastAsia"/>
          <w:color w:val="0D0D0D"/>
          <w:sz w:val="28"/>
          <w:szCs w:val="28"/>
        </w:rPr>
        <w:t>指定有重大洗錢疑慮之國家或地區</w:t>
      </w:r>
      <w:r w:rsidR="005209B9" w:rsidRPr="00A4234D">
        <w:rPr>
          <w:rFonts w:ascii="Times New Roman" w:eastAsia="標楷體" w:hAnsi="標楷體" w:hint="eastAsia"/>
          <w:color w:val="0D0D0D"/>
          <w:sz w:val="28"/>
          <w:szCs w:val="28"/>
        </w:rPr>
        <w:t xml:space="preserve"> (</w:t>
      </w:r>
      <w:r w:rsidR="005209B9" w:rsidRPr="00A4234D">
        <w:rPr>
          <w:rFonts w:ascii="Times New Roman" w:eastAsia="標楷體" w:hAnsi="標楷體"/>
          <w:color w:val="0D0D0D"/>
          <w:sz w:val="28"/>
          <w:szCs w:val="28"/>
        </w:rPr>
        <w:t>Special Measures for Jurisdictions, Financial Institutions, or International Transactions of Primary Money Laundering Concern</w:t>
      </w:r>
      <w:r w:rsidR="002E435F" w:rsidRPr="00A4234D">
        <w:rPr>
          <w:rFonts w:ascii="Times New Roman" w:eastAsia="標楷體" w:hAnsi="標楷體" w:hint="eastAsia"/>
          <w:color w:val="0D0D0D"/>
          <w:sz w:val="28"/>
          <w:szCs w:val="28"/>
        </w:rPr>
        <w:t xml:space="preserve">. </w:t>
      </w:r>
      <w:r w:rsidR="005209B9" w:rsidRPr="00A4234D">
        <w:rPr>
          <w:rFonts w:ascii="Times New Roman" w:eastAsia="標楷體" w:hAnsi="標楷體"/>
          <w:color w:val="0D0D0D"/>
          <w:sz w:val="28"/>
          <w:szCs w:val="28"/>
        </w:rPr>
        <w:t>http://www.fincen.gov/statutes_regs/patriot/section311.html</w:t>
      </w:r>
      <w:r w:rsidR="005209B9" w:rsidRPr="00A4234D">
        <w:rPr>
          <w:rFonts w:ascii="Times New Roman" w:eastAsia="標楷體" w:hAnsi="標楷體" w:hint="eastAsia"/>
          <w:color w:val="0D0D0D"/>
          <w:sz w:val="28"/>
          <w:szCs w:val="28"/>
        </w:rPr>
        <w:t>)</w:t>
      </w:r>
      <w:r w:rsidRPr="00A4234D">
        <w:rPr>
          <w:rFonts w:ascii="Times New Roman" w:eastAsia="標楷體" w:hAnsi="標楷體" w:hint="eastAsia"/>
          <w:color w:val="0D0D0D"/>
          <w:sz w:val="28"/>
          <w:szCs w:val="28"/>
        </w:rPr>
        <w:t>。</w:t>
      </w:r>
    </w:p>
    <w:p w:rsidR="002A6DAD" w:rsidRPr="00A4234D" w:rsidRDefault="0079257B" w:rsidP="00EA43D6">
      <w:pPr>
        <w:pStyle w:val="a3"/>
        <w:numPr>
          <w:ilvl w:val="0"/>
          <w:numId w:val="9"/>
        </w:numPr>
        <w:snapToGrid w:val="0"/>
        <w:spacing w:line="500" w:lineRule="exact"/>
        <w:rPr>
          <w:rFonts w:ascii="Times New Roman" w:eastAsia="標楷體" w:hAnsi="標楷體"/>
          <w:color w:val="0D0D0D"/>
          <w:sz w:val="28"/>
          <w:szCs w:val="28"/>
        </w:rPr>
      </w:pPr>
      <w:r w:rsidRPr="00A4234D">
        <w:rPr>
          <w:rFonts w:ascii="Times New Roman" w:eastAsia="標楷體" w:hAnsi="標楷體" w:hint="eastAsia"/>
          <w:color w:val="0D0D0D"/>
          <w:sz w:val="28"/>
          <w:szCs w:val="28"/>
        </w:rPr>
        <w:t>國際透明組織之貪腐印象指數所列具相當貪瀆程度</w:t>
      </w:r>
      <w:r w:rsidR="002A6DAD" w:rsidRPr="00A4234D">
        <w:rPr>
          <w:rFonts w:ascii="Times New Roman" w:eastAsia="標楷體" w:hAnsi="標楷體" w:hint="eastAsia"/>
          <w:color w:val="0D0D0D"/>
          <w:sz w:val="28"/>
          <w:szCs w:val="28"/>
        </w:rPr>
        <w:t>之</w:t>
      </w:r>
      <w:r w:rsidR="00873FF5" w:rsidRPr="00A4234D">
        <w:rPr>
          <w:rFonts w:ascii="Times New Roman" w:eastAsia="標楷體" w:hAnsi="標楷體" w:hint="eastAsia"/>
          <w:color w:val="0D0D0D"/>
          <w:sz w:val="28"/>
          <w:szCs w:val="28"/>
        </w:rPr>
        <w:t>國家或地區</w:t>
      </w:r>
      <w:r w:rsidR="00030CB7" w:rsidRPr="00A4234D">
        <w:rPr>
          <w:rFonts w:ascii="Times New Roman" w:eastAsia="標楷體" w:hAnsi="標楷體" w:hint="eastAsia"/>
          <w:color w:val="0D0D0D"/>
          <w:sz w:val="28"/>
          <w:szCs w:val="28"/>
        </w:rPr>
        <w:t>(</w:t>
      </w:r>
      <w:r w:rsidR="00030CB7" w:rsidRPr="00A4234D">
        <w:rPr>
          <w:rFonts w:ascii="Times New Roman" w:eastAsia="標楷體" w:hAnsi="標楷體"/>
          <w:color w:val="0D0D0D"/>
          <w:sz w:val="28"/>
          <w:szCs w:val="28"/>
        </w:rPr>
        <w:t>Transparency International's Corruption Perceptions Index</w:t>
      </w:r>
      <w:r w:rsidR="00030CB7" w:rsidRPr="00A4234D">
        <w:rPr>
          <w:rFonts w:ascii="Times New Roman" w:eastAsia="標楷體" w:hAnsi="標楷體" w:hint="eastAsia"/>
          <w:color w:val="0D0D0D"/>
          <w:sz w:val="28"/>
          <w:szCs w:val="28"/>
        </w:rPr>
        <w:t xml:space="preserve">. </w:t>
      </w:r>
      <w:r w:rsidR="00030CB7" w:rsidRPr="00A4234D">
        <w:rPr>
          <w:rFonts w:ascii="Times New Roman" w:eastAsia="標楷體" w:hAnsi="標楷體"/>
          <w:color w:val="0D0D0D"/>
          <w:sz w:val="28"/>
          <w:szCs w:val="28"/>
        </w:rPr>
        <w:t>http://cpi.transparency.org/cpi2013/in_detail/</w:t>
      </w:r>
      <w:r w:rsidR="00030CB7" w:rsidRPr="00A4234D">
        <w:rPr>
          <w:rFonts w:ascii="Times New Roman" w:eastAsia="標楷體" w:hAnsi="標楷體" w:hint="eastAsia"/>
          <w:color w:val="0D0D0D"/>
          <w:sz w:val="28"/>
          <w:szCs w:val="28"/>
        </w:rPr>
        <w:t>)</w:t>
      </w:r>
      <w:r w:rsidR="00873FF5" w:rsidRPr="00A4234D">
        <w:rPr>
          <w:rFonts w:ascii="Times New Roman" w:eastAsia="標楷體" w:hAnsi="標楷體" w:hint="eastAsia"/>
          <w:color w:val="0D0D0D"/>
          <w:sz w:val="28"/>
          <w:szCs w:val="28"/>
        </w:rPr>
        <w:t>。</w:t>
      </w:r>
    </w:p>
    <w:p w:rsidR="00FC157A" w:rsidRPr="00A4234D" w:rsidRDefault="002A6DAD" w:rsidP="003572E4">
      <w:pPr>
        <w:pStyle w:val="a3"/>
        <w:numPr>
          <w:ilvl w:val="0"/>
          <w:numId w:val="9"/>
        </w:numPr>
        <w:snapToGrid w:val="0"/>
        <w:spacing w:line="500" w:lineRule="exact"/>
        <w:rPr>
          <w:rFonts w:ascii="Times New Roman" w:eastAsia="標楷體" w:hAnsi="標楷體"/>
          <w:color w:val="0D0D0D"/>
          <w:sz w:val="28"/>
          <w:szCs w:val="28"/>
        </w:rPr>
      </w:pPr>
      <w:r w:rsidRPr="00A4234D">
        <w:rPr>
          <w:rFonts w:ascii="Times New Roman" w:eastAsia="標楷體" w:hAnsi="標楷體" w:hint="eastAsia"/>
          <w:color w:val="0D0D0D"/>
          <w:sz w:val="28"/>
          <w:szCs w:val="28"/>
        </w:rPr>
        <w:t>提供資金或支持恐怖主義</w:t>
      </w:r>
      <w:r w:rsidR="003572E4" w:rsidRPr="00A4234D">
        <w:rPr>
          <w:rFonts w:ascii="Times New Roman" w:eastAsia="標楷體" w:hAnsi="標楷體"/>
          <w:color w:val="0D0D0D"/>
          <w:sz w:val="28"/>
          <w:szCs w:val="28"/>
        </w:rPr>
        <w:t>(</w:t>
      </w:r>
      <w:r w:rsidR="003572E4" w:rsidRPr="00A4234D">
        <w:rPr>
          <w:rFonts w:ascii="Times New Roman" w:eastAsia="標楷體" w:hAnsi="標楷體" w:hint="eastAsia"/>
          <w:color w:val="0D0D0D"/>
          <w:sz w:val="28"/>
          <w:szCs w:val="28"/>
        </w:rPr>
        <w:t>如美國國務院發布之</w:t>
      </w:r>
      <w:r w:rsidR="003572E4" w:rsidRPr="00A4234D">
        <w:rPr>
          <w:rFonts w:ascii="Times New Roman" w:eastAsia="標楷體" w:hAnsi="標楷體"/>
          <w:color w:val="0D0D0D"/>
          <w:sz w:val="28"/>
          <w:szCs w:val="28"/>
        </w:rPr>
        <w:t>State Sponsors of Terrorism. http://www.state.gov/j/ct/list/c14151.htm)</w:t>
      </w:r>
      <w:r w:rsidRPr="00A4234D">
        <w:rPr>
          <w:rFonts w:ascii="Times New Roman" w:eastAsia="標楷體" w:hAnsi="標楷體" w:hint="eastAsia"/>
          <w:color w:val="0D0D0D"/>
          <w:sz w:val="28"/>
          <w:szCs w:val="28"/>
        </w:rPr>
        <w:t>或有被列名之恐怖分子團體活動之</w:t>
      </w:r>
      <w:r w:rsidR="00873FF5" w:rsidRPr="00A4234D">
        <w:rPr>
          <w:rFonts w:ascii="Times New Roman" w:eastAsia="標楷體" w:hAnsi="標楷體" w:hint="eastAsia"/>
          <w:color w:val="0D0D0D"/>
          <w:sz w:val="28"/>
          <w:szCs w:val="28"/>
        </w:rPr>
        <w:t>國家或地區</w:t>
      </w:r>
      <w:r w:rsidRPr="00A4234D">
        <w:rPr>
          <w:rFonts w:ascii="Times New Roman" w:eastAsia="標楷體" w:hAnsi="標楷體" w:hint="eastAsia"/>
          <w:color w:val="0D0D0D"/>
          <w:sz w:val="28"/>
          <w:szCs w:val="28"/>
        </w:rPr>
        <w:t>。</w:t>
      </w:r>
    </w:p>
    <w:sectPr w:rsidR="00FC157A" w:rsidRPr="00A4234D" w:rsidSect="00952FB8">
      <w:footerReference w:type="even" r:id="rId8"/>
      <w:footerReference w:type="default" r:id="rId9"/>
      <w:pgSz w:w="11907" w:h="16839" w:code="9"/>
      <w:pgMar w:top="1440" w:right="1588" w:bottom="1440" w:left="1588" w:header="0" w:footer="748" w:gutter="0"/>
      <w:pgNumType w:start="1"/>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43D" w:rsidRDefault="00EE143D">
      <w:r>
        <w:separator/>
      </w:r>
    </w:p>
  </w:endnote>
  <w:endnote w:type="continuationSeparator" w:id="0">
    <w:p w:rsidR="00EE143D" w:rsidRDefault="00EE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04" w:rsidRDefault="008F2847" w:rsidP="00743299">
    <w:pPr>
      <w:pStyle w:val="a5"/>
      <w:framePr w:wrap="around" w:vAnchor="text" w:hAnchor="margin" w:xAlign="center" w:y="1"/>
      <w:rPr>
        <w:rStyle w:val="a7"/>
      </w:rPr>
    </w:pPr>
    <w:r>
      <w:rPr>
        <w:rStyle w:val="a7"/>
      </w:rPr>
      <w:fldChar w:fldCharType="begin"/>
    </w:r>
    <w:r w:rsidR="00527404">
      <w:rPr>
        <w:rStyle w:val="a7"/>
      </w:rPr>
      <w:instrText xml:space="preserve">PAGE  </w:instrText>
    </w:r>
    <w:r>
      <w:rPr>
        <w:rStyle w:val="a7"/>
      </w:rPr>
      <w:fldChar w:fldCharType="end"/>
    </w:r>
  </w:p>
  <w:p w:rsidR="00527404" w:rsidRDefault="005274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9129"/>
      <w:docPartObj>
        <w:docPartGallery w:val="Page Numbers (Bottom of Page)"/>
        <w:docPartUnique/>
      </w:docPartObj>
    </w:sdtPr>
    <w:sdtEndPr/>
    <w:sdtContent>
      <w:p w:rsidR="00952AFE" w:rsidRDefault="000F4503">
        <w:pPr>
          <w:pStyle w:val="a5"/>
          <w:jc w:val="center"/>
        </w:pPr>
        <w:r>
          <w:fldChar w:fldCharType="begin"/>
        </w:r>
        <w:r>
          <w:instrText xml:space="preserve"> PAGE   \* MERGEFORMAT </w:instrText>
        </w:r>
        <w:r>
          <w:fldChar w:fldCharType="separate"/>
        </w:r>
        <w:r w:rsidR="00665E15" w:rsidRPr="00665E15">
          <w:rPr>
            <w:noProof/>
            <w:lang w:val="zh-TW"/>
          </w:rPr>
          <w:t>1</w:t>
        </w:r>
        <w:r>
          <w:rPr>
            <w:noProof/>
            <w:lang w:val="zh-TW"/>
          </w:rPr>
          <w:fldChar w:fldCharType="end"/>
        </w:r>
      </w:p>
    </w:sdtContent>
  </w:sdt>
  <w:p w:rsidR="00527404" w:rsidRDefault="005274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43D" w:rsidRDefault="00EE143D">
      <w:r>
        <w:separator/>
      </w:r>
    </w:p>
  </w:footnote>
  <w:footnote w:type="continuationSeparator" w:id="0">
    <w:p w:rsidR="00EE143D" w:rsidRDefault="00EE1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F44"/>
    <w:multiLevelType w:val="hybridMultilevel"/>
    <w:tmpl w:val="1EF28A62"/>
    <w:lvl w:ilvl="0" w:tplc="E9DAF622">
      <w:start w:val="1"/>
      <w:numFmt w:val="ideographDigital"/>
      <w:lvlText w:val="（%1）"/>
      <w:lvlJc w:val="left"/>
      <w:pPr>
        <w:tabs>
          <w:tab w:val="num" w:pos="2520"/>
        </w:tabs>
        <w:ind w:left="25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EB000D"/>
    <w:multiLevelType w:val="hybridMultilevel"/>
    <w:tmpl w:val="0682F86A"/>
    <w:lvl w:ilvl="0" w:tplc="E9DAF622">
      <w:start w:val="1"/>
      <w:numFmt w:val="ideographDigital"/>
      <w:lvlText w:val="（%1）"/>
      <w:lvlJc w:val="left"/>
      <w:pPr>
        <w:tabs>
          <w:tab w:val="num" w:pos="1046"/>
        </w:tabs>
        <w:ind w:left="1046"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E313E"/>
    <w:multiLevelType w:val="hybridMultilevel"/>
    <w:tmpl w:val="8B34EDDA"/>
    <w:lvl w:ilvl="0" w:tplc="F880E286">
      <w:start w:val="1"/>
      <w:numFmt w:val="decimal"/>
      <w:lvlText w:val="%1、"/>
      <w:lvlJc w:val="left"/>
      <w:pPr>
        <w:ind w:left="480" w:hanging="480"/>
      </w:pPr>
      <w:rPr>
        <w:rFonts w:eastAsia="標楷體" w:hint="eastAsia"/>
        <w:b w:val="0"/>
        <w:i w:val="0"/>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240B0"/>
    <w:multiLevelType w:val="hybridMultilevel"/>
    <w:tmpl w:val="B6E4C6EC"/>
    <w:lvl w:ilvl="0" w:tplc="ECEA637C">
      <w:start w:val="1"/>
      <w:numFmt w:val="decimal"/>
      <w:lvlText w:val="（%1）"/>
      <w:lvlJc w:val="left"/>
      <w:pPr>
        <w:tabs>
          <w:tab w:val="num" w:pos="1727"/>
        </w:tabs>
        <w:ind w:left="1727" w:hanging="480"/>
      </w:pPr>
      <w:rPr>
        <w:rFonts w:hint="eastAsia"/>
        <w:b w:val="0"/>
        <w:i w:val="0"/>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8F3F32"/>
    <w:multiLevelType w:val="hybridMultilevel"/>
    <w:tmpl w:val="42AE7FDA"/>
    <w:lvl w:ilvl="0" w:tplc="E9DAF622">
      <w:start w:val="1"/>
      <w:numFmt w:val="ideographDigital"/>
      <w:lvlText w:val="（%1）"/>
      <w:lvlJc w:val="left"/>
      <w:pPr>
        <w:tabs>
          <w:tab w:val="num" w:pos="1046"/>
        </w:tabs>
        <w:ind w:left="1046" w:hanging="480"/>
      </w:pPr>
      <w:rPr>
        <w:rFonts w:hint="eastAsia"/>
      </w:rPr>
    </w:lvl>
    <w:lvl w:ilvl="1" w:tplc="04090019" w:tentative="1">
      <w:start w:val="1"/>
      <w:numFmt w:val="ideographTraditional"/>
      <w:lvlText w:val="%2、"/>
      <w:lvlJc w:val="left"/>
      <w:pPr>
        <w:tabs>
          <w:tab w:val="num" w:pos="279"/>
        </w:tabs>
        <w:ind w:left="279" w:hanging="480"/>
      </w:pPr>
    </w:lvl>
    <w:lvl w:ilvl="2" w:tplc="0409001B" w:tentative="1">
      <w:start w:val="1"/>
      <w:numFmt w:val="lowerRoman"/>
      <w:lvlText w:val="%3."/>
      <w:lvlJc w:val="right"/>
      <w:pPr>
        <w:tabs>
          <w:tab w:val="num" w:pos="759"/>
        </w:tabs>
        <w:ind w:left="759" w:hanging="480"/>
      </w:pPr>
    </w:lvl>
    <w:lvl w:ilvl="3" w:tplc="0409000F" w:tentative="1">
      <w:start w:val="1"/>
      <w:numFmt w:val="decimal"/>
      <w:lvlText w:val="%4."/>
      <w:lvlJc w:val="left"/>
      <w:pPr>
        <w:tabs>
          <w:tab w:val="num" w:pos="1239"/>
        </w:tabs>
        <w:ind w:left="1239" w:hanging="480"/>
      </w:pPr>
    </w:lvl>
    <w:lvl w:ilvl="4" w:tplc="04090019" w:tentative="1">
      <w:start w:val="1"/>
      <w:numFmt w:val="ideographTraditional"/>
      <w:lvlText w:val="%5、"/>
      <w:lvlJc w:val="left"/>
      <w:pPr>
        <w:tabs>
          <w:tab w:val="num" w:pos="1719"/>
        </w:tabs>
        <w:ind w:left="1719" w:hanging="480"/>
      </w:pPr>
    </w:lvl>
    <w:lvl w:ilvl="5" w:tplc="0409001B" w:tentative="1">
      <w:start w:val="1"/>
      <w:numFmt w:val="lowerRoman"/>
      <w:lvlText w:val="%6."/>
      <w:lvlJc w:val="right"/>
      <w:pPr>
        <w:tabs>
          <w:tab w:val="num" w:pos="2199"/>
        </w:tabs>
        <w:ind w:left="2199" w:hanging="480"/>
      </w:pPr>
    </w:lvl>
    <w:lvl w:ilvl="6" w:tplc="0409000F" w:tentative="1">
      <w:start w:val="1"/>
      <w:numFmt w:val="decimal"/>
      <w:lvlText w:val="%7."/>
      <w:lvlJc w:val="left"/>
      <w:pPr>
        <w:tabs>
          <w:tab w:val="num" w:pos="2679"/>
        </w:tabs>
        <w:ind w:left="2679" w:hanging="480"/>
      </w:pPr>
    </w:lvl>
    <w:lvl w:ilvl="7" w:tplc="04090019" w:tentative="1">
      <w:start w:val="1"/>
      <w:numFmt w:val="ideographTraditional"/>
      <w:lvlText w:val="%8、"/>
      <w:lvlJc w:val="left"/>
      <w:pPr>
        <w:tabs>
          <w:tab w:val="num" w:pos="3159"/>
        </w:tabs>
        <w:ind w:left="3159" w:hanging="480"/>
      </w:pPr>
    </w:lvl>
    <w:lvl w:ilvl="8" w:tplc="0409001B" w:tentative="1">
      <w:start w:val="1"/>
      <w:numFmt w:val="lowerRoman"/>
      <w:lvlText w:val="%9."/>
      <w:lvlJc w:val="right"/>
      <w:pPr>
        <w:tabs>
          <w:tab w:val="num" w:pos="3639"/>
        </w:tabs>
        <w:ind w:left="3639" w:hanging="480"/>
      </w:pPr>
    </w:lvl>
  </w:abstractNum>
  <w:abstractNum w:abstractNumId="5" w15:restartNumberingAfterBreak="0">
    <w:nsid w:val="0EF9215E"/>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0FEA2E2F"/>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7" w15:restartNumberingAfterBreak="0">
    <w:nsid w:val="102A550E"/>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15A80B4B"/>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9" w15:restartNumberingAfterBreak="0">
    <w:nsid w:val="1F4D74CD"/>
    <w:multiLevelType w:val="hybridMultilevel"/>
    <w:tmpl w:val="91CCB518"/>
    <w:lvl w:ilvl="0" w:tplc="9B0A459C">
      <w:start w:val="1"/>
      <w:numFmt w:val="decimal"/>
      <w:lvlText w:val="（%1）"/>
      <w:lvlJc w:val="left"/>
      <w:pPr>
        <w:tabs>
          <w:tab w:val="num" w:pos="1731"/>
        </w:tabs>
        <w:ind w:left="1731" w:hanging="480"/>
      </w:pPr>
      <w:rPr>
        <w:rFonts w:hint="eastAsia"/>
        <w:b w:val="0"/>
        <w:i w:val="0"/>
        <w:color w:val="auto"/>
        <w:sz w:val="28"/>
        <w:szCs w:val="28"/>
        <w:u w:val="none"/>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10" w15:restartNumberingAfterBreak="0">
    <w:nsid w:val="28CF5937"/>
    <w:multiLevelType w:val="hybridMultilevel"/>
    <w:tmpl w:val="91CCB518"/>
    <w:lvl w:ilvl="0" w:tplc="9B0A459C">
      <w:start w:val="1"/>
      <w:numFmt w:val="decimal"/>
      <w:lvlText w:val="（%1）"/>
      <w:lvlJc w:val="left"/>
      <w:pPr>
        <w:tabs>
          <w:tab w:val="num" w:pos="1731"/>
        </w:tabs>
        <w:ind w:left="1731" w:hanging="480"/>
      </w:pPr>
      <w:rPr>
        <w:rFonts w:hint="eastAsia"/>
        <w:b w:val="0"/>
        <w:i w:val="0"/>
        <w:color w:val="auto"/>
        <w:sz w:val="28"/>
        <w:szCs w:val="28"/>
        <w:u w:val="none"/>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11" w15:restartNumberingAfterBreak="0">
    <w:nsid w:val="30002B3C"/>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12" w15:restartNumberingAfterBreak="0">
    <w:nsid w:val="37E32C5B"/>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38F0059C"/>
    <w:multiLevelType w:val="hybridMultilevel"/>
    <w:tmpl w:val="CB062408"/>
    <w:lvl w:ilvl="0" w:tplc="E9DAF622">
      <w:start w:val="1"/>
      <w:numFmt w:val="ideographDigital"/>
      <w:lvlText w:val="（%1）"/>
      <w:lvlJc w:val="left"/>
      <w:pPr>
        <w:tabs>
          <w:tab w:val="num" w:pos="906"/>
        </w:tabs>
        <w:ind w:left="906" w:hanging="480"/>
      </w:pPr>
      <w:rPr>
        <w:rFonts w:hint="eastAsia"/>
      </w:rPr>
    </w:lvl>
    <w:lvl w:ilvl="1" w:tplc="04090019" w:tentative="1">
      <w:start w:val="1"/>
      <w:numFmt w:val="ideographTraditional"/>
      <w:lvlText w:val="%2、"/>
      <w:lvlJc w:val="left"/>
      <w:pPr>
        <w:tabs>
          <w:tab w:val="num" w:pos="279"/>
        </w:tabs>
        <w:ind w:left="279" w:hanging="480"/>
      </w:pPr>
    </w:lvl>
    <w:lvl w:ilvl="2" w:tplc="0409001B" w:tentative="1">
      <w:start w:val="1"/>
      <w:numFmt w:val="lowerRoman"/>
      <w:lvlText w:val="%3."/>
      <w:lvlJc w:val="right"/>
      <w:pPr>
        <w:tabs>
          <w:tab w:val="num" w:pos="759"/>
        </w:tabs>
        <w:ind w:left="759" w:hanging="480"/>
      </w:pPr>
    </w:lvl>
    <w:lvl w:ilvl="3" w:tplc="0409000F" w:tentative="1">
      <w:start w:val="1"/>
      <w:numFmt w:val="decimal"/>
      <w:lvlText w:val="%4."/>
      <w:lvlJc w:val="left"/>
      <w:pPr>
        <w:tabs>
          <w:tab w:val="num" w:pos="1239"/>
        </w:tabs>
        <w:ind w:left="1239" w:hanging="480"/>
      </w:pPr>
    </w:lvl>
    <w:lvl w:ilvl="4" w:tplc="04090019" w:tentative="1">
      <w:start w:val="1"/>
      <w:numFmt w:val="ideographTraditional"/>
      <w:lvlText w:val="%5、"/>
      <w:lvlJc w:val="left"/>
      <w:pPr>
        <w:tabs>
          <w:tab w:val="num" w:pos="1719"/>
        </w:tabs>
        <w:ind w:left="1719" w:hanging="480"/>
      </w:pPr>
    </w:lvl>
    <w:lvl w:ilvl="5" w:tplc="0409001B" w:tentative="1">
      <w:start w:val="1"/>
      <w:numFmt w:val="lowerRoman"/>
      <w:lvlText w:val="%6."/>
      <w:lvlJc w:val="right"/>
      <w:pPr>
        <w:tabs>
          <w:tab w:val="num" w:pos="2199"/>
        </w:tabs>
        <w:ind w:left="2199" w:hanging="480"/>
      </w:pPr>
    </w:lvl>
    <w:lvl w:ilvl="6" w:tplc="0409000F" w:tentative="1">
      <w:start w:val="1"/>
      <w:numFmt w:val="decimal"/>
      <w:lvlText w:val="%7."/>
      <w:lvlJc w:val="left"/>
      <w:pPr>
        <w:tabs>
          <w:tab w:val="num" w:pos="2679"/>
        </w:tabs>
        <w:ind w:left="2679" w:hanging="480"/>
      </w:pPr>
    </w:lvl>
    <w:lvl w:ilvl="7" w:tplc="04090019" w:tentative="1">
      <w:start w:val="1"/>
      <w:numFmt w:val="ideographTraditional"/>
      <w:lvlText w:val="%8、"/>
      <w:lvlJc w:val="left"/>
      <w:pPr>
        <w:tabs>
          <w:tab w:val="num" w:pos="3159"/>
        </w:tabs>
        <w:ind w:left="3159" w:hanging="480"/>
      </w:pPr>
    </w:lvl>
    <w:lvl w:ilvl="8" w:tplc="0409001B" w:tentative="1">
      <w:start w:val="1"/>
      <w:numFmt w:val="lowerRoman"/>
      <w:lvlText w:val="%9."/>
      <w:lvlJc w:val="right"/>
      <w:pPr>
        <w:tabs>
          <w:tab w:val="num" w:pos="3639"/>
        </w:tabs>
        <w:ind w:left="3639" w:hanging="480"/>
      </w:pPr>
    </w:lvl>
  </w:abstractNum>
  <w:abstractNum w:abstractNumId="14" w15:restartNumberingAfterBreak="0">
    <w:nsid w:val="39CB611E"/>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15" w15:restartNumberingAfterBreak="0">
    <w:nsid w:val="3C0A042C"/>
    <w:multiLevelType w:val="hybridMultilevel"/>
    <w:tmpl w:val="9A866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BF00AF"/>
    <w:multiLevelType w:val="hybridMultilevel"/>
    <w:tmpl w:val="2F648312"/>
    <w:lvl w:ilvl="0" w:tplc="DF5452D6">
      <w:start w:val="1"/>
      <w:numFmt w:val="ideographDigital"/>
      <w:lvlText w:val="（%1）"/>
      <w:lvlJc w:val="left"/>
      <w:pPr>
        <w:tabs>
          <w:tab w:val="num" w:pos="640"/>
        </w:tabs>
        <w:ind w:left="640" w:hanging="480"/>
      </w:pPr>
      <w:rPr>
        <w:rFonts w:hint="eastAsia"/>
        <w:u w:val="none"/>
      </w:rPr>
    </w:lvl>
    <w:lvl w:ilvl="1" w:tplc="04090019">
      <w:start w:val="1"/>
      <w:numFmt w:val="ideographTraditional"/>
      <w:lvlText w:val="%2、"/>
      <w:lvlJc w:val="left"/>
      <w:pPr>
        <w:tabs>
          <w:tab w:val="num" w:pos="1120"/>
        </w:tabs>
        <w:ind w:left="1120" w:hanging="480"/>
      </w:pPr>
    </w:lvl>
    <w:lvl w:ilvl="2" w:tplc="0409001B">
      <w:start w:val="1"/>
      <w:numFmt w:val="lowerRoman"/>
      <w:lvlText w:val="%3."/>
      <w:lvlJc w:val="right"/>
      <w:pPr>
        <w:tabs>
          <w:tab w:val="num" w:pos="1600"/>
        </w:tabs>
        <w:ind w:left="1600" w:hanging="480"/>
      </w:pPr>
    </w:lvl>
    <w:lvl w:ilvl="3" w:tplc="0409000F">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17" w15:restartNumberingAfterBreak="0">
    <w:nsid w:val="46EF13FF"/>
    <w:multiLevelType w:val="hybridMultilevel"/>
    <w:tmpl w:val="9788BDD0"/>
    <w:lvl w:ilvl="0" w:tplc="04B276B4">
      <w:start w:val="1"/>
      <w:numFmt w:val="decimal"/>
      <w:lvlText w:val="%1、"/>
      <w:lvlJc w:val="left"/>
      <w:pPr>
        <w:tabs>
          <w:tab w:val="num" w:pos="1474"/>
        </w:tabs>
        <w:ind w:left="1474"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4A560308"/>
    <w:multiLevelType w:val="hybridMultilevel"/>
    <w:tmpl w:val="FD368D10"/>
    <w:lvl w:ilvl="0" w:tplc="04B276B4">
      <w:start w:val="1"/>
      <w:numFmt w:val="decimal"/>
      <w:lvlText w:val="%1、"/>
      <w:lvlJc w:val="left"/>
      <w:pPr>
        <w:tabs>
          <w:tab w:val="num" w:pos="1474"/>
        </w:tabs>
        <w:ind w:left="1474"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4B0C6331"/>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4F6519B0"/>
    <w:multiLevelType w:val="hybridMultilevel"/>
    <w:tmpl w:val="779C2646"/>
    <w:lvl w:ilvl="0" w:tplc="9B0A459C">
      <w:start w:val="1"/>
      <w:numFmt w:val="decimal"/>
      <w:lvlText w:val="（%1）"/>
      <w:lvlJc w:val="left"/>
      <w:pPr>
        <w:tabs>
          <w:tab w:val="num" w:pos="1727"/>
        </w:tabs>
        <w:ind w:left="1727" w:hanging="480"/>
      </w:pPr>
      <w:rPr>
        <w:rFonts w:hint="eastAsia"/>
        <w:b w:val="0"/>
        <w:i w:val="0"/>
        <w:color w:val="auto"/>
        <w:sz w:val="28"/>
        <w:szCs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1BE2D49"/>
    <w:multiLevelType w:val="hybridMultilevel"/>
    <w:tmpl w:val="B896DBFA"/>
    <w:lvl w:ilvl="0" w:tplc="89701F8C">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59EA38B8"/>
    <w:multiLevelType w:val="hybridMultilevel"/>
    <w:tmpl w:val="59BCE726"/>
    <w:lvl w:ilvl="0" w:tplc="1C7AE7BE">
      <w:start w:val="1"/>
      <w:numFmt w:val="taiwaneseCountingThousand"/>
      <w:lvlText w:val="（%1）"/>
      <w:lvlJc w:val="left"/>
      <w:pPr>
        <w:ind w:left="2062" w:hanging="864"/>
      </w:pPr>
      <w:rPr>
        <w:rFonts w:hint="default"/>
        <w:lang w:val="en-US"/>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23" w15:restartNumberingAfterBreak="0">
    <w:nsid w:val="5AB520EB"/>
    <w:multiLevelType w:val="hybridMultilevel"/>
    <w:tmpl w:val="1EF28A62"/>
    <w:lvl w:ilvl="0" w:tplc="E9DAF622">
      <w:start w:val="1"/>
      <w:numFmt w:val="ideographDigital"/>
      <w:lvlText w:val="（%1）"/>
      <w:lvlJc w:val="left"/>
      <w:pPr>
        <w:tabs>
          <w:tab w:val="num" w:pos="2520"/>
        </w:tabs>
        <w:ind w:left="25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B068E9"/>
    <w:multiLevelType w:val="hybridMultilevel"/>
    <w:tmpl w:val="FFB67DD0"/>
    <w:lvl w:ilvl="0" w:tplc="E9DAF622">
      <w:start w:val="1"/>
      <w:numFmt w:val="ideographDigital"/>
      <w:lvlText w:val="（%1）"/>
      <w:lvlJc w:val="left"/>
      <w:pPr>
        <w:tabs>
          <w:tab w:val="num" w:pos="1727"/>
        </w:tabs>
        <w:ind w:left="172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61164B3"/>
    <w:multiLevelType w:val="hybridMultilevel"/>
    <w:tmpl w:val="0854C74A"/>
    <w:lvl w:ilvl="0" w:tplc="0F34819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6A2F5763"/>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6BA15C9C"/>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28" w15:restartNumberingAfterBreak="0">
    <w:nsid w:val="6C594E76"/>
    <w:multiLevelType w:val="hybridMultilevel"/>
    <w:tmpl w:val="7038A504"/>
    <w:lvl w:ilvl="0" w:tplc="0668171C">
      <w:start w:val="1"/>
      <w:numFmt w:val="taiwaneseCountingThousand"/>
      <w:lvlText w:val="%1、"/>
      <w:lvlJc w:val="left"/>
      <w:pPr>
        <w:ind w:left="1286" w:hanging="720"/>
      </w:pPr>
      <w:rPr>
        <w:rFonts w:ascii="Times New Roman" w:hint="default"/>
        <w:u w:val="single"/>
      </w:rPr>
    </w:lvl>
    <w:lvl w:ilvl="1" w:tplc="28FE0BBA">
      <w:start w:val="1"/>
      <w:numFmt w:val="decimal"/>
      <w:lvlText w:val="%2、"/>
      <w:lvlJc w:val="left"/>
      <w:pPr>
        <w:tabs>
          <w:tab w:val="num" w:pos="1474"/>
        </w:tabs>
        <w:ind w:left="1474" w:hanging="623"/>
      </w:pPr>
      <w:rPr>
        <w:rFonts w:ascii="Times New Roman" w:eastAsia="新細明體" w:hAnsi="Times New Roman" w:cs="Times New Roman" w:hint="eastAsia"/>
        <w:sz w:val="28"/>
        <w:szCs w:val="28"/>
        <w:u w:val="none"/>
      </w:rPr>
    </w:lvl>
    <w:lvl w:ilvl="2" w:tplc="D570CC64">
      <w:start w:val="1"/>
      <w:numFmt w:val="decimal"/>
      <w:lvlText w:val="%3、"/>
      <w:lvlJc w:val="left"/>
      <w:pPr>
        <w:ind w:left="2006" w:hanging="480"/>
      </w:pPr>
      <w:rPr>
        <w:rFonts w:eastAsia="標楷體" w:hint="eastAsia"/>
        <w:b w:val="0"/>
        <w:i w:val="0"/>
        <w:color w:val="auto"/>
        <w:sz w:val="28"/>
        <w:szCs w:val="28"/>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6CE25BB7"/>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30" w15:restartNumberingAfterBreak="0">
    <w:nsid w:val="72E45BFC"/>
    <w:multiLevelType w:val="hybridMultilevel"/>
    <w:tmpl w:val="851AB286"/>
    <w:lvl w:ilvl="0" w:tplc="5ACE0670">
      <w:start w:val="1"/>
      <w:numFmt w:val="taiwaneseCountingThousand"/>
      <w:lvlText w:val="（%1）"/>
      <w:lvlJc w:val="left"/>
      <w:pPr>
        <w:ind w:left="1080" w:hanging="480"/>
      </w:pPr>
      <w:rPr>
        <w:rFonts w:hint="eastAsia"/>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744B27D0"/>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75C55D3D"/>
    <w:multiLevelType w:val="hybridMultilevel"/>
    <w:tmpl w:val="851AB286"/>
    <w:lvl w:ilvl="0" w:tplc="5ACE0670">
      <w:start w:val="1"/>
      <w:numFmt w:val="taiwaneseCountingThousand"/>
      <w:lvlText w:val="（%1）"/>
      <w:lvlJc w:val="left"/>
      <w:pPr>
        <w:ind w:left="1080" w:hanging="480"/>
      </w:pPr>
      <w:rPr>
        <w:rFonts w:hint="eastAsia"/>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3" w15:restartNumberingAfterBreak="0">
    <w:nsid w:val="7C080E48"/>
    <w:multiLevelType w:val="hybridMultilevel"/>
    <w:tmpl w:val="65108B54"/>
    <w:lvl w:ilvl="0" w:tplc="04B276B4">
      <w:start w:val="1"/>
      <w:numFmt w:val="decimal"/>
      <w:lvlText w:val="%1、"/>
      <w:lvlJc w:val="left"/>
      <w:pPr>
        <w:tabs>
          <w:tab w:val="num" w:pos="1474"/>
        </w:tabs>
        <w:ind w:left="1474"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7C726DF4"/>
    <w:multiLevelType w:val="hybridMultilevel"/>
    <w:tmpl w:val="B896DBFA"/>
    <w:lvl w:ilvl="0" w:tplc="89701F8C">
      <w:start w:val="1"/>
      <w:numFmt w:val="taiwaneseCountingThousand"/>
      <w:lvlText w:val="（%1）"/>
      <w:lvlJc w:val="left"/>
      <w:pPr>
        <w:ind w:left="3458" w:hanging="480"/>
      </w:pPr>
      <w:rPr>
        <w:rFonts w:hint="eastAsia"/>
        <w:u w:val="none"/>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35" w15:restartNumberingAfterBreak="0">
    <w:nsid w:val="7F2B7B1F"/>
    <w:multiLevelType w:val="hybridMultilevel"/>
    <w:tmpl w:val="B896DBFA"/>
    <w:lvl w:ilvl="0" w:tplc="89701F8C">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28"/>
  </w:num>
  <w:num w:numId="2">
    <w:abstractNumId w:val="1"/>
  </w:num>
  <w:num w:numId="3">
    <w:abstractNumId w:val="16"/>
  </w:num>
  <w:num w:numId="4">
    <w:abstractNumId w:val="27"/>
  </w:num>
  <w:num w:numId="5">
    <w:abstractNumId w:val="20"/>
  </w:num>
  <w:num w:numId="6">
    <w:abstractNumId w:val="18"/>
  </w:num>
  <w:num w:numId="7">
    <w:abstractNumId w:val="9"/>
  </w:num>
  <w:num w:numId="8">
    <w:abstractNumId w:val="33"/>
  </w:num>
  <w:num w:numId="9">
    <w:abstractNumId w:val="2"/>
  </w:num>
  <w:num w:numId="10">
    <w:abstractNumId w:val="24"/>
  </w:num>
  <w:num w:numId="11">
    <w:abstractNumId w:val="23"/>
  </w:num>
  <w:num w:numId="12">
    <w:abstractNumId w:val="4"/>
  </w:num>
  <w:num w:numId="13">
    <w:abstractNumId w:val="13"/>
  </w:num>
  <w:num w:numId="14">
    <w:abstractNumId w:val="0"/>
  </w:num>
  <w:num w:numId="15">
    <w:abstractNumId w:val="17"/>
  </w:num>
  <w:num w:numId="16">
    <w:abstractNumId w:val="32"/>
  </w:num>
  <w:num w:numId="17">
    <w:abstractNumId w:val="21"/>
  </w:num>
  <w:num w:numId="18">
    <w:abstractNumId w:val="3"/>
  </w:num>
  <w:num w:numId="19">
    <w:abstractNumId w:val="25"/>
  </w:num>
  <w:num w:numId="20">
    <w:abstractNumId w:val="31"/>
  </w:num>
  <w:num w:numId="21">
    <w:abstractNumId w:val="26"/>
  </w:num>
  <w:num w:numId="22">
    <w:abstractNumId w:val="19"/>
  </w:num>
  <w:num w:numId="23">
    <w:abstractNumId w:val="5"/>
  </w:num>
  <w:num w:numId="24">
    <w:abstractNumId w:val="7"/>
  </w:num>
  <w:num w:numId="25">
    <w:abstractNumId w:val="12"/>
  </w:num>
  <w:num w:numId="26">
    <w:abstractNumId w:val="14"/>
  </w:num>
  <w:num w:numId="27">
    <w:abstractNumId w:val="8"/>
  </w:num>
  <w:num w:numId="28">
    <w:abstractNumId w:val="6"/>
  </w:num>
  <w:num w:numId="29">
    <w:abstractNumId w:val="29"/>
  </w:num>
  <w:num w:numId="30">
    <w:abstractNumId w:val="10"/>
  </w:num>
  <w:num w:numId="31">
    <w:abstractNumId w:val="11"/>
  </w:num>
  <w:num w:numId="32">
    <w:abstractNumId w:val="34"/>
  </w:num>
  <w:num w:numId="33">
    <w:abstractNumId w:val="30"/>
  </w:num>
  <w:num w:numId="34">
    <w:abstractNumId w:val="35"/>
  </w:num>
  <w:num w:numId="35">
    <w:abstractNumId w:val="22"/>
  </w:num>
  <w:num w:numId="3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361"/>
  <w:displayHorizontalDrawingGridEvery w:val="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0A5"/>
    <w:rsid w:val="00004488"/>
    <w:rsid w:val="00011349"/>
    <w:rsid w:val="000114D1"/>
    <w:rsid w:val="00014D26"/>
    <w:rsid w:val="00015A5C"/>
    <w:rsid w:val="00017563"/>
    <w:rsid w:val="00020FFA"/>
    <w:rsid w:val="00025615"/>
    <w:rsid w:val="00030CB7"/>
    <w:rsid w:val="00030F2A"/>
    <w:rsid w:val="0003196A"/>
    <w:rsid w:val="00032FDF"/>
    <w:rsid w:val="00033359"/>
    <w:rsid w:val="00034A80"/>
    <w:rsid w:val="000364EE"/>
    <w:rsid w:val="0003710C"/>
    <w:rsid w:val="00040CAB"/>
    <w:rsid w:val="00040ED3"/>
    <w:rsid w:val="00041ED6"/>
    <w:rsid w:val="00042BF6"/>
    <w:rsid w:val="00043060"/>
    <w:rsid w:val="000462EB"/>
    <w:rsid w:val="0004680E"/>
    <w:rsid w:val="0004796F"/>
    <w:rsid w:val="00050AFD"/>
    <w:rsid w:val="000537A9"/>
    <w:rsid w:val="00057E0B"/>
    <w:rsid w:val="00060637"/>
    <w:rsid w:val="00063AD5"/>
    <w:rsid w:val="0006643E"/>
    <w:rsid w:val="00070DA5"/>
    <w:rsid w:val="00071152"/>
    <w:rsid w:val="000713D9"/>
    <w:rsid w:val="00071998"/>
    <w:rsid w:val="00071D7A"/>
    <w:rsid w:val="00074B07"/>
    <w:rsid w:val="00074E79"/>
    <w:rsid w:val="000764C0"/>
    <w:rsid w:val="00077A0B"/>
    <w:rsid w:val="00081AFF"/>
    <w:rsid w:val="000820E8"/>
    <w:rsid w:val="00082FFA"/>
    <w:rsid w:val="00084CFC"/>
    <w:rsid w:val="00086E30"/>
    <w:rsid w:val="000905A5"/>
    <w:rsid w:val="000955DF"/>
    <w:rsid w:val="00096C69"/>
    <w:rsid w:val="00096E38"/>
    <w:rsid w:val="000A1515"/>
    <w:rsid w:val="000A2B1E"/>
    <w:rsid w:val="000A3440"/>
    <w:rsid w:val="000A35A6"/>
    <w:rsid w:val="000A3E23"/>
    <w:rsid w:val="000A4329"/>
    <w:rsid w:val="000A4332"/>
    <w:rsid w:val="000A55BC"/>
    <w:rsid w:val="000A6647"/>
    <w:rsid w:val="000B14CA"/>
    <w:rsid w:val="000B330B"/>
    <w:rsid w:val="000B63CD"/>
    <w:rsid w:val="000B7E11"/>
    <w:rsid w:val="000C1A47"/>
    <w:rsid w:val="000C2E11"/>
    <w:rsid w:val="000C2F6F"/>
    <w:rsid w:val="000C3E21"/>
    <w:rsid w:val="000C5A07"/>
    <w:rsid w:val="000D023E"/>
    <w:rsid w:val="000D3DD2"/>
    <w:rsid w:val="000D52D6"/>
    <w:rsid w:val="000D745C"/>
    <w:rsid w:val="000E10B0"/>
    <w:rsid w:val="000E3004"/>
    <w:rsid w:val="000E53A7"/>
    <w:rsid w:val="000F3E01"/>
    <w:rsid w:val="000F4353"/>
    <w:rsid w:val="000F4503"/>
    <w:rsid w:val="000F593A"/>
    <w:rsid w:val="000F607E"/>
    <w:rsid w:val="000F6A7F"/>
    <w:rsid w:val="001045E3"/>
    <w:rsid w:val="00105A78"/>
    <w:rsid w:val="00110699"/>
    <w:rsid w:val="001122C1"/>
    <w:rsid w:val="00112591"/>
    <w:rsid w:val="0011310E"/>
    <w:rsid w:val="00114BF5"/>
    <w:rsid w:val="0012045D"/>
    <w:rsid w:val="00122116"/>
    <w:rsid w:val="00122831"/>
    <w:rsid w:val="00127AD8"/>
    <w:rsid w:val="001329EC"/>
    <w:rsid w:val="00133316"/>
    <w:rsid w:val="00136F76"/>
    <w:rsid w:val="00137765"/>
    <w:rsid w:val="001410B1"/>
    <w:rsid w:val="001412D1"/>
    <w:rsid w:val="00143CBC"/>
    <w:rsid w:val="00144D43"/>
    <w:rsid w:val="00145342"/>
    <w:rsid w:val="00145C2C"/>
    <w:rsid w:val="00146BC5"/>
    <w:rsid w:val="0014763F"/>
    <w:rsid w:val="00147C43"/>
    <w:rsid w:val="001516F8"/>
    <w:rsid w:val="00157231"/>
    <w:rsid w:val="0015766E"/>
    <w:rsid w:val="001616C4"/>
    <w:rsid w:val="0016192B"/>
    <w:rsid w:val="00161B50"/>
    <w:rsid w:val="0016203B"/>
    <w:rsid w:val="0016224E"/>
    <w:rsid w:val="0016405C"/>
    <w:rsid w:val="001649A9"/>
    <w:rsid w:val="00165BA9"/>
    <w:rsid w:val="00165C74"/>
    <w:rsid w:val="001665A9"/>
    <w:rsid w:val="001677BE"/>
    <w:rsid w:val="00171653"/>
    <w:rsid w:val="00175686"/>
    <w:rsid w:val="00175C4C"/>
    <w:rsid w:val="001760AC"/>
    <w:rsid w:val="00181DBF"/>
    <w:rsid w:val="00182323"/>
    <w:rsid w:val="0018398A"/>
    <w:rsid w:val="001851E8"/>
    <w:rsid w:val="00187549"/>
    <w:rsid w:val="0018763E"/>
    <w:rsid w:val="00191DAF"/>
    <w:rsid w:val="00191E63"/>
    <w:rsid w:val="0019520B"/>
    <w:rsid w:val="00195B73"/>
    <w:rsid w:val="001A1284"/>
    <w:rsid w:val="001A1B0F"/>
    <w:rsid w:val="001A20B2"/>
    <w:rsid w:val="001A4825"/>
    <w:rsid w:val="001A5087"/>
    <w:rsid w:val="001A5A32"/>
    <w:rsid w:val="001A627F"/>
    <w:rsid w:val="001B02BD"/>
    <w:rsid w:val="001B25C7"/>
    <w:rsid w:val="001B575C"/>
    <w:rsid w:val="001B60B5"/>
    <w:rsid w:val="001C14B0"/>
    <w:rsid w:val="001C1926"/>
    <w:rsid w:val="001C5236"/>
    <w:rsid w:val="001C6495"/>
    <w:rsid w:val="001C64B2"/>
    <w:rsid w:val="001C759B"/>
    <w:rsid w:val="001D09EF"/>
    <w:rsid w:val="001D1AF3"/>
    <w:rsid w:val="001D2EE9"/>
    <w:rsid w:val="001D5500"/>
    <w:rsid w:val="001D5556"/>
    <w:rsid w:val="001D7680"/>
    <w:rsid w:val="001E0E65"/>
    <w:rsid w:val="001E0EA8"/>
    <w:rsid w:val="001E2781"/>
    <w:rsid w:val="001E3A42"/>
    <w:rsid w:val="001E6913"/>
    <w:rsid w:val="001F065D"/>
    <w:rsid w:val="001F1FCA"/>
    <w:rsid w:val="001F487A"/>
    <w:rsid w:val="001F4D03"/>
    <w:rsid w:val="001F6747"/>
    <w:rsid w:val="0020097A"/>
    <w:rsid w:val="00201A17"/>
    <w:rsid w:val="00211304"/>
    <w:rsid w:val="00212177"/>
    <w:rsid w:val="002147EC"/>
    <w:rsid w:val="00216057"/>
    <w:rsid w:val="00216A26"/>
    <w:rsid w:val="00216B59"/>
    <w:rsid w:val="00222619"/>
    <w:rsid w:val="00225B0B"/>
    <w:rsid w:val="0022606F"/>
    <w:rsid w:val="00226566"/>
    <w:rsid w:val="0022683B"/>
    <w:rsid w:val="00227430"/>
    <w:rsid w:val="00231D02"/>
    <w:rsid w:val="0023238E"/>
    <w:rsid w:val="00237342"/>
    <w:rsid w:val="00242C03"/>
    <w:rsid w:val="002528DA"/>
    <w:rsid w:val="00252FB8"/>
    <w:rsid w:val="00253479"/>
    <w:rsid w:val="00253FFE"/>
    <w:rsid w:val="00255CA4"/>
    <w:rsid w:val="00257B05"/>
    <w:rsid w:val="00260B46"/>
    <w:rsid w:val="00261C0A"/>
    <w:rsid w:val="002636A2"/>
    <w:rsid w:val="00265C3E"/>
    <w:rsid w:val="00266225"/>
    <w:rsid w:val="002679B2"/>
    <w:rsid w:val="00271329"/>
    <w:rsid w:val="00272332"/>
    <w:rsid w:val="0027566E"/>
    <w:rsid w:val="002815BC"/>
    <w:rsid w:val="00281790"/>
    <w:rsid w:val="00281966"/>
    <w:rsid w:val="00284E8D"/>
    <w:rsid w:val="002855D6"/>
    <w:rsid w:val="00287F58"/>
    <w:rsid w:val="002919D6"/>
    <w:rsid w:val="00292858"/>
    <w:rsid w:val="002951BE"/>
    <w:rsid w:val="00296757"/>
    <w:rsid w:val="0029678F"/>
    <w:rsid w:val="00296F9B"/>
    <w:rsid w:val="002970F2"/>
    <w:rsid w:val="002A03D9"/>
    <w:rsid w:val="002A3B25"/>
    <w:rsid w:val="002A4501"/>
    <w:rsid w:val="002A5167"/>
    <w:rsid w:val="002A5624"/>
    <w:rsid w:val="002A5E62"/>
    <w:rsid w:val="002A6114"/>
    <w:rsid w:val="002A6DAD"/>
    <w:rsid w:val="002A7814"/>
    <w:rsid w:val="002B138F"/>
    <w:rsid w:val="002B24CF"/>
    <w:rsid w:val="002B3D30"/>
    <w:rsid w:val="002B42FA"/>
    <w:rsid w:val="002B573C"/>
    <w:rsid w:val="002B5A25"/>
    <w:rsid w:val="002C101D"/>
    <w:rsid w:val="002C18AA"/>
    <w:rsid w:val="002C6360"/>
    <w:rsid w:val="002C63F5"/>
    <w:rsid w:val="002C7210"/>
    <w:rsid w:val="002D1CB5"/>
    <w:rsid w:val="002D1E59"/>
    <w:rsid w:val="002D22B8"/>
    <w:rsid w:val="002D480D"/>
    <w:rsid w:val="002D4E39"/>
    <w:rsid w:val="002D565C"/>
    <w:rsid w:val="002D7557"/>
    <w:rsid w:val="002E3E41"/>
    <w:rsid w:val="002E423B"/>
    <w:rsid w:val="002E435F"/>
    <w:rsid w:val="002E5AB2"/>
    <w:rsid w:val="002E6F0E"/>
    <w:rsid w:val="002F05A3"/>
    <w:rsid w:val="002F0A9F"/>
    <w:rsid w:val="002F42EE"/>
    <w:rsid w:val="00300D90"/>
    <w:rsid w:val="00301E86"/>
    <w:rsid w:val="003024F9"/>
    <w:rsid w:val="003028AB"/>
    <w:rsid w:val="00303A4E"/>
    <w:rsid w:val="00305EC6"/>
    <w:rsid w:val="0030762D"/>
    <w:rsid w:val="003126A3"/>
    <w:rsid w:val="00312ED3"/>
    <w:rsid w:val="003152E9"/>
    <w:rsid w:val="00315712"/>
    <w:rsid w:val="003167AD"/>
    <w:rsid w:val="0031739A"/>
    <w:rsid w:val="00317A9A"/>
    <w:rsid w:val="00322F63"/>
    <w:rsid w:val="0032305A"/>
    <w:rsid w:val="00324352"/>
    <w:rsid w:val="0032572E"/>
    <w:rsid w:val="00325C0F"/>
    <w:rsid w:val="003270DB"/>
    <w:rsid w:val="00331229"/>
    <w:rsid w:val="00334246"/>
    <w:rsid w:val="00334263"/>
    <w:rsid w:val="0033449E"/>
    <w:rsid w:val="003349E9"/>
    <w:rsid w:val="003349F9"/>
    <w:rsid w:val="00334DF6"/>
    <w:rsid w:val="00337CCB"/>
    <w:rsid w:val="003430D6"/>
    <w:rsid w:val="00343444"/>
    <w:rsid w:val="003436D4"/>
    <w:rsid w:val="00346AE9"/>
    <w:rsid w:val="0035273C"/>
    <w:rsid w:val="00352CDE"/>
    <w:rsid w:val="0035386F"/>
    <w:rsid w:val="003572BF"/>
    <w:rsid w:val="003572E4"/>
    <w:rsid w:val="003609EE"/>
    <w:rsid w:val="0036278C"/>
    <w:rsid w:val="00362E1B"/>
    <w:rsid w:val="00363A56"/>
    <w:rsid w:val="0036638E"/>
    <w:rsid w:val="0036717A"/>
    <w:rsid w:val="003673B3"/>
    <w:rsid w:val="00373800"/>
    <w:rsid w:val="00374C75"/>
    <w:rsid w:val="00377430"/>
    <w:rsid w:val="00383B7E"/>
    <w:rsid w:val="003870E9"/>
    <w:rsid w:val="0039432D"/>
    <w:rsid w:val="003970C7"/>
    <w:rsid w:val="003978D6"/>
    <w:rsid w:val="003A2983"/>
    <w:rsid w:val="003B6029"/>
    <w:rsid w:val="003B73DF"/>
    <w:rsid w:val="003B75F5"/>
    <w:rsid w:val="003C022F"/>
    <w:rsid w:val="003C21C7"/>
    <w:rsid w:val="003C3376"/>
    <w:rsid w:val="003C3D83"/>
    <w:rsid w:val="003C4159"/>
    <w:rsid w:val="003C667C"/>
    <w:rsid w:val="003C69B9"/>
    <w:rsid w:val="003C7461"/>
    <w:rsid w:val="003D0CAC"/>
    <w:rsid w:val="003D364F"/>
    <w:rsid w:val="003D5420"/>
    <w:rsid w:val="003D57EE"/>
    <w:rsid w:val="003D736C"/>
    <w:rsid w:val="003D7EB8"/>
    <w:rsid w:val="003E1D19"/>
    <w:rsid w:val="003E239E"/>
    <w:rsid w:val="003E2DC4"/>
    <w:rsid w:val="003E46BF"/>
    <w:rsid w:val="003F080D"/>
    <w:rsid w:val="003F277C"/>
    <w:rsid w:val="003F6318"/>
    <w:rsid w:val="0040049D"/>
    <w:rsid w:val="004015BE"/>
    <w:rsid w:val="004024A5"/>
    <w:rsid w:val="0040354C"/>
    <w:rsid w:val="004036CB"/>
    <w:rsid w:val="004049A5"/>
    <w:rsid w:val="0040602C"/>
    <w:rsid w:val="004106BA"/>
    <w:rsid w:val="00410C2D"/>
    <w:rsid w:val="00414107"/>
    <w:rsid w:val="00414166"/>
    <w:rsid w:val="00414641"/>
    <w:rsid w:val="00416E55"/>
    <w:rsid w:val="004213FA"/>
    <w:rsid w:val="0042232E"/>
    <w:rsid w:val="00423794"/>
    <w:rsid w:val="00424B4B"/>
    <w:rsid w:val="004279A4"/>
    <w:rsid w:val="00430FB9"/>
    <w:rsid w:val="00432758"/>
    <w:rsid w:val="004342BD"/>
    <w:rsid w:val="00434857"/>
    <w:rsid w:val="00434D17"/>
    <w:rsid w:val="004368EE"/>
    <w:rsid w:val="0044175F"/>
    <w:rsid w:val="0044185A"/>
    <w:rsid w:val="00452133"/>
    <w:rsid w:val="00462567"/>
    <w:rsid w:val="004641F6"/>
    <w:rsid w:val="00466D7C"/>
    <w:rsid w:val="00466EF3"/>
    <w:rsid w:val="004673EE"/>
    <w:rsid w:val="00471933"/>
    <w:rsid w:val="00473C4B"/>
    <w:rsid w:val="00474549"/>
    <w:rsid w:val="00480174"/>
    <w:rsid w:val="00484BD7"/>
    <w:rsid w:val="004866B3"/>
    <w:rsid w:val="004869C4"/>
    <w:rsid w:val="00487E96"/>
    <w:rsid w:val="004911E1"/>
    <w:rsid w:val="00496348"/>
    <w:rsid w:val="00497E8A"/>
    <w:rsid w:val="004A0A7C"/>
    <w:rsid w:val="004A16EE"/>
    <w:rsid w:val="004A3BA5"/>
    <w:rsid w:val="004B183F"/>
    <w:rsid w:val="004B2575"/>
    <w:rsid w:val="004B35BE"/>
    <w:rsid w:val="004B779D"/>
    <w:rsid w:val="004C006F"/>
    <w:rsid w:val="004C2CCF"/>
    <w:rsid w:val="004C4029"/>
    <w:rsid w:val="004C56B9"/>
    <w:rsid w:val="004C7246"/>
    <w:rsid w:val="004D228A"/>
    <w:rsid w:val="004E08F1"/>
    <w:rsid w:val="004E3670"/>
    <w:rsid w:val="004E36C0"/>
    <w:rsid w:val="004E3FA4"/>
    <w:rsid w:val="004E4753"/>
    <w:rsid w:val="004E4C36"/>
    <w:rsid w:val="004E64CA"/>
    <w:rsid w:val="004E7B82"/>
    <w:rsid w:val="004F0588"/>
    <w:rsid w:val="004F074A"/>
    <w:rsid w:val="004F0779"/>
    <w:rsid w:val="004F3D5C"/>
    <w:rsid w:val="004F5472"/>
    <w:rsid w:val="004F6113"/>
    <w:rsid w:val="005011F4"/>
    <w:rsid w:val="0050510C"/>
    <w:rsid w:val="00511302"/>
    <w:rsid w:val="00511A57"/>
    <w:rsid w:val="00512534"/>
    <w:rsid w:val="00515DDD"/>
    <w:rsid w:val="00516ED3"/>
    <w:rsid w:val="005209B9"/>
    <w:rsid w:val="00523BAB"/>
    <w:rsid w:val="00523D5B"/>
    <w:rsid w:val="00523F8E"/>
    <w:rsid w:val="00524DFB"/>
    <w:rsid w:val="00527404"/>
    <w:rsid w:val="00531F96"/>
    <w:rsid w:val="00531FE7"/>
    <w:rsid w:val="00532809"/>
    <w:rsid w:val="005339CA"/>
    <w:rsid w:val="00533D91"/>
    <w:rsid w:val="00536B3E"/>
    <w:rsid w:val="005370AF"/>
    <w:rsid w:val="00540CB6"/>
    <w:rsid w:val="00541A71"/>
    <w:rsid w:val="00541FCE"/>
    <w:rsid w:val="00542CC2"/>
    <w:rsid w:val="00546997"/>
    <w:rsid w:val="0054759C"/>
    <w:rsid w:val="005501A6"/>
    <w:rsid w:val="0055072C"/>
    <w:rsid w:val="005511CE"/>
    <w:rsid w:val="00553A50"/>
    <w:rsid w:val="00555916"/>
    <w:rsid w:val="00561B32"/>
    <w:rsid w:val="0056295D"/>
    <w:rsid w:val="00567537"/>
    <w:rsid w:val="00570536"/>
    <w:rsid w:val="00575ED1"/>
    <w:rsid w:val="00576307"/>
    <w:rsid w:val="00576CE3"/>
    <w:rsid w:val="00581FB2"/>
    <w:rsid w:val="00582D91"/>
    <w:rsid w:val="00584F73"/>
    <w:rsid w:val="00585B97"/>
    <w:rsid w:val="00585F4B"/>
    <w:rsid w:val="00587352"/>
    <w:rsid w:val="0059017A"/>
    <w:rsid w:val="00595D4C"/>
    <w:rsid w:val="00597472"/>
    <w:rsid w:val="00597F35"/>
    <w:rsid w:val="005A10C1"/>
    <w:rsid w:val="005A2188"/>
    <w:rsid w:val="005A26E5"/>
    <w:rsid w:val="005A391A"/>
    <w:rsid w:val="005A3D0D"/>
    <w:rsid w:val="005A42FF"/>
    <w:rsid w:val="005A4768"/>
    <w:rsid w:val="005A5454"/>
    <w:rsid w:val="005A5E7D"/>
    <w:rsid w:val="005A6255"/>
    <w:rsid w:val="005A69A6"/>
    <w:rsid w:val="005A7397"/>
    <w:rsid w:val="005B2C3E"/>
    <w:rsid w:val="005B7AB8"/>
    <w:rsid w:val="005C00AF"/>
    <w:rsid w:val="005C2943"/>
    <w:rsid w:val="005C330F"/>
    <w:rsid w:val="005C4172"/>
    <w:rsid w:val="005C699D"/>
    <w:rsid w:val="005C754B"/>
    <w:rsid w:val="005C7807"/>
    <w:rsid w:val="005C7D24"/>
    <w:rsid w:val="005D389D"/>
    <w:rsid w:val="005D49AA"/>
    <w:rsid w:val="005D5AEC"/>
    <w:rsid w:val="005D60D5"/>
    <w:rsid w:val="005E05CB"/>
    <w:rsid w:val="005E1312"/>
    <w:rsid w:val="005E5680"/>
    <w:rsid w:val="005E6270"/>
    <w:rsid w:val="005F2F87"/>
    <w:rsid w:val="005F573F"/>
    <w:rsid w:val="005F59A4"/>
    <w:rsid w:val="0060126C"/>
    <w:rsid w:val="00607C31"/>
    <w:rsid w:val="00621752"/>
    <w:rsid w:val="00621870"/>
    <w:rsid w:val="00621CD9"/>
    <w:rsid w:val="00622A91"/>
    <w:rsid w:val="00623D6D"/>
    <w:rsid w:val="00626145"/>
    <w:rsid w:val="00630E88"/>
    <w:rsid w:val="00631036"/>
    <w:rsid w:val="00633398"/>
    <w:rsid w:val="00634B9D"/>
    <w:rsid w:val="00635FB2"/>
    <w:rsid w:val="0063609B"/>
    <w:rsid w:val="00640286"/>
    <w:rsid w:val="00640BFE"/>
    <w:rsid w:val="00642D32"/>
    <w:rsid w:val="00643000"/>
    <w:rsid w:val="006553A3"/>
    <w:rsid w:val="006570DA"/>
    <w:rsid w:val="00657D3A"/>
    <w:rsid w:val="00660B12"/>
    <w:rsid w:val="00660D65"/>
    <w:rsid w:val="00661531"/>
    <w:rsid w:val="00661689"/>
    <w:rsid w:val="00661810"/>
    <w:rsid w:val="006644D4"/>
    <w:rsid w:val="00665E15"/>
    <w:rsid w:val="00666380"/>
    <w:rsid w:val="00667785"/>
    <w:rsid w:val="00672C40"/>
    <w:rsid w:val="00674BEE"/>
    <w:rsid w:val="00675C70"/>
    <w:rsid w:val="006769F7"/>
    <w:rsid w:val="00677D7C"/>
    <w:rsid w:val="00683C89"/>
    <w:rsid w:val="00684367"/>
    <w:rsid w:val="00686422"/>
    <w:rsid w:val="00687615"/>
    <w:rsid w:val="00687837"/>
    <w:rsid w:val="00691662"/>
    <w:rsid w:val="006A6E67"/>
    <w:rsid w:val="006B1280"/>
    <w:rsid w:val="006B19F9"/>
    <w:rsid w:val="006B2CF0"/>
    <w:rsid w:val="006B344D"/>
    <w:rsid w:val="006C03F1"/>
    <w:rsid w:val="006C06C1"/>
    <w:rsid w:val="006C23BA"/>
    <w:rsid w:val="006C2861"/>
    <w:rsid w:val="006C4A90"/>
    <w:rsid w:val="006C4D06"/>
    <w:rsid w:val="006C6B5D"/>
    <w:rsid w:val="006C6FB9"/>
    <w:rsid w:val="006C7E1E"/>
    <w:rsid w:val="006D243A"/>
    <w:rsid w:val="006D262E"/>
    <w:rsid w:val="006D2891"/>
    <w:rsid w:val="006D4B42"/>
    <w:rsid w:val="006D4C6C"/>
    <w:rsid w:val="006D6502"/>
    <w:rsid w:val="006D76EE"/>
    <w:rsid w:val="006D7E07"/>
    <w:rsid w:val="006E048D"/>
    <w:rsid w:val="006E17BB"/>
    <w:rsid w:val="006E1DFA"/>
    <w:rsid w:val="006E35FA"/>
    <w:rsid w:val="006E520C"/>
    <w:rsid w:val="006E603A"/>
    <w:rsid w:val="006E6B4B"/>
    <w:rsid w:val="006E6FE8"/>
    <w:rsid w:val="006E7667"/>
    <w:rsid w:val="006F15EE"/>
    <w:rsid w:val="006F1E0F"/>
    <w:rsid w:val="006F1EED"/>
    <w:rsid w:val="006F43B2"/>
    <w:rsid w:val="006F4B4A"/>
    <w:rsid w:val="006F50C5"/>
    <w:rsid w:val="006F7573"/>
    <w:rsid w:val="006F7A3A"/>
    <w:rsid w:val="0070081C"/>
    <w:rsid w:val="00701093"/>
    <w:rsid w:val="00701849"/>
    <w:rsid w:val="0070234E"/>
    <w:rsid w:val="00703984"/>
    <w:rsid w:val="00704758"/>
    <w:rsid w:val="00704AD4"/>
    <w:rsid w:val="00706A98"/>
    <w:rsid w:val="00713D3D"/>
    <w:rsid w:val="00714A28"/>
    <w:rsid w:val="00715A3F"/>
    <w:rsid w:val="007203F0"/>
    <w:rsid w:val="007228E1"/>
    <w:rsid w:val="00723F41"/>
    <w:rsid w:val="007241AC"/>
    <w:rsid w:val="007266DD"/>
    <w:rsid w:val="00726B96"/>
    <w:rsid w:val="00727E2F"/>
    <w:rsid w:val="00730F87"/>
    <w:rsid w:val="007318F4"/>
    <w:rsid w:val="007349D1"/>
    <w:rsid w:val="007350DF"/>
    <w:rsid w:val="007375B8"/>
    <w:rsid w:val="0074232F"/>
    <w:rsid w:val="00743299"/>
    <w:rsid w:val="00743C1D"/>
    <w:rsid w:val="00744230"/>
    <w:rsid w:val="00746DE6"/>
    <w:rsid w:val="0074764D"/>
    <w:rsid w:val="0075127D"/>
    <w:rsid w:val="00751442"/>
    <w:rsid w:val="0075300D"/>
    <w:rsid w:val="0075379E"/>
    <w:rsid w:val="00754EA4"/>
    <w:rsid w:val="00755299"/>
    <w:rsid w:val="00755EB4"/>
    <w:rsid w:val="0075647B"/>
    <w:rsid w:val="00757517"/>
    <w:rsid w:val="0075798B"/>
    <w:rsid w:val="00760515"/>
    <w:rsid w:val="00760BBB"/>
    <w:rsid w:val="0076368A"/>
    <w:rsid w:val="0076762E"/>
    <w:rsid w:val="007677BF"/>
    <w:rsid w:val="00774331"/>
    <w:rsid w:val="00775459"/>
    <w:rsid w:val="0077601E"/>
    <w:rsid w:val="00776BFE"/>
    <w:rsid w:val="00777D8B"/>
    <w:rsid w:val="00781597"/>
    <w:rsid w:val="00781D46"/>
    <w:rsid w:val="00790420"/>
    <w:rsid w:val="00791FF0"/>
    <w:rsid w:val="00791FF8"/>
    <w:rsid w:val="00792050"/>
    <w:rsid w:val="0079257B"/>
    <w:rsid w:val="007934B5"/>
    <w:rsid w:val="00793952"/>
    <w:rsid w:val="00794251"/>
    <w:rsid w:val="00796F90"/>
    <w:rsid w:val="00797E3C"/>
    <w:rsid w:val="007A141F"/>
    <w:rsid w:val="007A1709"/>
    <w:rsid w:val="007A1CD8"/>
    <w:rsid w:val="007A3F69"/>
    <w:rsid w:val="007A6ED7"/>
    <w:rsid w:val="007B2134"/>
    <w:rsid w:val="007B518C"/>
    <w:rsid w:val="007B61F6"/>
    <w:rsid w:val="007B623E"/>
    <w:rsid w:val="007C1801"/>
    <w:rsid w:val="007C1DBF"/>
    <w:rsid w:val="007C20FF"/>
    <w:rsid w:val="007C23ED"/>
    <w:rsid w:val="007C4B6E"/>
    <w:rsid w:val="007C4E83"/>
    <w:rsid w:val="007C5D86"/>
    <w:rsid w:val="007C7D1D"/>
    <w:rsid w:val="007D314A"/>
    <w:rsid w:val="007D4806"/>
    <w:rsid w:val="007D6097"/>
    <w:rsid w:val="007D72C7"/>
    <w:rsid w:val="007E0645"/>
    <w:rsid w:val="007E219D"/>
    <w:rsid w:val="007E29AF"/>
    <w:rsid w:val="007E39AE"/>
    <w:rsid w:val="007F024C"/>
    <w:rsid w:val="007F0A5B"/>
    <w:rsid w:val="007F0A90"/>
    <w:rsid w:val="007F1305"/>
    <w:rsid w:val="007F464D"/>
    <w:rsid w:val="007F63E5"/>
    <w:rsid w:val="007F6B67"/>
    <w:rsid w:val="008007F4"/>
    <w:rsid w:val="008022B9"/>
    <w:rsid w:val="00806183"/>
    <w:rsid w:val="00807CE2"/>
    <w:rsid w:val="008129B8"/>
    <w:rsid w:val="00816E0F"/>
    <w:rsid w:val="008173A9"/>
    <w:rsid w:val="00817914"/>
    <w:rsid w:val="00820C54"/>
    <w:rsid w:val="00822682"/>
    <w:rsid w:val="00823EB6"/>
    <w:rsid w:val="00825BDD"/>
    <w:rsid w:val="008264AF"/>
    <w:rsid w:val="0083329F"/>
    <w:rsid w:val="00833C3F"/>
    <w:rsid w:val="008342E0"/>
    <w:rsid w:val="00837F39"/>
    <w:rsid w:val="008451A0"/>
    <w:rsid w:val="00845A69"/>
    <w:rsid w:val="00846075"/>
    <w:rsid w:val="00851263"/>
    <w:rsid w:val="00852DAD"/>
    <w:rsid w:val="00854866"/>
    <w:rsid w:val="00854AE5"/>
    <w:rsid w:val="00854CA4"/>
    <w:rsid w:val="00855173"/>
    <w:rsid w:val="008577D1"/>
    <w:rsid w:val="00857D45"/>
    <w:rsid w:val="00862FF0"/>
    <w:rsid w:val="00863F74"/>
    <w:rsid w:val="00871408"/>
    <w:rsid w:val="00873FF5"/>
    <w:rsid w:val="00875257"/>
    <w:rsid w:val="00876011"/>
    <w:rsid w:val="00876C8D"/>
    <w:rsid w:val="00877AC2"/>
    <w:rsid w:val="00882659"/>
    <w:rsid w:val="008843FE"/>
    <w:rsid w:val="00885176"/>
    <w:rsid w:val="00886B78"/>
    <w:rsid w:val="00893042"/>
    <w:rsid w:val="00894798"/>
    <w:rsid w:val="00894A82"/>
    <w:rsid w:val="008955DA"/>
    <w:rsid w:val="00897A47"/>
    <w:rsid w:val="008A290F"/>
    <w:rsid w:val="008A33BE"/>
    <w:rsid w:val="008A4284"/>
    <w:rsid w:val="008A45B5"/>
    <w:rsid w:val="008B0923"/>
    <w:rsid w:val="008B525A"/>
    <w:rsid w:val="008C03A5"/>
    <w:rsid w:val="008C3191"/>
    <w:rsid w:val="008C4E91"/>
    <w:rsid w:val="008C68DB"/>
    <w:rsid w:val="008C6D0B"/>
    <w:rsid w:val="008D5522"/>
    <w:rsid w:val="008D5B94"/>
    <w:rsid w:val="008D6BD4"/>
    <w:rsid w:val="008E15BC"/>
    <w:rsid w:val="008E18C0"/>
    <w:rsid w:val="008E18D2"/>
    <w:rsid w:val="008E2828"/>
    <w:rsid w:val="008E3801"/>
    <w:rsid w:val="008E4AC1"/>
    <w:rsid w:val="008E7FAE"/>
    <w:rsid w:val="008F0CCC"/>
    <w:rsid w:val="008F1DA7"/>
    <w:rsid w:val="008F2847"/>
    <w:rsid w:val="008F3067"/>
    <w:rsid w:val="008F3636"/>
    <w:rsid w:val="008F372A"/>
    <w:rsid w:val="008F45ED"/>
    <w:rsid w:val="008F76EB"/>
    <w:rsid w:val="0090063E"/>
    <w:rsid w:val="00903147"/>
    <w:rsid w:val="0090370D"/>
    <w:rsid w:val="00905F5E"/>
    <w:rsid w:val="0091034A"/>
    <w:rsid w:val="00910ED6"/>
    <w:rsid w:val="00911E09"/>
    <w:rsid w:val="00912196"/>
    <w:rsid w:val="0091410B"/>
    <w:rsid w:val="00917003"/>
    <w:rsid w:val="00921092"/>
    <w:rsid w:val="0092267A"/>
    <w:rsid w:val="00925220"/>
    <w:rsid w:val="00926F64"/>
    <w:rsid w:val="009276EB"/>
    <w:rsid w:val="0092773C"/>
    <w:rsid w:val="00930E5D"/>
    <w:rsid w:val="00931963"/>
    <w:rsid w:val="00936656"/>
    <w:rsid w:val="00937DAE"/>
    <w:rsid w:val="00941B8D"/>
    <w:rsid w:val="0094561D"/>
    <w:rsid w:val="00946483"/>
    <w:rsid w:val="009472F4"/>
    <w:rsid w:val="00947E38"/>
    <w:rsid w:val="00951334"/>
    <w:rsid w:val="00951A01"/>
    <w:rsid w:val="00952AFE"/>
    <w:rsid w:val="00952FB8"/>
    <w:rsid w:val="00954D58"/>
    <w:rsid w:val="00955D44"/>
    <w:rsid w:val="0095762A"/>
    <w:rsid w:val="00960B44"/>
    <w:rsid w:val="00961C76"/>
    <w:rsid w:val="009664C6"/>
    <w:rsid w:val="0097127C"/>
    <w:rsid w:val="00972C9C"/>
    <w:rsid w:val="00973BE6"/>
    <w:rsid w:val="00980D69"/>
    <w:rsid w:val="00983D75"/>
    <w:rsid w:val="00984BAC"/>
    <w:rsid w:val="00985609"/>
    <w:rsid w:val="00986C3F"/>
    <w:rsid w:val="00990DC5"/>
    <w:rsid w:val="00991540"/>
    <w:rsid w:val="00991B04"/>
    <w:rsid w:val="00991FB3"/>
    <w:rsid w:val="009927C9"/>
    <w:rsid w:val="00996BA1"/>
    <w:rsid w:val="009A1005"/>
    <w:rsid w:val="009A2208"/>
    <w:rsid w:val="009A3C43"/>
    <w:rsid w:val="009A3DCD"/>
    <w:rsid w:val="009A3F4F"/>
    <w:rsid w:val="009A64E8"/>
    <w:rsid w:val="009B0890"/>
    <w:rsid w:val="009B1007"/>
    <w:rsid w:val="009B1C14"/>
    <w:rsid w:val="009B4FDC"/>
    <w:rsid w:val="009B6058"/>
    <w:rsid w:val="009B701F"/>
    <w:rsid w:val="009C2AF3"/>
    <w:rsid w:val="009C5A43"/>
    <w:rsid w:val="009C6FA8"/>
    <w:rsid w:val="009C7A51"/>
    <w:rsid w:val="009D03CF"/>
    <w:rsid w:val="009D0DB7"/>
    <w:rsid w:val="009D11D2"/>
    <w:rsid w:val="009D4CE3"/>
    <w:rsid w:val="009D6844"/>
    <w:rsid w:val="009D6AC6"/>
    <w:rsid w:val="009E2430"/>
    <w:rsid w:val="009E37B2"/>
    <w:rsid w:val="009E4869"/>
    <w:rsid w:val="009E73E5"/>
    <w:rsid w:val="009E7A4A"/>
    <w:rsid w:val="009F04BC"/>
    <w:rsid w:val="009F0E56"/>
    <w:rsid w:val="009F1B34"/>
    <w:rsid w:val="009F369E"/>
    <w:rsid w:val="009F3B13"/>
    <w:rsid w:val="009F56D7"/>
    <w:rsid w:val="00A04585"/>
    <w:rsid w:val="00A070EF"/>
    <w:rsid w:val="00A1035F"/>
    <w:rsid w:val="00A10D57"/>
    <w:rsid w:val="00A11823"/>
    <w:rsid w:val="00A1225C"/>
    <w:rsid w:val="00A12553"/>
    <w:rsid w:val="00A13D4E"/>
    <w:rsid w:val="00A21789"/>
    <w:rsid w:val="00A23F8A"/>
    <w:rsid w:val="00A2465B"/>
    <w:rsid w:val="00A2650C"/>
    <w:rsid w:val="00A26E29"/>
    <w:rsid w:val="00A30EED"/>
    <w:rsid w:val="00A32038"/>
    <w:rsid w:val="00A34B97"/>
    <w:rsid w:val="00A355E7"/>
    <w:rsid w:val="00A41F8A"/>
    <w:rsid w:val="00A4234D"/>
    <w:rsid w:val="00A42ABB"/>
    <w:rsid w:val="00A43029"/>
    <w:rsid w:val="00A43439"/>
    <w:rsid w:val="00A50FD1"/>
    <w:rsid w:val="00A53EF8"/>
    <w:rsid w:val="00A55940"/>
    <w:rsid w:val="00A5641C"/>
    <w:rsid w:val="00A5672C"/>
    <w:rsid w:val="00A57C99"/>
    <w:rsid w:val="00A61421"/>
    <w:rsid w:val="00A64542"/>
    <w:rsid w:val="00A66099"/>
    <w:rsid w:val="00A700B6"/>
    <w:rsid w:val="00A7174E"/>
    <w:rsid w:val="00A71C7D"/>
    <w:rsid w:val="00A73502"/>
    <w:rsid w:val="00A758E3"/>
    <w:rsid w:val="00A812B8"/>
    <w:rsid w:val="00A81548"/>
    <w:rsid w:val="00A82B0D"/>
    <w:rsid w:val="00A832B4"/>
    <w:rsid w:val="00A84370"/>
    <w:rsid w:val="00A84F25"/>
    <w:rsid w:val="00A929AA"/>
    <w:rsid w:val="00A93160"/>
    <w:rsid w:val="00A94805"/>
    <w:rsid w:val="00A94D3D"/>
    <w:rsid w:val="00A95AA0"/>
    <w:rsid w:val="00A96A40"/>
    <w:rsid w:val="00A96EEB"/>
    <w:rsid w:val="00A9783B"/>
    <w:rsid w:val="00AA3798"/>
    <w:rsid w:val="00AA424E"/>
    <w:rsid w:val="00AA59D0"/>
    <w:rsid w:val="00AA78A6"/>
    <w:rsid w:val="00AB12FB"/>
    <w:rsid w:val="00AB5081"/>
    <w:rsid w:val="00AB525C"/>
    <w:rsid w:val="00AB6BA8"/>
    <w:rsid w:val="00AC0172"/>
    <w:rsid w:val="00AC1395"/>
    <w:rsid w:val="00AC1923"/>
    <w:rsid w:val="00AC195F"/>
    <w:rsid w:val="00AC43D5"/>
    <w:rsid w:val="00AC6E75"/>
    <w:rsid w:val="00AD0121"/>
    <w:rsid w:val="00AD0999"/>
    <w:rsid w:val="00AD216E"/>
    <w:rsid w:val="00AD4B04"/>
    <w:rsid w:val="00AD5ECE"/>
    <w:rsid w:val="00AD6867"/>
    <w:rsid w:val="00AD79B9"/>
    <w:rsid w:val="00AF1F29"/>
    <w:rsid w:val="00AF5FA0"/>
    <w:rsid w:val="00AF638D"/>
    <w:rsid w:val="00AF70FD"/>
    <w:rsid w:val="00AF789D"/>
    <w:rsid w:val="00B05AC3"/>
    <w:rsid w:val="00B05BFD"/>
    <w:rsid w:val="00B07785"/>
    <w:rsid w:val="00B108CD"/>
    <w:rsid w:val="00B10C84"/>
    <w:rsid w:val="00B118D2"/>
    <w:rsid w:val="00B13053"/>
    <w:rsid w:val="00B1334F"/>
    <w:rsid w:val="00B17808"/>
    <w:rsid w:val="00B20099"/>
    <w:rsid w:val="00B20134"/>
    <w:rsid w:val="00B21D94"/>
    <w:rsid w:val="00B22B10"/>
    <w:rsid w:val="00B27F72"/>
    <w:rsid w:val="00B327A6"/>
    <w:rsid w:val="00B327B1"/>
    <w:rsid w:val="00B32F13"/>
    <w:rsid w:val="00B33533"/>
    <w:rsid w:val="00B35A86"/>
    <w:rsid w:val="00B366B4"/>
    <w:rsid w:val="00B40DA0"/>
    <w:rsid w:val="00B41B57"/>
    <w:rsid w:val="00B41CE3"/>
    <w:rsid w:val="00B43AF4"/>
    <w:rsid w:val="00B44B49"/>
    <w:rsid w:val="00B47F99"/>
    <w:rsid w:val="00B53BDF"/>
    <w:rsid w:val="00B568D5"/>
    <w:rsid w:val="00B56D0C"/>
    <w:rsid w:val="00B60B2C"/>
    <w:rsid w:val="00B60FF6"/>
    <w:rsid w:val="00B61D91"/>
    <w:rsid w:val="00B630BC"/>
    <w:rsid w:val="00B638AE"/>
    <w:rsid w:val="00B66289"/>
    <w:rsid w:val="00B677DF"/>
    <w:rsid w:val="00B67EBC"/>
    <w:rsid w:val="00B705CC"/>
    <w:rsid w:val="00B7245B"/>
    <w:rsid w:val="00B730A5"/>
    <w:rsid w:val="00B73222"/>
    <w:rsid w:val="00B75765"/>
    <w:rsid w:val="00B75CEC"/>
    <w:rsid w:val="00B764E2"/>
    <w:rsid w:val="00B76F68"/>
    <w:rsid w:val="00B809CF"/>
    <w:rsid w:val="00B83F0F"/>
    <w:rsid w:val="00B86153"/>
    <w:rsid w:val="00B87065"/>
    <w:rsid w:val="00B8731F"/>
    <w:rsid w:val="00B90EF7"/>
    <w:rsid w:val="00B91328"/>
    <w:rsid w:val="00B91CF3"/>
    <w:rsid w:val="00B92A38"/>
    <w:rsid w:val="00B93411"/>
    <w:rsid w:val="00B93ECE"/>
    <w:rsid w:val="00B97C3C"/>
    <w:rsid w:val="00BA2080"/>
    <w:rsid w:val="00BA3D23"/>
    <w:rsid w:val="00BA536F"/>
    <w:rsid w:val="00BA7D9F"/>
    <w:rsid w:val="00BB1BA2"/>
    <w:rsid w:val="00BB2443"/>
    <w:rsid w:val="00BB625F"/>
    <w:rsid w:val="00BB6B95"/>
    <w:rsid w:val="00BB709E"/>
    <w:rsid w:val="00BB7199"/>
    <w:rsid w:val="00BC2FD2"/>
    <w:rsid w:val="00BC4AD3"/>
    <w:rsid w:val="00BC603C"/>
    <w:rsid w:val="00BC76F6"/>
    <w:rsid w:val="00BD0471"/>
    <w:rsid w:val="00BD0E03"/>
    <w:rsid w:val="00BD0F0A"/>
    <w:rsid w:val="00BD1194"/>
    <w:rsid w:val="00BD3204"/>
    <w:rsid w:val="00BD3386"/>
    <w:rsid w:val="00BD7503"/>
    <w:rsid w:val="00BE1BDD"/>
    <w:rsid w:val="00BE4AD2"/>
    <w:rsid w:val="00BE585F"/>
    <w:rsid w:val="00BE6F8C"/>
    <w:rsid w:val="00BE705B"/>
    <w:rsid w:val="00BE7D08"/>
    <w:rsid w:val="00BE7EBE"/>
    <w:rsid w:val="00BF0323"/>
    <w:rsid w:val="00BF0D89"/>
    <w:rsid w:val="00BF2517"/>
    <w:rsid w:val="00BF451B"/>
    <w:rsid w:val="00BF62D0"/>
    <w:rsid w:val="00BF6D53"/>
    <w:rsid w:val="00BF7902"/>
    <w:rsid w:val="00C00024"/>
    <w:rsid w:val="00C021FB"/>
    <w:rsid w:val="00C04F73"/>
    <w:rsid w:val="00C17739"/>
    <w:rsid w:val="00C21910"/>
    <w:rsid w:val="00C2222B"/>
    <w:rsid w:val="00C24044"/>
    <w:rsid w:val="00C2432E"/>
    <w:rsid w:val="00C25553"/>
    <w:rsid w:val="00C25E1E"/>
    <w:rsid w:val="00C2735A"/>
    <w:rsid w:val="00C306B9"/>
    <w:rsid w:val="00C3122A"/>
    <w:rsid w:val="00C33A79"/>
    <w:rsid w:val="00C36119"/>
    <w:rsid w:val="00C3701D"/>
    <w:rsid w:val="00C3796E"/>
    <w:rsid w:val="00C41560"/>
    <w:rsid w:val="00C437AC"/>
    <w:rsid w:val="00C44418"/>
    <w:rsid w:val="00C4641B"/>
    <w:rsid w:val="00C52016"/>
    <w:rsid w:val="00C52759"/>
    <w:rsid w:val="00C52CA0"/>
    <w:rsid w:val="00C60913"/>
    <w:rsid w:val="00C614BB"/>
    <w:rsid w:val="00C634FE"/>
    <w:rsid w:val="00C66A1E"/>
    <w:rsid w:val="00C66B69"/>
    <w:rsid w:val="00C67128"/>
    <w:rsid w:val="00C71309"/>
    <w:rsid w:val="00C73366"/>
    <w:rsid w:val="00C76894"/>
    <w:rsid w:val="00C77090"/>
    <w:rsid w:val="00C836BC"/>
    <w:rsid w:val="00C862C1"/>
    <w:rsid w:val="00C90758"/>
    <w:rsid w:val="00C90F1A"/>
    <w:rsid w:val="00C94A1D"/>
    <w:rsid w:val="00C9562E"/>
    <w:rsid w:val="00C96B57"/>
    <w:rsid w:val="00CA02FA"/>
    <w:rsid w:val="00CA0544"/>
    <w:rsid w:val="00CA35CF"/>
    <w:rsid w:val="00CA4520"/>
    <w:rsid w:val="00CA6739"/>
    <w:rsid w:val="00CA6ED8"/>
    <w:rsid w:val="00CB0205"/>
    <w:rsid w:val="00CB0FC2"/>
    <w:rsid w:val="00CB1D55"/>
    <w:rsid w:val="00CB28E6"/>
    <w:rsid w:val="00CB3AAF"/>
    <w:rsid w:val="00CB5A6B"/>
    <w:rsid w:val="00CB5F0B"/>
    <w:rsid w:val="00CB7293"/>
    <w:rsid w:val="00CC0157"/>
    <w:rsid w:val="00CC02D8"/>
    <w:rsid w:val="00CC20CB"/>
    <w:rsid w:val="00CC2704"/>
    <w:rsid w:val="00CC28BD"/>
    <w:rsid w:val="00CC35EE"/>
    <w:rsid w:val="00CC5888"/>
    <w:rsid w:val="00CC65FE"/>
    <w:rsid w:val="00CC6909"/>
    <w:rsid w:val="00CD03D5"/>
    <w:rsid w:val="00CD04DA"/>
    <w:rsid w:val="00CD3C0B"/>
    <w:rsid w:val="00CD4AAE"/>
    <w:rsid w:val="00CE002E"/>
    <w:rsid w:val="00CE19B0"/>
    <w:rsid w:val="00CE2BA7"/>
    <w:rsid w:val="00CE63ED"/>
    <w:rsid w:val="00CE6D34"/>
    <w:rsid w:val="00CF3CD6"/>
    <w:rsid w:val="00CF64C4"/>
    <w:rsid w:val="00CF73E3"/>
    <w:rsid w:val="00D00BC0"/>
    <w:rsid w:val="00D02011"/>
    <w:rsid w:val="00D0322B"/>
    <w:rsid w:val="00D10CB0"/>
    <w:rsid w:val="00D120FD"/>
    <w:rsid w:val="00D1439C"/>
    <w:rsid w:val="00D21164"/>
    <w:rsid w:val="00D24A78"/>
    <w:rsid w:val="00D27F94"/>
    <w:rsid w:val="00D31D8E"/>
    <w:rsid w:val="00D31F8A"/>
    <w:rsid w:val="00D3337B"/>
    <w:rsid w:val="00D3341F"/>
    <w:rsid w:val="00D356ED"/>
    <w:rsid w:val="00D4452B"/>
    <w:rsid w:val="00D5024E"/>
    <w:rsid w:val="00D5039B"/>
    <w:rsid w:val="00D52B50"/>
    <w:rsid w:val="00D53D57"/>
    <w:rsid w:val="00D5413F"/>
    <w:rsid w:val="00D61F96"/>
    <w:rsid w:val="00D63F87"/>
    <w:rsid w:val="00D6739D"/>
    <w:rsid w:val="00D71524"/>
    <w:rsid w:val="00D73C5F"/>
    <w:rsid w:val="00D76E77"/>
    <w:rsid w:val="00D82D77"/>
    <w:rsid w:val="00D83484"/>
    <w:rsid w:val="00D83A23"/>
    <w:rsid w:val="00D848CE"/>
    <w:rsid w:val="00D85CB9"/>
    <w:rsid w:val="00D860F0"/>
    <w:rsid w:val="00D879AA"/>
    <w:rsid w:val="00D90A0B"/>
    <w:rsid w:val="00D94C91"/>
    <w:rsid w:val="00D96068"/>
    <w:rsid w:val="00D97DFC"/>
    <w:rsid w:val="00DA2F91"/>
    <w:rsid w:val="00DA44C1"/>
    <w:rsid w:val="00DA7BEB"/>
    <w:rsid w:val="00DB1D0F"/>
    <w:rsid w:val="00DB4B60"/>
    <w:rsid w:val="00DB7F12"/>
    <w:rsid w:val="00DC025E"/>
    <w:rsid w:val="00DC0DAF"/>
    <w:rsid w:val="00DC2F45"/>
    <w:rsid w:val="00DC6F8C"/>
    <w:rsid w:val="00DC7985"/>
    <w:rsid w:val="00DD13EC"/>
    <w:rsid w:val="00DD194B"/>
    <w:rsid w:val="00DD3DEC"/>
    <w:rsid w:val="00DD48B5"/>
    <w:rsid w:val="00DD6097"/>
    <w:rsid w:val="00DD7E88"/>
    <w:rsid w:val="00DE200A"/>
    <w:rsid w:val="00DE21A1"/>
    <w:rsid w:val="00DE5C91"/>
    <w:rsid w:val="00DF0491"/>
    <w:rsid w:val="00DF3639"/>
    <w:rsid w:val="00DF50AC"/>
    <w:rsid w:val="00DF6F6F"/>
    <w:rsid w:val="00E02190"/>
    <w:rsid w:val="00E064B3"/>
    <w:rsid w:val="00E06F71"/>
    <w:rsid w:val="00E06F7F"/>
    <w:rsid w:val="00E10652"/>
    <w:rsid w:val="00E135B3"/>
    <w:rsid w:val="00E141ED"/>
    <w:rsid w:val="00E142AF"/>
    <w:rsid w:val="00E1550D"/>
    <w:rsid w:val="00E23E16"/>
    <w:rsid w:val="00E2409D"/>
    <w:rsid w:val="00E272EF"/>
    <w:rsid w:val="00E27C9B"/>
    <w:rsid w:val="00E308D1"/>
    <w:rsid w:val="00E3159D"/>
    <w:rsid w:val="00E35CC1"/>
    <w:rsid w:val="00E37826"/>
    <w:rsid w:val="00E43382"/>
    <w:rsid w:val="00E4628A"/>
    <w:rsid w:val="00E46CC0"/>
    <w:rsid w:val="00E51EEA"/>
    <w:rsid w:val="00E52E30"/>
    <w:rsid w:val="00E54212"/>
    <w:rsid w:val="00E54B5D"/>
    <w:rsid w:val="00E577F4"/>
    <w:rsid w:val="00E6196A"/>
    <w:rsid w:val="00E62AB4"/>
    <w:rsid w:val="00E62AB6"/>
    <w:rsid w:val="00E62DD6"/>
    <w:rsid w:val="00E648A9"/>
    <w:rsid w:val="00E64CE0"/>
    <w:rsid w:val="00E6513C"/>
    <w:rsid w:val="00E65C38"/>
    <w:rsid w:val="00E65EE0"/>
    <w:rsid w:val="00E67631"/>
    <w:rsid w:val="00E74607"/>
    <w:rsid w:val="00E80941"/>
    <w:rsid w:val="00E810D5"/>
    <w:rsid w:val="00E81FE9"/>
    <w:rsid w:val="00E87A14"/>
    <w:rsid w:val="00E90E7B"/>
    <w:rsid w:val="00E913BF"/>
    <w:rsid w:val="00E94E43"/>
    <w:rsid w:val="00EA167C"/>
    <w:rsid w:val="00EA28F3"/>
    <w:rsid w:val="00EA2904"/>
    <w:rsid w:val="00EA3A19"/>
    <w:rsid w:val="00EA3C30"/>
    <w:rsid w:val="00EA43D6"/>
    <w:rsid w:val="00EA4887"/>
    <w:rsid w:val="00EA4C59"/>
    <w:rsid w:val="00EA62EC"/>
    <w:rsid w:val="00EB0063"/>
    <w:rsid w:val="00EB0079"/>
    <w:rsid w:val="00EB01E3"/>
    <w:rsid w:val="00EB2217"/>
    <w:rsid w:val="00EB3864"/>
    <w:rsid w:val="00EB393A"/>
    <w:rsid w:val="00EB6AEE"/>
    <w:rsid w:val="00EC0AE9"/>
    <w:rsid w:val="00EC0B13"/>
    <w:rsid w:val="00EC2FD4"/>
    <w:rsid w:val="00EC624F"/>
    <w:rsid w:val="00ED00E9"/>
    <w:rsid w:val="00ED1536"/>
    <w:rsid w:val="00ED3EBE"/>
    <w:rsid w:val="00ED43B1"/>
    <w:rsid w:val="00ED49B2"/>
    <w:rsid w:val="00ED62D2"/>
    <w:rsid w:val="00EE0466"/>
    <w:rsid w:val="00EE143D"/>
    <w:rsid w:val="00EE1AC4"/>
    <w:rsid w:val="00EE2252"/>
    <w:rsid w:val="00EE288C"/>
    <w:rsid w:val="00EE2E22"/>
    <w:rsid w:val="00EE6376"/>
    <w:rsid w:val="00EF06DE"/>
    <w:rsid w:val="00EF1997"/>
    <w:rsid w:val="00EF2505"/>
    <w:rsid w:val="00EF35F7"/>
    <w:rsid w:val="00EF3A06"/>
    <w:rsid w:val="00EF3DA2"/>
    <w:rsid w:val="00EF76DF"/>
    <w:rsid w:val="00EF7F28"/>
    <w:rsid w:val="00F00AD1"/>
    <w:rsid w:val="00F053A4"/>
    <w:rsid w:val="00F072A7"/>
    <w:rsid w:val="00F121AD"/>
    <w:rsid w:val="00F12D15"/>
    <w:rsid w:val="00F149A9"/>
    <w:rsid w:val="00F1682C"/>
    <w:rsid w:val="00F204BE"/>
    <w:rsid w:val="00F23440"/>
    <w:rsid w:val="00F246DD"/>
    <w:rsid w:val="00F25C6B"/>
    <w:rsid w:val="00F33015"/>
    <w:rsid w:val="00F337A2"/>
    <w:rsid w:val="00F33C24"/>
    <w:rsid w:val="00F36EF3"/>
    <w:rsid w:val="00F37EEF"/>
    <w:rsid w:val="00F40C87"/>
    <w:rsid w:val="00F41317"/>
    <w:rsid w:val="00F4464E"/>
    <w:rsid w:val="00F50E01"/>
    <w:rsid w:val="00F54A8E"/>
    <w:rsid w:val="00F559AC"/>
    <w:rsid w:val="00F637AA"/>
    <w:rsid w:val="00F63996"/>
    <w:rsid w:val="00F63A6F"/>
    <w:rsid w:val="00F677D3"/>
    <w:rsid w:val="00F67AE8"/>
    <w:rsid w:val="00F704BA"/>
    <w:rsid w:val="00F70848"/>
    <w:rsid w:val="00F708A0"/>
    <w:rsid w:val="00F70AF5"/>
    <w:rsid w:val="00F728C7"/>
    <w:rsid w:val="00F7385E"/>
    <w:rsid w:val="00F73ACD"/>
    <w:rsid w:val="00F7773E"/>
    <w:rsid w:val="00F77D69"/>
    <w:rsid w:val="00F8147B"/>
    <w:rsid w:val="00F837A9"/>
    <w:rsid w:val="00F84016"/>
    <w:rsid w:val="00F90811"/>
    <w:rsid w:val="00F90B5F"/>
    <w:rsid w:val="00F91612"/>
    <w:rsid w:val="00F9377E"/>
    <w:rsid w:val="00F940D0"/>
    <w:rsid w:val="00F95795"/>
    <w:rsid w:val="00F95DE9"/>
    <w:rsid w:val="00F96963"/>
    <w:rsid w:val="00F969BE"/>
    <w:rsid w:val="00FA06D8"/>
    <w:rsid w:val="00FA0E1E"/>
    <w:rsid w:val="00FA2908"/>
    <w:rsid w:val="00FA2E0D"/>
    <w:rsid w:val="00FA53C3"/>
    <w:rsid w:val="00FA54E0"/>
    <w:rsid w:val="00FA6155"/>
    <w:rsid w:val="00FA6E5A"/>
    <w:rsid w:val="00FB039D"/>
    <w:rsid w:val="00FB04BD"/>
    <w:rsid w:val="00FB097F"/>
    <w:rsid w:val="00FB2E33"/>
    <w:rsid w:val="00FB304F"/>
    <w:rsid w:val="00FB3BA4"/>
    <w:rsid w:val="00FB5422"/>
    <w:rsid w:val="00FB6265"/>
    <w:rsid w:val="00FC157A"/>
    <w:rsid w:val="00FC317E"/>
    <w:rsid w:val="00FC5780"/>
    <w:rsid w:val="00FC58D9"/>
    <w:rsid w:val="00FC6C3F"/>
    <w:rsid w:val="00FD1EA8"/>
    <w:rsid w:val="00FD6642"/>
    <w:rsid w:val="00FD6706"/>
    <w:rsid w:val="00FE0D3C"/>
    <w:rsid w:val="00FE1ACC"/>
    <w:rsid w:val="00FE2C27"/>
    <w:rsid w:val="00FE30D5"/>
    <w:rsid w:val="00FE34B3"/>
    <w:rsid w:val="00FE5619"/>
    <w:rsid w:val="00FE62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74CDDB-A16B-42BF-A7E3-574CC407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C24"/>
    <w:pPr>
      <w:widowControl w:val="0"/>
    </w:pPr>
    <w:rPr>
      <w:kern w:val="2"/>
      <w:sz w:val="24"/>
      <w:szCs w:val="24"/>
    </w:rPr>
  </w:style>
  <w:style w:type="paragraph" w:styleId="2">
    <w:name w:val="heading 2"/>
    <w:basedOn w:val="a"/>
    <w:link w:val="20"/>
    <w:uiPriority w:val="9"/>
    <w:qFormat/>
    <w:rsid w:val="005209B9"/>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33C24"/>
    <w:rPr>
      <w:rFonts w:ascii="細明體" w:eastAsia="細明體" w:hAnsi="Courier New"/>
    </w:rPr>
  </w:style>
  <w:style w:type="paragraph" w:styleId="a5">
    <w:name w:val="footer"/>
    <w:basedOn w:val="a"/>
    <w:link w:val="a6"/>
    <w:uiPriority w:val="99"/>
    <w:rsid w:val="00F33C24"/>
    <w:pPr>
      <w:tabs>
        <w:tab w:val="center" w:pos="4153"/>
        <w:tab w:val="right" w:pos="8306"/>
      </w:tabs>
      <w:snapToGrid w:val="0"/>
    </w:pPr>
    <w:rPr>
      <w:sz w:val="20"/>
      <w:szCs w:val="20"/>
    </w:rPr>
  </w:style>
  <w:style w:type="character" w:styleId="a7">
    <w:name w:val="page number"/>
    <w:basedOn w:val="a0"/>
    <w:rsid w:val="00F33C24"/>
  </w:style>
  <w:style w:type="paragraph" w:styleId="a8">
    <w:name w:val="header"/>
    <w:basedOn w:val="a"/>
    <w:rsid w:val="00F33C24"/>
    <w:pPr>
      <w:tabs>
        <w:tab w:val="center" w:pos="4153"/>
        <w:tab w:val="right" w:pos="8306"/>
      </w:tabs>
      <w:snapToGrid w:val="0"/>
    </w:pPr>
    <w:rPr>
      <w:sz w:val="20"/>
      <w:szCs w:val="20"/>
    </w:rPr>
  </w:style>
  <w:style w:type="paragraph" w:styleId="a9">
    <w:name w:val="Body Text Indent"/>
    <w:basedOn w:val="a"/>
    <w:rsid w:val="00F33C24"/>
    <w:pPr>
      <w:ind w:leftChars="200" w:left="1200" w:hangingChars="300" w:hanging="720"/>
    </w:pPr>
  </w:style>
  <w:style w:type="paragraph" w:styleId="aa">
    <w:name w:val="Date"/>
    <w:basedOn w:val="a"/>
    <w:next w:val="a"/>
    <w:rsid w:val="00F54A8E"/>
    <w:pPr>
      <w:jc w:val="right"/>
    </w:pPr>
  </w:style>
  <w:style w:type="paragraph" w:styleId="ab">
    <w:name w:val="Balloon Text"/>
    <w:basedOn w:val="a"/>
    <w:semiHidden/>
    <w:rsid w:val="002F42EE"/>
    <w:rPr>
      <w:rFonts w:ascii="Arial" w:hAnsi="Arial"/>
      <w:sz w:val="18"/>
      <w:szCs w:val="18"/>
    </w:rPr>
  </w:style>
  <w:style w:type="paragraph" w:customStyle="1" w:styleId="ac">
    <w:name w:val="公文(主旨)"/>
    <w:basedOn w:val="a"/>
    <w:next w:val="a"/>
    <w:rsid w:val="00674BEE"/>
    <w:pPr>
      <w:widowControl/>
      <w:ind w:left="958" w:hanging="958"/>
      <w:textAlignment w:val="baseline"/>
    </w:pPr>
    <w:rPr>
      <w:rFonts w:eastAsia="標楷體"/>
      <w:noProof/>
      <w:kern w:val="0"/>
      <w:sz w:val="32"/>
      <w:szCs w:val="20"/>
      <w:lang w:bidi="he-IL"/>
    </w:rPr>
  </w:style>
  <w:style w:type="paragraph" w:customStyle="1" w:styleId="Char">
    <w:name w:val="Char"/>
    <w:basedOn w:val="a"/>
    <w:rsid w:val="00A11823"/>
    <w:pPr>
      <w:widowControl/>
      <w:spacing w:after="160" w:line="240" w:lineRule="exact"/>
    </w:pPr>
    <w:rPr>
      <w:rFonts w:ascii="Verdana" w:eastAsia="標楷體" w:hAnsi="Verdana"/>
      <w:kern w:val="0"/>
      <w:sz w:val="20"/>
      <w:szCs w:val="20"/>
      <w:lang w:eastAsia="en-US"/>
    </w:rPr>
  </w:style>
  <w:style w:type="paragraph" w:styleId="HTML">
    <w:name w:val="HTML Preformatted"/>
    <w:basedOn w:val="a"/>
    <w:link w:val="HTML0"/>
    <w:rsid w:val="00CC2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link w:val="HTML"/>
    <w:rsid w:val="00CC2704"/>
    <w:rPr>
      <w:rFonts w:ascii="細明體" w:eastAsia="細明體" w:hAnsi="Courier New" w:cs="Courier New"/>
    </w:rPr>
  </w:style>
  <w:style w:type="character" w:customStyle="1" w:styleId="a4">
    <w:name w:val="純文字 字元"/>
    <w:link w:val="a3"/>
    <w:rsid w:val="00CB7293"/>
    <w:rPr>
      <w:rFonts w:ascii="細明體" w:eastAsia="細明體" w:hAnsi="Courier New" w:cs="Courier New"/>
      <w:kern w:val="2"/>
      <w:sz w:val="24"/>
      <w:szCs w:val="24"/>
    </w:rPr>
  </w:style>
  <w:style w:type="paragraph" w:customStyle="1" w:styleId="Default">
    <w:name w:val="Default"/>
    <w:rsid w:val="001F065D"/>
    <w:pPr>
      <w:widowControl w:val="0"/>
      <w:autoSpaceDE w:val="0"/>
      <w:autoSpaceDN w:val="0"/>
      <w:adjustRightInd w:val="0"/>
    </w:pPr>
    <w:rPr>
      <w:rFonts w:ascii="Arial" w:hAnsi="Arial" w:cs="Arial"/>
      <w:color w:val="000000"/>
      <w:sz w:val="24"/>
      <w:szCs w:val="24"/>
    </w:rPr>
  </w:style>
  <w:style w:type="character" w:customStyle="1" w:styleId="a6">
    <w:name w:val="頁尾 字元"/>
    <w:basedOn w:val="a0"/>
    <w:link w:val="a5"/>
    <w:uiPriority w:val="99"/>
    <w:rsid w:val="00DA44C1"/>
    <w:rPr>
      <w:kern w:val="2"/>
    </w:rPr>
  </w:style>
  <w:style w:type="paragraph" w:styleId="ad">
    <w:name w:val="footnote text"/>
    <w:basedOn w:val="a"/>
    <w:link w:val="ae"/>
    <w:rsid w:val="00ED62D2"/>
    <w:pPr>
      <w:snapToGrid w:val="0"/>
    </w:pPr>
    <w:rPr>
      <w:sz w:val="20"/>
      <w:szCs w:val="20"/>
    </w:rPr>
  </w:style>
  <w:style w:type="character" w:customStyle="1" w:styleId="ae">
    <w:name w:val="註腳文字 字元"/>
    <w:basedOn w:val="a0"/>
    <w:link w:val="ad"/>
    <w:rsid w:val="00ED62D2"/>
    <w:rPr>
      <w:kern w:val="2"/>
    </w:rPr>
  </w:style>
  <w:style w:type="character" w:styleId="af">
    <w:name w:val="footnote reference"/>
    <w:basedOn w:val="a0"/>
    <w:rsid w:val="00ED62D2"/>
    <w:rPr>
      <w:vertAlign w:val="superscript"/>
    </w:rPr>
  </w:style>
  <w:style w:type="character" w:styleId="af0">
    <w:name w:val="annotation reference"/>
    <w:basedOn w:val="a0"/>
    <w:rsid w:val="000E3004"/>
    <w:rPr>
      <w:sz w:val="18"/>
      <w:szCs w:val="18"/>
    </w:rPr>
  </w:style>
  <w:style w:type="paragraph" w:styleId="af1">
    <w:name w:val="annotation text"/>
    <w:basedOn w:val="a"/>
    <w:link w:val="af2"/>
    <w:rsid w:val="000E3004"/>
  </w:style>
  <w:style w:type="character" w:customStyle="1" w:styleId="af2">
    <w:name w:val="註解文字 字元"/>
    <w:basedOn w:val="a0"/>
    <w:link w:val="af1"/>
    <w:rsid w:val="000E3004"/>
    <w:rPr>
      <w:kern w:val="2"/>
      <w:sz w:val="24"/>
      <w:szCs w:val="24"/>
    </w:rPr>
  </w:style>
  <w:style w:type="paragraph" w:styleId="af3">
    <w:name w:val="annotation subject"/>
    <w:basedOn w:val="af1"/>
    <w:next w:val="af1"/>
    <w:link w:val="af4"/>
    <w:rsid w:val="000E3004"/>
    <w:rPr>
      <w:b/>
      <w:bCs/>
    </w:rPr>
  </w:style>
  <w:style w:type="character" w:customStyle="1" w:styleId="af4">
    <w:name w:val="註解主旨 字元"/>
    <w:basedOn w:val="af2"/>
    <w:link w:val="af3"/>
    <w:rsid w:val="000E3004"/>
    <w:rPr>
      <w:b/>
      <w:bCs/>
      <w:kern w:val="2"/>
      <w:sz w:val="24"/>
      <w:szCs w:val="24"/>
    </w:rPr>
  </w:style>
  <w:style w:type="paragraph" w:styleId="af5">
    <w:name w:val="Revision"/>
    <w:hidden/>
    <w:uiPriority w:val="99"/>
    <w:semiHidden/>
    <w:rsid w:val="00B91328"/>
    <w:rPr>
      <w:kern w:val="2"/>
      <w:sz w:val="24"/>
      <w:szCs w:val="24"/>
    </w:rPr>
  </w:style>
  <w:style w:type="paragraph" w:styleId="af6">
    <w:name w:val="List Paragraph"/>
    <w:basedOn w:val="a"/>
    <w:uiPriority w:val="34"/>
    <w:qFormat/>
    <w:rsid w:val="00825BDD"/>
    <w:pPr>
      <w:ind w:leftChars="200" w:left="480"/>
    </w:pPr>
  </w:style>
  <w:style w:type="character" w:customStyle="1" w:styleId="20">
    <w:name w:val="標題 2 字元"/>
    <w:basedOn w:val="a0"/>
    <w:link w:val="2"/>
    <w:uiPriority w:val="9"/>
    <w:rsid w:val="005209B9"/>
    <w:rPr>
      <w:rFonts w:ascii="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3453-D067-491F-87E9-FB19C70F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657</Words>
  <Characters>3750</Characters>
  <Application>Microsoft Office Word</Application>
  <DocSecurity>0</DocSecurity>
  <Lines>31</Lines>
  <Paragraphs>8</Paragraphs>
  <ScaleCrop>false</ScaleCrop>
  <Company>hkclsf</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sh88137</dc:creator>
  <cp:lastModifiedBy>林靜雪</cp:lastModifiedBy>
  <cp:revision>6</cp:revision>
  <cp:lastPrinted>2015-05-25T09:30:00Z</cp:lastPrinted>
  <dcterms:created xsi:type="dcterms:W3CDTF">2015-07-06T01:26:00Z</dcterms:created>
  <dcterms:modified xsi:type="dcterms:W3CDTF">2016-11-07T08:42:00Z</dcterms:modified>
</cp:coreProperties>
</file>