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6F" w:rsidRPr="000C5451" w:rsidRDefault="00D62D6F" w:rsidP="00163F81">
      <w:pPr>
        <w:ind w:firstLineChars="50" w:firstLine="160"/>
        <w:jc w:val="center"/>
        <w:rPr>
          <w:rFonts w:ascii="標楷體" w:eastAsia="標楷體" w:hAnsi="標楷體" w:cs="DFKaiShu-SB-Estd-BF"/>
          <w:kern w:val="0"/>
          <w:sz w:val="32"/>
          <w:szCs w:val="32"/>
        </w:rPr>
      </w:pPr>
      <w:r w:rsidRPr="000C5451">
        <w:rPr>
          <w:rFonts w:ascii="標楷體" w:eastAsia="標楷體" w:hAnsi="標楷體" w:cs="DFKaiShu-SB-Estd-BF" w:hint="eastAsia"/>
          <w:kern w:val="0"/>
          <w:sz w:val="32"/>
          <w:szCs w:val="32"/>
        </w:rPr>
        <w:t>「證券商會計制度範本」</w:t>
      </w:r>
      <w:r w:rsidR="00213C3A" w:rsidRPr="000C5451">
        <w:rPr>
          <w:rFonts w:ascii="標楷體" w:eastAsia="標楷體" w:hAnsi="標楷體" w:cs="DFKaiShu-SB-Estd-BF" w:hint="eastAsia"/>
          <w:kern w:val="0"/>
          <w:sz w:val="32"/>
          <w:szCs w:val="32"/>
        </w:rPr>
        <w:t>第四次</w:t>
      </w:r>
      <w:r w:rsidRPr="000C5451">
        <w:rPr>
          <w:rFonts w:ascii="標楷體" w:eastAsia="標楷體" w:hAnsi="標楷體" w:cs="DFKaiShu-SB-Estd-BF" w:hint="eastAsia"/>
          <w:kern w:val="0"/>
          <w:sz w:val="32"/>
          <w:szCs w:val="32"/>
        </w:rPr>
        <w:t>修訂總說明</w:t>
      </w:r>
    </w:p>
    <w:p w:rsidR="00D62D6F" w:rsidRPr="000C5451" w:rsidRDefault="00B86C4F" w:rsidP="00600C1C">
      <w:pPr>
        <w:pStyle w:val="ac"/>
        <w:rPr>
          <w:snapToGrid w:val="0"/>
          <w:color w:val="000000"/>
        </w:rPr>
      </w:pPr>
      <w:r w:rsidRPr="000C5451">
        <w:rPr>
          <w:rFonts w:ascii="標楷體" w:hAnsi="標楷體" w:hint="eastAsia"/>
          <w:color w:val="000000"/>
        </w:rPr>
        <w:t>證券商會計制度範本自九十二年三月公布，歷經三次修正，為</w:t>
      </w:r>
      <w:r w:rsidRPr="000C5451">
        <w:rPr>
          <w:rFonts w:hint="eastAsia"/>
          <w:snapToGrid w:val="0"/>
          <w:color w:val="000000"/>
        </w:rPr>
        <w:t>配合中央銀行開放證券商辦理涉及新台幣外匯業務及金管會已核准證券商辦理新種業務或現辦理業務之法規修正</w:t>
      </w:r>
      <w:r w:rsidRPr="000C5451">
        <w:rPr>
          <w:rFonts w:ascii="標楷體" w:hAnsi="標楷體" w:hint="eastAsia"/>
          <w:color w:val="000000"/>
        </w:rPr>
        <w:t>，</w:t>
      </w:r>
      <w:proofErr w:type="gramStart"/>
      <w:r w:rsidRPr="000C5451">
        <w:rPr>
          <w:rFonts w:ascii="標楷體" w:hAnsi="標楷體" w:hint="eastAsia"/>
          <w:color w:val="000000"/>
        </w:rPr>
        <w:t>冀藉本</w:t>
      </w:r>
      <w:proofErr w:type="gramEnd"/>
      <w:r w:rsidRPr="000C5451">
        <w:rPr>
          <w:rFonts w:ascii="標楷體" w:hAnsi="標楷體" w:hint="eastAsia"/>
          <w:color w:val="000000"/>
        </w:rPr>
        <w:t>次修改，使證券商相關業務之會計處理有一適切之規範遵循。</w:t>
      </w:r>
    </w:p>
    <w:p w:rsidR="00163F81" w:rsidRPr="000C5451" w:rsidRDefault="00D62D6F" w:rsidP="00163F81">
      <w:pPr>
        <w:pStyle w:val="a3"/>
        <w:numPr>
          <w:ilvl w:val="0"/>
          <w:numId w:val="10"/>
        </w:numPr>
        <w:ind w:leftChars="0"/>
        <w:rPr>
          <w:rFonts w:ascii="標楷體" w:eastAsia="標楷體" w:hAnsi="標楷體"/>
          <w:color w:val="000000"/>
          <w:szCs w:val="24"/>
        </w:rPr>
      </w:pPr>
      <w:r w:rsidRPr="000C5451">
        <w:rPr>
          <w:rFonts w:ascii="標楷體" w:eastAsia="標楷體" w:hAnsi="標楷體" w:hint="eastAsia"/>
          <w:color w:val="000000"/>
          <w:szCs w:val="24"/>
        </w:rPr>
        <w:t>修正內容依據之法令及相關規定如下：</w:t>
      </w:r>
    </w:p>
    <w:p w:rsidR="00DA0ACC" w:rsidRPr="000C5451" w:rsidRDefault="00163F81" w:rsidP="00DA0ACC">
      <w:pPr>
        <w:pStyle w:val="a3"/>
        <w:numPr>
          <w:ilvl w:val="0"/>
          <w:numId w:val="13"/>
        </w:numPr>
        <w:ind w:leftChars="0"/>
        <w:rPr>
          <w:rFonts w:ascii="標楷體" w:eastAsia="標楷體" w:hAnsi="標楷體"/>
          <w:color w:val="000000"/>
          <w:szCs w:val="24"/>
        </w:rPr>
      </w:pPr>
      <w:r w:rsidRPr="000C5451">
        <w:rPr>
          <w:rFonts w:ascii="標楷體" w:eastAsia="標楷體" w:hAnsi="標楷體" w:hint="eastAsia"/>
          <w:color w:val="000000"/>
          <w:szCs w:val="24"/>
        </w:rPr>
        <w:t>依</w:t>
      </w:r>
      <w:r w:rsidRPr="000C5451">
        <w:rPr>
          <w:rFonts w:ascii="Times New Roman" w:eastAsia="標楷體" w:hAnsi="Times New Roman"/>
          <w:color w:val="000000"/>
          <w:szCs w:val="24"/>
        </w:rPr>
        <w:t>106.3.27</w:t>
      </w:r>
      <w:r w:rsidR="00DA0ACC" w:rsidRPr="000C5451">
        <w:rPr>
          <w:rFonts w:ascii="標楷體" w:eastAsia="標楷體" w:hAnsi="標楷體" w:hint="eastAsia"/>
          <w:color w:val="000000"/>
          <w:szCs w:val="24"/>
        </w:rPr>
        <w:t>發布之</w:t>
      </w:r>
      <w:r w:rsidRPr="000C5451">
        <w:rPr>
          <w:rFonts w:ascii="標楷體" w:eastAsia="標楷體" w:hAnsi="標楷體" w:hint="eastAsia"/>
          <w:color w:val="000000"/>
          <w:szCs w:val="24"/>
        </w:rPr>
        <w:t>證券商辦理外匯業務管理辦法</w:t>
      </w:r>
      <w:r w:rsidR="00DA0ACC" w:rsidRPr="000C5451">
        <w:rPr>
          <w:rFonts w:ascii="標楷體" w:eastAsia="標楷體" w:hAnsi="標楷體" w:hint="eastAsia"/>
          <w:color w:val="000000"/>
          <w:szCs w:val="24"/>
        </w:rPr>
        <w:t>訂定</w:t>
      </w:r>
      <w:r w:rsidR="00DA0ACC" w:rsidRPr="000C5451">
        <w:rPr>
          <w:rFonts w:ascii="標楷體" w:eastAsia="標楷體" w:hAnsi="標楷體"/>
          <w:color w:val="000000"/>
          <w:szCs w:val="24"/>
        </w:rPr>
        <w:t>外匯證券商辦理外匯業務之會計處理</w:t>
      </w:r>
      <w:r w:rsidR="006E1FFD" w:rsidRPr="000C5451">
        <w:rPr>
          <w:rFonts w:ascii="標楷體" w:eastAsia="標楷體" w:hAnsi="標楷體" w:hint="eastAsia"/>
          <w:color w:val="000000"/>
          <w:szCs w:val="24"/>
        </w:rPr>
        <w:t>。</w:t>
      </w:r>
    </w:p>
    <w:p w:rsidR="001C0A7C" w:rsidRPr="000C5451" w:rsidRDefault="001C0A7C" w:rsidP="001C0A7C">
      <w:pPr>
        <w:pStyle w:val="a3"/>
        <w:numPr>
          <w:ilvl w:val="0"/>
          <w:numId w:val="13"/>
        </w:numPr>
        <w:ind w:leftChars="0"/>
        <w:rPr>
          <w:rFonts w:ascii="標楷體" w:eastAsia="標楷體" w:hAnsi="標楷體"/>
          <w:color w:val="000000"/>
          <w:szCs w:val="24"/>
        </w:rPr>
      </w:pPr>
      <w:r w:rsidRPr="000C5451">
        <w:rPr>
          <w:rFonts w:ascii="標楷體" w:eastAsia="標楷體" w:hAnsi="標楷體" w:hint="eastAsia"/>
          <w:bCs/>
          <w:color w:val="000000"/>
          <w:szCs w:val="24"/>
        </w:rPr>
        <w:t>依</w:t>
      </w:r>
      <w:r w:rsidRPr="000C5451">
        <w:rPr>
          <w:rFonts w:ascii="Times New Roman" w:eastAsia="標楷體" w:hAnsi="Times New Roman"/>
          <w:bCs/>
          <w:color w:val="000000"/>
          <w:szCs w:val="24"/>
        </w:rPr>
        <w:t>106.01</w:t>
      </w:r>
      <w:r w:rsidRPr="000C5451">
        <w:rPr>
          <w:rFonts w:ascii="Times New Roman" w:eastAsia="標楷體" w:hAnsi="Times New Roman"/>
          <w:bCs/>
          <w:color w:val="000000"/>
          <w:szCs w:val="24"/>
        </w:rPr>
        <w:t>公</w:t>
      </w:r>
      <w:r w:rsidRPr="000C5451">
        <w:rPr>
          <w:rFonts w:ascii="標楷體" w:eastAsia="標楷體" w:hAnsi="標楷體" w:hint="eastAsia"/>
          <w:bCs/>
          <w:color w:val="000000"/>
          <w:szCs w:val="24"/>
        </w:rPr>
        <w:t>告之證券商月計表格式修正</w:t>
      </w:r>
      <w:r w:rsidRPr="000C5451">
        <w:rPr>
          <w:rFonts w:ascii="標楷體" w:eastAsia="標楷體" w:hAnsi="標楷體"/>
          <w:bCs/>
          <w:color w:val="000000"/>
          <w:szCs w:val="24"/>
        </w:rPr>
        <w:t>會計項目及會計處理</w:t>
      </w:r>
      <w:r w:rsidR="006E1FFD" w:rsidRPr="000C5451">
        <w:rPr>
          <w:rFonts w:ascii="標楷體" w:eastAsia="標楷體" w:hAnsi="標楷體" w:hint="eastAsia"/>
          <w:bCs/>
          <w:color w:val="000000"/>
          <w:szCs w:val="24"/>
        </w:rPr>
        <w:t>。</w:t>
      </w:r>
    </w:p>
    <w:p w:rsidR="00D62D6F" w:rsidRPr="000C5451" w:rsidRDefault="001C0A7C" w:rsidP="00600C1C">
      <w:pPr>
        <w:pStyle w:val="a3"/>
        <w:numPr>
          <w:ilvl w:val="0"/>
          <w:numId w:val="13"/>
        </w:numPr>
        <w:ind w:leftChars="0"/>
        <w:rPr>
          <w:rFonts w:ascii="標楷體" w:eastAsia="標楷體" w:hAnsi="標楷體"/>
          <w:bCs/>
          <w:color w:val="000000"/>
          <w:szCs w:val="24"/>
        </w:rPr>
      </w:pPr>
      <w:r w:rsidRPr="000C5451">
        <w:rPr>
          <w:rFonts w:ascii="標楷體" w:eastAsia="標楷體" w:hAnsi="標楷體" w:hint="eastAsia"/>
          <w:bCs/>
          <w:color w:val="000000"/>
          <w:szCs w:val="24"/>
        </w:rPr>
        <w:t>依</w:t>
      </w:r>
      <w:r w:rsidR="00600C1C" w:rsidRPr="000C5451">
        <w:rPr>
          <w:rFonts w:ascii="標楷體" w:eastAsia="標楷體" w:hAnsi="標楷體" w:hint="eastAsia"/>
          <w:snapToGrid w:val="0"/>
          <w:color w:val="000000"/>
        </w:rPr>
        <w:t>前次修改迄今</w:t>
      </w:r>
      <w:r w:rsidRPr="000C5451">
        <w:rPr>
          <w:rFonts w:ascii="標楷體" w:eastAsia="標楷體" w:hAnsi="標楷體" w:hint="eastAsia"/>
          <w:bCs/>
          <w:color w:val="000000"/>
          <w:szCs w:val="24"/>
        </w:rPr>
        <w:t>已</w:t>
      </w:r>
      <w:r w:rsidRPr="000C5451">
        <w:rPr>
          <w:rFonts w:ascii="Times New Roman" w:eastAsia="標楷體" w:hAnsi="Times New Roman"/>
          <w:bCs/>
          <w:color w:val="000000"/>
          <w:szCs w:val="24"/>
        </w:rPr>
        <w:t>核准辦理之新種業務或現辦理業務法規</w:t>
      </w:r>
      <w:r w:rsidR="00600C1C" w:rsidRPr="000C5451">
        <w:rPr>
          <w:rFonts w:ascii="Times New Roman" w:eastAsia="標楷體" w:hAnsi="Times New Roman" w:hint="eastAsia"/>
          <w:bCs/>
          <w:color w:val="000000"/>
          <w:szCs w:val="24"/>
        </w:rPr>
        <w:t>修正</w:t>
      </w:r>
      <w:r w:rsidRPr="000C5451">
        <w:rPr>
          <w:rFonts w:ascii="Times New Roman" w:eastAsia="標楷體" w:hAnsi="Times New Roman"/>
          <w:bCs/>
          <w:color w:val="000000"/>
          <w:szCs w:val="24"/>
        </w:rPr>
        <w:t>會計處理</w:t>
      </w:r>
      <w:r w:rsidR="006E1FFD" w:rsidRPr="000C5451">
        <w:rPr>
          <w:rFonts w:ascii="Times New Roman" w:eastAsia="標楷體" w:hAnsi="Times New Roman" w:hint="eastAsia"/>
          <w:bCs/>
          <w:color w:val="000000"/>
          <w:szCs w:val="24"/>
        </w:rPr>
        <w:t>。</w:t>
      </w:r>
    </w:p>
    <w:p w:rsidR="001C0A7C" w:rsidRPr="000C5451" w:rsidRDefault="001C0A7C" w:rsidP="001C0A7C">
      <w:pPr>
        <w:pStyle w:val="a3"/>
        <w:ind w:leftChars="0"/>
        <w:rPr>
          <w:rFonts w:ascii="標楷體" w:eastAsia="標楷體" w:hAnsi="標楷體"/>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總說明</w:t>
      </w:r>
    </w:p>
    <w:p w:rsidR="006E1FFD" w:rsidRPr="000C5451" w:rsidRDefault="008B2915" w:rsidP="006E1FFD">
      <w:pPr>
        <w:pStyle w:val="a3"/>
        <w:ind w:leftChars="0" w:left="1065"/>
        <w:rPr>
          <w:rFonts w:ascii="標楷體" w:eastAsia="標楷體" w:hAnsi="標楷體"/>
        </w:rPr>
      </w:pPr>
      <w:r w:rsidRPr="000C5451">
        <w:rPr>
          <w:rFonts w:ascii="標楷體" w:eastAsia="標楷體" w:hAnsi="標楷體" w:hint="eastAsia"/>
          <w:snapToGrid w:val="0"/>
          <w:color w:val="000000"/>
        </w:rPr>
        <w:t>配合中央銀行開放證券商辦理涉及新台幣外匯業務及金管會已核准證券商辦理新種業務或現辦理業務之法規修正</w:t>
      </w:r>
      <w:r w:rsidR="00F8466A">
        <w:rPr>
          <w:rFonts w:ascii="標楷體" w:eastAsia="標楷體" w:hAnsi="標楷體" w:hint="eastAsia"/>
          <w:snapToGrid w:val="0"/>
          <w:color w:val="000000"/>
        </w:rPr>
        <w:t>予以</w:t>
      </w:r>
      <w:r w:rsidR="00D62D6F" w:rsidRPr="000C5451">
        <w:rPr>
          <w:rFonts w:eastAsia="標楷體" w:hAnsi="標楷體" w:hint="eastAsia"/>
          <w:color w:val="000000"/>
        </w:rPr>
        <w:t>修改</w:t>
      </w:r>
      <w:r w:rsidR="00D62D6F" w:rsidRPr="000C5451">
        <w:rPr>
          <w:rFonts w:eastAsia="標楷體" w:hint="eastAsia"/>
          <w:color w:val="000000"/>
        </w:rPr>
        <w:t>。</w:t>
      </w:r>
    </w:p>
    <w:p w:rsidR="00D62D6F" w:rsidRPr="000C5451" w:rsidRDefault="00D62D6F" w:rsidP="00B427AB">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會計項目</w:t>
      </w:r>
    </w:p>
    <w:p w:rsidR="00D62D6F" w:rsidRPr="000C5451" w:rsidRDefault="00D62D6F" w:rsidP="00115A32">
      <w:pPr>
        <w:pStyle w:val="a3"/>
        <w:ind w:leftChars="0" w:left="1065"/>
        <w:rPr>
          <w:rFonts w:ascii="標楷體" w:eastAsia="標楷體" w:hAnsi="標楷體"/>
          <w:szCs w:val="24"/>
        </w:rPr>
      </w:pPr>
      <w:r w:rsidRPr="000C5451">
        <w:rPr>
          <w:rFonts w:ascii="標楷體" w:eastAsia="標楷體" w:hAnsi="標楷體" w:hint="eastAsia"/>
          <w:szCs w:val="24"/>
        </w:rPr>
        <w:t>依</w:t>
      </w:r>
      <w:r w:rsidR="006E1FFD" w:rsidRPr="000C5451">
        <w:rPr>
          <w:rFonts w:ascii="Times New Roman" w:eastAsia="標楷體" w:hAnsi="Times New Roman"/>
          <w:bCs/>
          <w:color w:val="000000"/>
          <w:szCs w:val="24"/>
        </w:rPr>
        <w:t>106.01</w:t>
      </w:r>
      <w:r w:rsidR="006E1FFD" w:rsidRPr="000C5451">
        <w:rPr>
          <w:rFonts w:ascii="Times New Roman" w:eastAsia="標楷體" w:hAnsi="Times New Roman"/>
          <w:bCs/>
          <w:color w:val="000000"/>
          <w:szCs w:val="24"/>
        </w:rPr>
        <w:t>公</w:t>
      </w:r>
      <w:r w:rsidR="006E1FFD" w:rsidRPr="000C5451">
        <w:rPr>
          <w:rFonts w:ascii="標楷體" w:eastAsia="標楷體" w:hAnsi="標楷體" w:hint="eastAsia"/>
          <w:bCs/>
          <w:color w:val="000000"/>
          <w:szCs w:val="24"/>
        </w:rPr>
        <w:t>告之證券商月計表格式修正</w:t>
      </w:r>
      <w:r w:rsidR="006E1FFD" w:rsidRPr="000C5451">
        <w:rPr>
          <w:rFonts w:ascii="標楷體" w:eastAsia="標楷體" w:hAnsi="標楷體"/>
          <w:bCs/>
          <w:color w:val="000000"/>
          <w:szCs w:val="24"/>
        </w:rPr>
        <w:t>會計項目</w:t>
      </w:r>
      <w:r w:rsidR="006E1FFD" w:rsidRPr="000C5451">
        <w:rPr>
          <w:rFonts w:ascii="新細明體" w:hAnsi="新細明體" w:hint="eastAsia"/>
          <w:bCs/>
          <w:color w:val="000000"/>
          <w:szCs w:val="24"/>
        </w:rPr>
        <w:t>、</w:t>
      </w:r>
      <w:r w:rsidR="00E23BB2" w:rsidRPr="000C5451">
        <w:rPr>
          <w:rFonts w:ascii="標楷體" w:eastAsia="標楷體" w:hAnsi="標楷體" w:hint="eastAsia"/>
          <w:bCs/>
          <w:color w:val="000000"/>
          <w:szCs w:val="24"/>
        </w:rPr>
        <w:t>編號及說明</w:t>
      </w:r>
      <w:r w:rsidRPr="000C5451">
        <w:rPr>
          <w:rFonts w:ascii="標楷體" w:eastAsia="標楷體" w:hAnsi="標楷體" w:hint="eastAsia"/>
          <w:szCs w:val="24"/>
        </w:rPr>
        <w:t>。</w:t>
      </w:r>
    </w:p>
    <w:p w:rsidR="00D62D6F" w:rsidRPr="000C5451" w:rsidRDefault="00D62D6F" w:rsidP="006E6352">
      <w:pPr>
        <w:pStyle w:val="a3"/>
        <w:numPr>
          <w:ilvl w:val="0"/>
          <w:numId w:val="9"/>
        </w:numPr>
        <w:tabs>
          <w:tab w:val="clear" w:pos="340"/>
          <w:tab w:val="num" w:pos="1405"/>
        </w:tabs>
        <w:ind w:leftChars="0" w:left="1405"/>
        <w:rPr>
          <w:rFonts w:ascii="Times New Roman" w:eastAsia="標楷體" w:hAnsi="標楷體"/>
          <w:color w:val="000000"/>
          <w:szCs w:val="24"/>
        </w:rPr>
      </w:pPr>
      <w:r w:rsidRPr="000C5451">
        <w:rPr>
          <w:rFonts w:ascii="Times New Roman" w:eastAsia="標楷體" w:hAnsi="標楷體" w:hint="eastAsia"/>
          <w:color w:val="000000"/>
          <w:szCs w:val="24"/>
        </w:rPr>
        <w:t>會計項目因</w:t>
      </w:r>
      <w:r w:rsidR="000954FB" w:rsidRPr="000C5451">
        <w:rPr>
          <w:rFonts w:ascii="標楷體" w:eastAsia="標楷體" w:hAnsi="標楷體" w:hint="eastAsia"/>
          <w:snapToGrid w:val="0"/>
          <w:color w:val="000000"/>
        </w:rPr>
        <w:t>配合中央銀行開放證券商辦理涉及新台幣外匯業務而予以增修。</w:t>
      </w:r>
    </w:p>
    <w:p w:rsidR="000954FB" w:rsidRPr="000C5451" w:rsidRDefault="000954FB" w:rsidP="000954FB">
      <w:pPr>
        <w:pStyle w:val="a3"/>
        <w:numPr>
          <w:ilvl w:val="0"/>
          <w:numId w:val="9"/>
        </w:numPr>
        <w:tabs>
          <w:tab w:val="clear" w:pos="340"/>
          <w:tab w:val="num" w:pos="1405"/>
        </w:tabs>
        <w:ind w:leftChars="0" w:left="1405"/>
        <w:rPr>
          <w:rFonts w:ascii="Times New Roman" w:eastAsia="標楷體" w:hAnsi="標楷體"/>
          <w:color w:val="000000"/>
          <w:szCs w:val="24"/>
        </w:rPr>
      </w:pPr>
      <w:r w:rsidRPr="000C5451">
        <w:rPr>
          <w:rFonts w:ascii="Times New Roman" w:eastAsia="標楷體" w:hAnsi="標楷體" w:hint="eastAsia"/>
          <w:color w:val="000000"/>
          <w:szCs w:val="24"/>
        </w:rPr>
        <w:t>會計項目因</w:t>
      </w:r>
      <w:r w:rsidRPr="000C5451">
        <w:rPr>
          <w:rFonts w:ascii="標楷體" w:eastAsia="標楷體" w:hAnsi="標楷體" w:hint="eastAsia"/>
          <w:snapToGrid w:val="0"/>
          <w:color w:val="000000"/>
        </w:rPr>
        <w:t>配合金管會已核准證券商辦理新種業務或現辦理業務之法規修正而予以增修。</w:t>
      </w:r>
    </w:p>
    <w:p w:rsidR="000954FB" w:rsidRPr="000C5451" w:rsidRDefault="000954FB" w:rsidP="000954FB">
      <w:pPr>
        <w:pStyle w:val="a3"/>
        <w:numPr>
          <w:ilvl w:val="0"/>
          <w:numId w:val="9"/>
        </w:numPr>
        <w:tabs>
          <w:tab w:val="clear" w:pos="340"/>
          <w:tab w:val="num" w:pos="1405"/>
        </w:tabs>
        <w:ind w:leftChars="0" w:left="1405"/>
        <w:rPr>
          <w:rFonts w:ascii="Times New Roman" w:eastAsia="標楷體" w:hAnsi="Times New Roman"/>
          <w:color w:val="000000"/>
          <w:szCs w:val="24"/>
        </w:rPr>
      </w:pPr>
      <w:r w:rsidRPr="000C5451">
        <w:rPr>
          <w:rFonts w:ascii="標楷體" w:eastAsia="標楷體" w:hAnsi="標楷體" w:hint="eastAsia"/>
          <w:snapToGrid w:val="0"/>
          <w:color w:val="000000"/>
        </w:rPr>
        <w:t>會計項目因應適用</w:t>
      </w:r>
      <w:r w:rsidRPr="000C5451">
        <w:rPr>
          <w:rFonts w:ascii="Times New Roman" w:eastAsia="標楷體" w:hAnsi="Times New Roman"/>
          <w:snapToGrid w:val="0"/>
          <w:color w:val="000000"/>
        </w:rPr>
        <w:t>2013</w:t>
      </w:r>
      <w:r w:rsidRPr="000C5451">
        <w:rPr>
          <w:rFonts w:ascii="Times New Roman" w:eastAsia="標楷體" w:hAnsi="Times New Roman" w:hint="eastAsia"/>
          <w:snapToGrid w:val="0"/>
          <w:color w:val="000000"/>
        </w:rPr>
        <w:t>年版</w:t>
      </w:r>
      <w:r w:rsidRPr="000C5451">
        <w:rPr>
          <w:rFonts w:ascii="Times New Roman" w:eastAsia="標楷體" w:hAnsi="Times New Roman"/>
          <w:snapToGrid w:val="0"/>
          <w:color w:val="000000"/>
        </w:rPr>
        <w:t>IFRS</w:t>
      </w:r>
      <w:r w:rsidRPr="000C5451">
        <w:rPr>
          <w:rFonts w:ascii="Times New Roman" w:eastAsia="標楷體" w:hAnsi="Times New Roman" w:hint="eastAsia"/>
          <w:snapToGrid w:val="0"/>
          <w:color w:val="000000"/>
        </w:rPr>
        <w:t>而予以增修。</w:t>
      </w:r>
    </w:p>
    <w:p w:rsidR="000954FB" w:rsidRPr="000C5451" w:rsidRDefault="000954FB" w:rsidP="000954FB">
      <w:pPr>
        <w:ind w:left="1065"/>
        <w:rPr>
          <w:rFonts w:ascii="Times New Roman" w:eastAsia="標楷體" w:hAnsi="標楷體"/>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會計憑證</w:t>
      </w:r>
    </w:p>
    <w:p w:rsidR="00D62D6F" w:rsidRPr="000C5451" w:rsidRDefault="006E1FFD" w:rsidP="00115A32">
      <w:pPr>
        <w:pStyle w:val="a3"/>
        <w:ind w:leftChars="0" w:left="1065"/>
        <w:rPr>
          <w:rFonts w:eastAsia="標楷體"/>
          <w:color w:val="000000"/>
        </w:rPr>
      </w:pPr>
      <w:r w:rsidRPr="000C5451">
        <w:rPr>
          <w:rFonts w:eastAsia="標楷體" w:hint="eastAsia"/>
          <w:color w:val="000000"/>
        </w:rPr>
        <w:t>未</w:t>
      </w:r>
      <w:r w:rsidR="00D62D6F" w:rsidRPr="000C5451">
        <w:rPr>
          <w:rFonts w:eastAsia="標楷體" w:hint="eastAsia"/>
          <w:color w:val="000000"/>
        </w:rPr>
        <w:t>修改。</w:t>
      </w:r>
    </w:p>
    <w:p w:rsidR="000954FB" w:rsidRPr="000C5451" w:rsidRDefault="000954FB" w:rsidP="00115A32">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會計簿籍</w:t>
      </w:r>
    </w:p>
    <w:p w:rsidR="00D62D6F" w:rsidRPr="000C5451" w:rsidRDefault="006E1FFD" w:rsidP="00115A32">
      <w:pPr>
        <w:pStyle w:val="a3"/>
        <w:ind w:leftChars="0" w:left="1065"/>
        <w:rPr>
          <w:rFonts w:eastAsia="標楷體"/>
          <w:color w:val="000000"/>
        </w:rPr>
      </w:pPr>
      <w:r w:rsidRPr="000C5451">
        <w:rPr>
          <w:rFonts w:ascii="標楷體" w:eastAsia="標楷體" w:hAnsi="標楷體" w:hint="eastAsia"/>
          <w:szCs w:val="24"/>
        </w:rPr>
        <w:t>未</w:t>
      </w:r>
      <w:r w:rsidR="00D62D6F" w:rsidRPr="000C5451">
        <w:rPr>
          <w:rFonts w:eastAsia="標楷體" w:hint="eastAsia"/>
          <w:color w:val="000000"/>
        </w:rPr>
        <w:t>修改。</w:t>
      </w:r>
    </w:p>
    <w:p w:rsidR="000954FB" w:rsidRPr="000C5451" w:rsidRDefault="000954FB" w:rsidP="00115A32">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會計報告</w:t>
      </w:r>
    </w:p>
    <w:p w:rsidR="00D62D6F" w:rsidRPr="000C5451" w:rsidRDefault="000954FB" w:rsidP="00CE3FDF">
      <w:pPr>
        <w:pStyle w:val="a3"/>
        <w:ind w:leftChars="0" w:left="1065"/>
        <w:jc w:val="both"/>
        <w:rPr>
          <w:rFonts w:eastAsia="標楷體"/>
          <w:color w:val="000000"/>
        </w:rPr>
      </w:pPr>
      <w:r w:rsidRPr="000C5451">
        <w:rPr>
          <w:rFonts w:ascii="標楷體" w:eastAsia="標楷體" w:hAnsi="標楷體" w:hint="eastAsia"/>
          <w:szCs w:val="24"/>
        </w:rPr>
        <w:t>依</w:t>
      </w:r>
      <w:r w:rsidRPr="000C5451">
        <w:rPr>
          <w:rFonts w:ascii="Times New Roman" w:eastAsia="標楷體" w:hAnsi="Times New Roman"/>
          <w:bCs/>
          <w:color w:val="000000"/>
          <w:szCs w:val="24"/>
        </w:rPr>
        <w:t>106.01</w:t>
      </w:r>
      <w:r w:rsidRPr="000C5451">
        <w:rPr>
          <w:rFonts w:ascii="Times New Roman" w:eastAsia="標楷體" w:hAnsi="Times New Roman"/>
          <w:bCs/>
          <w:color w:val="000000"/>
          <w:szCs w:val="24"/>
        </w:rPr>
        <w:t>公</w:t>
      </w:r>
      <w:r w:rsidRPr="000C5451">
        <w:rPr>
          <w:rFonts w:ascii="標楷體" w:eastAsia="標楷體" w:hAnsi="標楷體" w:hint="eastAsia"/>
          <w:bCs/>
          <w:color w:val="000000"/>
          <w:szCs w:val="24"/>
        </w:rPr>
        <w:t>告之證券商月計表格式修正</w:t>
      </w:r>
      <w:r w:rsidR="00F8466A">
        <w:rPr>
          <w:rFonts w:ascii="標楷體" w:eastAsia="標楷體" w:hAnsi="標楷體" w:hint="eastAsia"/>
          <w:bCs/>
          <w:color w:val="000000"/>
          <w:szCs w:val="24"/>
        </w:rPr>
        <w:t>之</w:t>
      </w:r>
      <w:r w:rsidRPr="000C5451">
        <w:rPr>
          <w:rFonts w:ascii="標楷體" w:eastAsia="標楷體" w:hAnsi="標楷體"/>
          <w:bCs/>
          <w:color w:val="000000"/>
          <w:szCs w:val="24"/>
        </w:rPr>
        <w:t>會計項目</w:t>
      </w:r>
      <w:r w:rsidR="00F8466A">
        <w:rPr>
          <w:rFonts w:ascii="標楷體" w:eastAsia="標楷體" w:hAnsi="標楷體" w:hint="eastAsia"/>
          <w:bCs/>
          <w:color w:val="000000"/>
          <w:szCs w:val="24"/>
        </w:rPr>
        <w:t>予以</w:t>
      </w:r>
      <w:r w:rsidR="00D62D6F" w:rsidRPr="000C5451">
        <w:rPr>
          <w:rFonts w:ascii="Times New Roman" w:eastAsia="標楷體" w:hAnsi="標楷體" w:hint="eastAsia"/>
          <w:color w:val="000000"/>
          <w:szCs w:val="24"/>
        </w:rPr>
        <w:t>修</w:t>
      </w:r>
      <w:r w:rsidR="00D62D6F" w:rsidRPr="000C5451">
        <w:rPr>
          <w:rFonts w:ascii="標楷體" w:eastAsia="標楷體" w:hAnsi="標楷體" w:hint="eastAsia"/>
          <w:szCs w:val="24"/>
        </w:rPr>
        <w:t>訂財務</w:t>
      </w:r>
      <w:r w:rsidR="00D62D6F" w:rsidRPr="000C5451">
        <w:rPr>
          <w:rFonts w:ascii="Times New Roman" w:eastAsia="標楷體" w:hAnsi="標楷體" w:hint="eastAsia"/>
          <w:color w:val="000000"/>
          <w:szCs w:val="24"/>
        </w:rPr>
        <w:t>報表內容</w:t>
      </w:r>
      <w:r w:rsidR="00D62D6F" w:rsidRPr="000C5451">
        <w:rPr>
          <w:rFonts w:eastAsia="標楷體" w:hint="eastAsia"/>
          <w:color w:val="000000"/>
        </w:rPr>
        <w:t>。</w:t>
      </w:r>
    </w:p>
    <w:p w:rsidR="000954FB" w:rsidRPr="000C5451" w:rsidRDefault="000954FB" w:rsidP="00CE3FDF">
      <w:pPr>
        <w:pStyle w:val="a3"/>
        <w:ind w:leftChars="0" w:left="1065"/>
        <w:jc w:val="both"/>
        <w:rPr>
          <w:rFonts w:ascii="Times New Roman" w:eastAsia="標楷體" w:hAnsi="Times New Roman"/>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會計事務處理準則</w:t>
      </w:r>
    </w:p>
    <w:p w:rsidR="00D62D6F" w:rsidRPr="000C5451" w:rsidRDefault="00D62D6F" w:rsidP="000954FB">
      <w:pPr>
        <w:pStyle w:val="a3"/>
        <w:ind w:leftChars="0" w:left="1065"/>
        <w:rPr>
          <w:rFonts w:eastAsia="標楷體"/>
          <w:color w:val="000000"/>
        </w:rPr>
      </w:pPr>
      <w:r w:rsidRPr="000C5451">
        <w:rPr>
          <w:rFonts w:ascii="標楷體" w:eastAsia="標楷體" w:hAnsi="標楷體" w:hint="eastAsia"/>
          <w:szCs w:val="24"/>
        </w:rPr>
        <w:t>依現行法令、</w:t>
      </w:r>
      <w:r w:rsidRPr="000C5451">
        <w:rPr>
          <w:rFonts w:ascii="Times New Roman" w:eastAsia="標楷體" w:hAnsi="標楷體" w:hint="eastAsia"/>
          <w:color w:val="000000"/>
          <w:szCs w:val="24"/>
        </w:rPr>
        <w:t>證券商財務報告編製準則</w:t>
      </w:r>
      <w:r w:rsidRPr="000C5451">
        <w:rPr>
          <w:rFonts w:ascii="標楷體" w:eastAsia="標楷體" w:hAnsi="標楷體" w:hint="eastAsia"/>
          <w:szCs w:val="24"/>
        </w:rPr>
        <w:t>、</w:t>
      </w:r>
      <w:r w:rsidR="000954FB" w:rsidRPr="000C5451">
        <w:rPr>
          <w:rFonts w:ascii="標楷體" w:eastAsia="標楷體" w:hAnsi="標楷體" w:hint="eastAsia"/>
          <w:szCs w:val="24"/>
        </w:rPr>
        <w:t>國際財務會計準則及國際財務報導準則修改相關規定</w:t>
      </w:r>
      <w:r w:rsidRPr="000C5451">
        <w:rPr>
          <w:rFonts w:eastAsia="標楷體" w:hint="eastAsia"/>
          <w:color w:val="000000"/>
        </w:rPr>
        <w:t>。</w:t>
      </w:r>
    </w:p>
    <w:p w:rsidR="000954FB" w:rsidRPr="000C5451" w:rsidRDefault="000954FB" w:rsidP="000954FB">
      <w:pPr>
        <w:pStyle w:val="a3"/>
        <w:ind w:leftChars="0" w:left="1065"/>
        <w:rPr>
          <w:rFonts w:ascii="標楷體" w:eastAsia="標楷體" w:hAnsi="標楷體"/>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lastRenderedPageBreak/>
        <w:t>會計事務處理程序</w:t>
      </w:r>
    </w:p>
    <w:p w:rsidR="00D62D6F" w:rsidRPr="000C5451" w:rsidRDefault="00D62D6F" w:rsidP="00C66D48">
      <w:pPr>
        <w:pStyle w:val="a3"/>
        <w:ind w:leftChars="0" w:left="1065"/>
        <w:rPr>
          <w:rFonts w:ascii="標楷體" w:eastAsia="標楷體" w:hAnsi="標楷體"/>
          <w:szCs w:val="24"/>
        </w:rPr>
      </w:pPr>
      <w:r w:rsidRPr="000C5451">
        <w:rPr>
          <w:rFonts w:ascii="標楷體" w:eastAsia="標楷體" w:hAnsi="標楷體" w:hint="eastAsia"/>
          <w:szCs w:val="24"/>
        </w:rPr>
        <w:t>依據下列法令及解釋函令更新相關規定：</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出售證券收入及成本以淨額列示處分營業證券淨損益。</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證券交易所營業細則異動</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105</w:t>
      </w:r>
      <w:r w:rsidRPr="000C5451">
        <w:rPr>
          <w:rFonts w:ascii="Times New Roman" w:eastAsia="標楷體" w:hAnsi="標楷體" w:hint="eastAsia"/>
          <w:color w:val="000000"/>
          <w:szCs w:val="24"/>
        </w:rPr>
        <w:t>年</w:t>
      </w:r>
      <w:r w:rsidRPr="000C5451">
        <w:rPr>
          <w:rFonts w:ascii="Times New Roman" w:eastAsia="標楷體" w:hAnsi="標楷體" w:hint="eastAsia"/>
          <w:color w:val="000000"/>
          <w:szCs w:val="24"/>
        </w:rPr>
        <w:t>1</w:t>
      </w:r>
      <w:r w:rsidRPr="000C5451">
        <w:rPr>
          <w:rFonts w:ascii="Times New Roman" w:eastAsia="標楷體" w:hAnsi="標楷體" w:hint="eastAsia"/>
          <w:color w:val="000000"/>
          <w:szCs w:val="24"/>
        </w:rPr>
        <w:t>月開始實施競價拍賣配售制度，增訂承銷新制</w:t>
      </w:r>
      <w:r w:rsidRPr="000C5451">
        <w:rPr>
          <w:rFonts w:ascii="Times New Roman" w:eastAsia="標楷體" w:hAnsi="標楷體"/>
          <w:color w:val="000000"/>
          <w:szCs w:val="24"/>
        </w:rPr>
        <w:t>(</w:t>
      </w:r>
      <w:r w:rsidRPr="000C5451">
        <w:rPr>
          <w:rFonts w:ascii="Times New Roman" w:eastAsia="標楷體" w:hAnsi="標楷體" w:hint="eastAsia"/>
          <w:color w:val="000000"/>
          <w:szCs w:val="24"/>
        </w:rPr>
        <w:t>競價拍賣</w:t>
      </w:r>
      <w:r w:rsidRPr="000C5451">
        <w:rPr>
          <w:rFonts w:ascii="Times New Roman" w:eastAsia="標楷體" w:hAnsi="標楷體"/>
          <w:color w:val="000000"/>
          <w:szCs w:val="24"/>
        </w:rPr>
        <w:t>)</w:t>
      </w:r>
      <w:r w:rsidRPr="000C5451">
        <w:rPr>
          <w:rFonts w:ascii="Times New Roman" w:eastAsia="標楷體" w:hAnsi="標楷體" w:hint="eastAsia"/>
          <w:color w:val="000000"/>
          <w:szCs w:val="24"/>
        </w:rPr>
        <w:t>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color w:val="000000"/>
          <w:szCs w:val="24"/>
        </w:rPr>
        <w:t>105</w:t>
      </w:r>
      <w:r w:rsidR="00F8466A">
        <w:rPr>
          <w:rFonts w:ascii="Times New Roman" w:eastAsia="標楷體" w:hAnsi="標楷體" w:hint="eastAsia"/>
          <w:color w:val="000000"/>
          <w:szCs w:val="24"/>
        </w:rPr>
        <w:t>.</w:t>
      </w:r>
      <w:r w:rsidRPr="000C5451">
        <w:rPr>
          <w:rFonts w:ascii="Times New Roman" w:eastAsia="標楷體" w:hAnsi="標楷體"/>
          <w:color w:val="000000"/>
          <w:szCs w:val="24"/>
        </w:rPr>
        <w:t>12</w:t>
      </w:r>
      <w:r w:rsidR="00F8466A">
        <w:rPr>
          <w:rFonts w:ascii="Times New Roman" w:eastAsia="標楷體" w:hAnsi="標楷體" w:hint="eastAsia"/>
          <w:color w:val="000000"/>
          <w:szCs w:val="24"/>
        </w:rPr>
        <w:t>.</w:t>
      </w:r>
      <w:r w:rsidRPr="000C5451">
        <w:rPr>
          <w:rFonts w:ascii="Times New Roman" w:eastAsia="標楷體" w:hAnsi="標楷體"/>
          <w:color w:val="000000"/>
          <w:szCs w:val="24"/>
        </w:rPr>
        <w:t>16</w:t>
      </w:r>
      <w:bookmarkStart w:id="0" w:name="_GoBack"/>
      <w:bookmarkEnd w:id="0"/>
      <w:r w:rsidRPr="000C5451">
        <w:rPr>
          <w:rFonts w:ascii="Times New Roman" w:eastAsia="標楷體" w:hAnsi="標楷體" w:hint="eastAsia"/>
          <w:color w:val="000000"/>
          <w:szCs w:val="24"/>
        </w:rPr>
        <w:t>修正之期貨商調整後淨資本額計算方式及計算表與附表格式。</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104.11.02</w:t>
      </w:r>
      <w:r w:rsidRPr="000C5451">
        <w:rPr>
          <w:rFonts w:ascii="Times New Roman" w:eastAsia="標楷體" w:hAnsi="標楷體" w:hint="eastAsia"/>
          <w:color w:val="000000"/>
          <w:szCs w:val="24"/>
        </w:rPr>
        <w:t>金管證券字第</w:t>
      </w:r>
      <w:r w:rsidRPr="000C5451">
        <w:rPr>
          <w:rFonts w:ascii="Times New Roman" w:eastAsia="標楷體" w:hAnsi="標楷體" w:hint="eastAsia"/>
          <w:color w:val="000000"/>
          <w:szCs w:val="24"/>
        </w:rPr>
        <w:t>1040042134</w:t>
      </w:r>
      <w:r w:rsidRPr="000C5451">
        <w:rPr>
          <w:rFonts w:ascii="Times New Roman" w:eastAsia="標楷體" w:hAnsi="標楷體" w:hint="eastAsia"/>
          <w:color w:val="000000"/>
          <w:szCs w:val="24"/>
        </w:rPr>
        <w:t>號函修正「證券商辦理有價證券借貸管理辦法」，擴大證券商辦理有價證券借貸業務之</w:t>
      </w:r>
      <w:proofErr w:type="gramStart"/>
      <w:r w:rsidRPr="000C5451">
        <w:rPr>
          <w:rFonts w:ascii="Times New Roman" w:eastAsia="標楷體" w:hAnsi="標楷體" w:hint="eastAsia"/>
          <w:color w:val="000000"/>
          <w:szCs w:val="24"/>
        </w:rPr>
        <w:t>券</w:t>
      </w:r>
      <w:proofErr w:type="gramEnd"/>
      <w:r w:rsidRPr="000C5451">
        <w:rPr>
          <w:rFonts w:ascii="Times New Roman" w:eastAsia="標楷體" w:hAnsi="標楷體" w:hint="eastAsia"/>
          <w:color w:val="000000"/>
          <w:szCs w:val="24"/>
        </w:rPr>
        <w:t>源，而修改借</w:t>
      </w:r>
      <w:proofErr w:type="gramStart"/>
      <w:r w:rsidRPr="000C5451">
        <w:rPr>
          <w:rFonts w:ascii="Times New Roman" w:eastAsia="標楷體" w:hAnsi="標楷體" w:hint="eastAsia"/>
          <w:color w:val="000000"/>
          <w:szCs w:val="24"/>
        </w:rPr>
        <w:t>券</w:t>
      </w:r>
      <w:proofErr w:type="gramEnd"/>
      <w:r w:rsidRPr="000C5451">
        <w:rPr>
          <w:rFonts w:ascii="Times New Roman" w:eastAsia="標楷體" w:hAnsi="標楷體" w:hint="eastAsia"/>
          <w:color w:val="000000"/>
          <w:szCs w:val="24"/>
        </w:rPr>
        <w:t>交易會計處理。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color w:val="000000"/>
          <w:szCs w:val="24"/>
        </w:rPr>
        <w:t>106</w:t>
      </w:r>
      <w:r w:rsidRPr="000C5451">
        <w:rPr>
          <w:rFonts w:ascii="Times New Roman" w:eastAsia="標楷體" w:hAnsi="標楷體" w:hint="eastAsia"/>
          <w:color w:val="000000"/>
          <w:szCs w:val="24"/>
        </w:rPr>
        <w:t>年</w:t>
      </w:r>
      <w:r w:rsidRPr="000C5451">
        <w:rPr>
          <w:rFonts w:ascii="Times New Roman" w:eastAsia="標楷體" w:hAnsi="標楷體" w:hint="eastAsia"/>
          <w:color w:val="000000"/>
          <w:szCs w:val="24"/>
        </w:rPr>
        <w:t>1</w:t>
      </w:r>
      <w:r w:rsidRPr="000C5451">
        <w:rPr>
          <w:rFonts w:ascii="Times New Roman" w:eastAsia="標楷體" w:hAnsi="標楷體" w:hint="eastAsia"/>
          <w:color w:val="000000"/>
          <w:szCs w:val="24"/>
        </w:rPr>
        <w:t>月公告之證券商月計表格式修正會計項目。</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105.01.18</w:t>
      </w:r>
      <w:r w:rsidRPr="000C5451">
        <w:rPr>
          <w:rFonts w:ascii="Times New Roman" w:eastAsia="標楷體" w:hAnsi="標楷體" w:hint="eastAsia"/>
          <w:color w:val="000000"/>
          <w:szCs w:val="24"/>
        </w:rPr>
        <w:t>金管證券字第</w:t>
      </w:r>
      <w:r w:rsidRPr="000C5451">
        <w:rPr>
          <w:rFonts w:ascii="Times New Roman" w:eastAsia="標楷體" w:hAnsi="標楷體" w:hint="eastAsia"/>
          <w:color w:val="000000"/>
          <w:szCs w:val="24"/>
        </w:rPr>
        <w:t>1040053607</w:t>
      </w:r>
      <w:r w:rsidRPr="000C5451">
        <w:rPr>
          <w:rFonts w:ascii="Times New Roman" w:eastAsia="標楷體" w:hAnsi="標楷體" w:hint="eastAsia"/>
          <w:color w:val="000000"/>
          <w:szCs w:val="24"/>
        </w:rPr>
        <w:t>號函開放證券商辦理不限用途款項借貸業務，增訂證券商辦理不限用途款項借貸業務之會計處理。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103.12.17</w:t>
      </w:r>
      <w:r w:rsidRPr="000C5451">
        <w:rPr>
          <w:rFonts w:ascii="Times New Roman" w:eastAsia="標楷體" w:hAnsi="標楷體"/>
          <w:color w:val="000000"/>
          <w:szCs w:val="24"/>
        </w:rPr>
        <w:t>金管證券字第</w:t>
      </w:r>
      <w:r w:rsidRPr="000C5451">
        <w:rPr>
          <w:rFonts w:ascii="Times New Roman" w:eastAsia="標楷體" w:hAnsi="標楷體"/>
          <w:color w:val="000000"/>
          <w:szCs w:val="24"/>
        </w:rPr>
        <w:t>10300445831</w:t>
      </w:r>
      <w:r w:rsidRPr="000C5451">
        <w:rPr>
          <w:rFonts w:ascii="Times New Roman" w:eastAsia="標楷體" w:hAnsi="標楷體"/>
          <w:color w:val="000000"/>
          <w:szCs w:val="24"/>
        </w:rPr>
        <w:t>號</w:t>
      </w:r>
      <w:r w:rsidRPr="000C5451">
        <w:rPr>
          <w:rFonts w:ascii="Times New Roman" w:eastAsia="標楷體" w:hAnsi="標楷體" w:hint="eastAsia"/>
          <w:color w:val="000000"/>
          <w:szCs w:val="24"/>
        </w:rPr>
        <w:t>函開放證券商得辦理自行買賣及受託買賣黃金現貨交易業務，增訂證券商黃金現貨交易業務之會計處理。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104</w:t>
      </w:r>
      <w:r w:rsidR="00F8466A">
        <w:rPr>
          <w:rFonts w:ascii="Times New Roman" w:eastAsia="標楷體" w:hAnsi="標楷體" w:hint="eastAsia"/>
          <w:color w:val="000000"/>
          <w:szCs w:val="24"/>
        </w:rPr>
        <w:t>.06.0</w:t>
      </w:r>
      <w:r w:rsidRPr="000C5451">
        <w:rPr>
          <w:rFonts w:ascii="Times New Roman" w:eastAsia="標楷體" w:hAnsi="標楷體" w:hint="eastAsia"/>
          <w:color w:val="000000"/>
          <w:szCs w:val="24"/>
        </w:rPr>
        <w:t>4</w:t>
      </w:r>
      <w:r w:rsidRPr="000C5451">
        <w:rPr>
          <w:rFonts w:ascii="Times New Roman" w:eastAsia="標楷體" w:hAnsi="標楷體" w:hint="eastAsia"/>
          <w:color w:val="000000"/>
          <w:szCs w:val="24"/>
        </w:rPr>
        <w:t>訂定之</w:t>
      </w:r>
      <w:r w:rsidRPr="000C5451">
        <w:rPr>
          <w:rFonts w:ascii="標楷體" w:eastAsia="標楷體" w:hAnsi="標楷體" w:hint="eastAsia"/>
          <w:color w:val="000000"/>
          <w:szCs w:val="24"/>
        </w:rPr>
        <w:t>「</w:t>
      </w:r>
      <w:r w:rsidRPr="000C5451">
        <w:rPr>
          <w:rFonts w:ascii="Times New Roman" w:eastAsia="標楷體" w:hAnsi="標楷體"/>
          <w:color w:val="000000"/>
          <w:szCs w:val="24"/>
        </w:rPr>
        <w:t>證券商交割專戶設置客戶分戶帳作業要點</w:t>
      </w:r>
      <w:r w:rsidRPr="000C5451">
        <w:rPr>
          <w:rFonts w:ascii="Times New Roman" w:eastAsia="標楷體" w:hAnsi="標楷體" w:hint="eastAsia"/>
          <w:color w:val="000000"/>
          <w:szCs w:val="24"/>
        </w:rPr>
        <w:t>」，增訂證券</w:t>
      </w:r>
      <w:proofErr w:type="gramStart"/>
      <w:r w:rsidRPr="000C5451">
        <w:rPr>
          <w:rFonts w:ascii="Times New Roman" w:eastAsia="標楷體" w:hAnsi="標楷體" w:hint="eastAsia"/>
          <w:color w:val="000000"/>
          <w:szCs w:val="24"/>
        </w:rPr>
        <w:t>商專戶分戶</w:t>
      </w:r>
      <w:proofErr w:type="gramEnd"/>
      <w:r w:rsidRPr="000C5451">
        <w:rPr>
          <w:rFonts w:ascii="Times New Roman" w:eastAsia="標楷體" w:hAnsi="標楷體" w:hint="eastAsia"/>
          <w:color w:val="000000"/>
          <w:szCs w:val="24"/>
        </w:rPr>
        <w:t>帳業務之會計處理。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新增訂信託財富管理之會計處理。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新增訂</w:t>
      </w:r>
      <w:proofErr w:type="gramStart"/>
      <w:r w:rsidRPr="000C5451">
        <w:rPr>
          <w:rFonts w:ascii="Times New Roman" w:eastAsia="標楷體" w:hAnsi="標楷體" w:hint="eastAsia"/>
          <w:color w:val="000000"/>
          <w:szCs w:val="24"/>
        </w:rPr>
        <w:t>複</w:t>
      </w:r>
      <w:proofErr w:type="gramEnd"/>
      <w:r w:rsidRPr="000C5451">
        <w:rPr>
          <w:rFonts w:ascii="Times New Roman" w:eastAsia="標楷體" w:hAnsi="標楷體" w:hint="eastAsia"/>
          <w:color w:val="000000"/>
          <w:szCs w:val="24"/>
        </w:rPr>
        <w:t>委託業務之會計處理。</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106</w:t>
      </w:r>
      <w:r w:rsidR="00F8466A">
        <w:rPr>
          <w:rFonts w:ascii="Times New Roman" w:eastAsia="標楷體" w:hAnsi="標楷體" w:hint="eastAsia"/>
          <w:color w:val="000000"/>
          <w:szCs w:val="24"/>
        </w:rPr>
        <w:t>.0</w:t>
      </w:r>
      <w:r w:rsidRPr="000C5451">
        <w:rPr>
          <w:rFonts w:ascii="Times New Roman" w:eastAsia="標楷體" w:hAnsi="標楷體" w:hint="eastAsia"/>
          <w:color w:val="000000"/>
          <w:szCs w:val="24"/>
        </w:rPr>
        <w:t>1</w:t>
      </w:r>
      <w:r w:rsidR="00F8466A">
        <w:rPr>
          <w:rFonts w:ascii="Times New Roman" w:eastAsia="標楷體" w:hAnsi="標楷體" w:hint="eastAsia"/>
          <w:color w:val="000000"/>
          <w:szCs w:val="24"/>
        </w:rPr>
        <w:t>.</w:t>
      </w:r>
      <w:r w:rsidRPr="000C5451">
        <w:rPr>
          <w:rFonts w:ascii="Times New Roman" w:eastAsia="標楷體" w:hAnsi="標楷體" w:hint="eastAsia"/>
          <w:color w:val="000000"/>
          <w:szCs w:val="24"/>
        </w:rPr>
        <w:t>16</w:t>
      </w:r>
      <w:r w:rsidRPr="000C5451">
        <w:rPr>
          <w:rFonts w:ascii="Times New Roman" w:eastAsia="標楷體" w:hAnsi="標楷體" w:hint="eastAsia"/>
          <w:color w:val="000000"/>
          <w:szCs w:val="24"/>
        </w:rPr>
        <w:t>開放</w:t>
      </w:r>
      <w:r w:rsidRPr="000C5451">
        <w:rPr>
          <w:rFonts w:ascii="Times New Roman" w:eastAsia="標楷體" w:hAnsi="標楷體" w:hint="eastAsia"/>
          <w:kern w:val="0"/>
          <w:szCs w:val="24"/>
        </w:rPr>
        <w:t>證券商辦理客戶定期定額方式購買股票及</w:t>
      </w:r>
      <w:r w:rsidRPr="000C5451">
        <w:rPr>
          <w:rFonts w:ascii="Times New Roman" w:eastAsia="標楷體" w:hAnsi="標楷體" w:hint="eastAsia"/>
          <w:kern w:val="0"/>
          <w:szCs w:val="24"/>
        </w:rPr>
        <w:t>ETF</w:t>
      </w:r>
      <w:r w:rsidRPr="000C5451">
        <w:rPr>
          <w:rFonts w:ascii="Times New Roman" w:eastAsia="標楷體" w:hAnsi="標楷體" w:hint="eastAsia"/>
          <w:kern w:val="0"/>
          <w:szCs w:val="24"/>
        </w:rPr>
        <w:t>，</w:t>
      </w:r>
      <w:r w:rsidRPr="000C5451">
        <w:rPr>
          <w:rFonts w:ascii="Times New Roman" w:eastAsia="標楷體" w:hAnsi="標楷體" w:hint="eastAsia"/>
          <w:color w:val="000000"/>
          <w:szCs w:val="24"/>
        </w:rPr>
        <w:t>增訂定期定額買賣有價證券業務之會計處理。</w:t>
      </w:r>
    </w:p>
    <w:p w:rsidR="00D62D6F" w:rsidRPr="000C5451" w:rsidRDefault="000C5451" w:rsidP="000C5451">
      <w:pPr>
        <w:pStyle w:val="a3"/>
        <w:numPr>
          <w:ilvl w:val="0"/>
          <w:numId w:val="4"/>
        </w:numPr>
        <w:spacing w:line="240" w:lineRule="atLeast"/>
        <w:ind w:leftChars="0" w:left="1423" w:hanging="357"/>
        <w:rPr>
          <w:rFonts w:ascii="Times New Roman" w:eastAsia="標楷體" w:hAnsi="Times New Roman"/>
          <w:color w:val="000000"/>
          <w:szCs w:val="24"/>
        </w:rPr>
      </w:pPr>
      <w:r w:rsidRPr="000C5451">
        <w:rPr>
          <w:rFonts w:ascii="Times New Roman" w:eastAsia="標楷體" w:hAnsi="標楷體" w:hint="eastAsia"/>
          <w:color w:val="000000"/>
          <w:szCs w:val="24"/>
        </w:rPr>
        <w:t>配合</w:t>
      </w:r>
      <w:r w:rsidRPr="000C5451">
        <w:rPr>
          <w:rFonts w:ascii="Times New Roman" w:eastAsia="標楷體" w:hAnsi="標楷體" w:hint="eastAsia"/>
          <w:color w:val="000000"/>
          <w:szCs w:val="24"/>
        </w:rPr>
        <w:t>101</w:t>
      </w:r>
      <w:r w:rsidRPr="000C5451">
        <w:rPr>
          <w:rFonts w:ascii="Times New Roman" w:eastAsia="標楷體" w:hAnsi="標楷體" w:hint="eastAsia"/>
          <w:color w:val="000000"/>
          <w:szCs w:val="24"/>
        </w:rPr>
        <w:t>年</w:t>
      </w:r>
      <w:r w:rsidRPr="000C5451">
        <w:rPr>
          <w:rFonts w:ascii="Times New Roman" w:eastAsia="標楷體" w:hAnsi="標楷體" w:hint="eastAsia"/>
          <w:color w:val="000000"/>
          <w:szCs w:val="24"/>
        </w:rPr>
        <w:t>1</w:t>
      </w:r>
      <w:r w:rsidRPr="000C5451">
        <w:rPr>
          <w:rFonts w:ascii="Times New Roman" w:eastAsia="標楷體" w:hAnsi="標楷體" w:hint="eastAsia"/>
          <w:color w:val="000000"/>
          <w:szCs w:val="24"/>
        </w:rPr>
        <w:t>月公司法修訂法定盈餘公積配發新股或現金之規定。</w:t>
      </w:r>
    </w:p>
    <w:p w:rsidR="00D62D6F" w:rsidRPr="000C5451" w:rsidRDefault="00D62D6F" w:rsidP="00D2252E">
      <w:pPr>
        <w:spacing w:line="240" w:lineRule="atLeast"/>
        <w:rPr>
          <w:rFonts w:ascii="Times New Roman" w:eastAsia="標楷體" w:hAnsi="Times New Roman"/>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內部會計控制</w:t>
      </w:r>
    </w:p>
    <w:p w:rsidR="00D62D6F" w:rsidRPr="000C5451" w:rsidRDefault="00D62D6F" w:rsidP="00402B2B">
      <w:pPr>
        <w:pStyle w:val="a3"/>
        <w:ind w:leftChars="0" w:left="1065"/>
        <w:rPr>
          <w:rFonts w:eastAsia="標楷體"/>
          <w:color w:val="000000"/>
        </w:rPr>
      </w:pPr>
      <w:r w:rsidRPr="000C5451">
        <w:rPr>
          <w:rFonts w:ascii="標楷體" w:eastAsia="標楷體" w:hAnsi="標楷體" w:hint="eastAsia"/>
          <w:szCs w:val="24"/>
        </w:rPr>
        <w:t>依據現行證券暨期貨市場各服務事業建立內部控制制度處理準則</w:t>
      </w:r>
      <w:r w:rsidR="00A10CB4" w:rsidRPr="000C5451">
        <w:rPr>
          <w:rFonts w:ascii="標楷體" w:eastAsia="標楷體" w:hAnsi="標楷體" w:hint="eastAsia"/>
          <w:szCs w:val="24"/>
        </w:rPr>
        <w:t>修改</w:t>
      </w:r>
      <w:r w:rsidRPr="000C5451">
        <w:rPr>
          <w:rFonts w:ascii="標楷體" w:eastAsia="標楷體" w:hAnsi="標楷體" w:hint="eastAsia"/>
          <w:szCs w:val="24"/>
        </w:rPr>
        <w:t>相關規定</w:t>
      </w:r>
      <w:r w:rsidRPr="000C5451">
        <w:rPr>
          <w:rFonts w:eastAsia="標楷體" w:hint="eastAsia"/>
          <w:color w:val="000000"/>
        </w:rPr>
        <w:t>。</w:t>
      </w:r>
    </w:p>
    <w:p w:rsidR="009A4556" w:rsidRPr="000C5451" w:rsidRDefault="009A4556" w:rsidP="00402B2B">
      <w:pPr>
        <w:pStyle w:val="a3"/>
        <w:ind w:leftChars="0" w:left="1065"/>
        <w:rPr>
          <w:rFonts w:ascii="標楷體" w:eastAsia="標楷體" w:hAnsi="標楷體"/>
        </w:rPr>
      </w:pPr>
    </w:p>
    <w:p w:rsidR="00656CFE" w:rsidRPr="000C5451" w:rsidRDefault="00656CFE" w:rsidP="00656CFE">
      <w:pPr>
        <w:pStyle w:val="a3"/>
        <w:numPr>
          <w:ilvl w:val="0"/>
          <w:numId w:val="1"/>
        </w:numPr>
        <w:ind w:leftChars="0"/>
        <w:rPr>
          <w:rFonts w:ascii="標楷體" w:eastAsia="標楷體" w:hAnsi="標楷體"/>
          <w:szCs w:val="24"/>
        </w:rPr>
      </w:pPr>
      <w:r w:rsidRPr="000C5451">
        <w:rPr>
          <w:rFonts w:ascii="標楷體" w:eastAsia="標楷體" w:hAnsi="標楷體"/>
          <w:szCs w:val="24"/>
        </w:rPr>
        <w:t>外匯證券商辦理外匯業務之會計處理</w:t>
      </w:r>
    </w:p>
    <w:p w:rsidR="00656CFE" w:rsidRPr="000C5451" w:rsidRDefault="00656CFE" w:rsidP="00656CFE">
      <w:pPr>
        <w:pStyle w:val="a3"/>
        <w:ind w:leftChars="0" w:left="1065"/>
        <w:rPr>
          <w:rFonts w:ascii="標楷體" w:eastAsia="標楷體" w:hAnsi="標楷體"/>
          <w:color w:val="000000"/>
          <w:szCs w:val="24"/>
        </w:rPr>
      </w:pPr>
      <w:r w:rsidRPr="000C5451">
        <w:rPr>
          <w:rFonts w:ascii="標楷體" w:eastAsia="標楷體" w:hAnsi="標楷體" w:hint="eastAsia"/>
          <w:color w:val="000000"/>
          <w:szCs w:val="24"/>
        </w:rPr>
        <w:t>依</w:t>
      </w:r>
      <w:r w:rsidRPr="000C5451">
        <w:rPr>
          <w:rFonts w:ascii="Times New Roman" w:eastAsia="標楷體" w:hAnsi="Times New Roman"/>
          <w:color w:val="000000"/>
          <w:szCs w:val="24"/>
        </w:rPr>
        <w:t>106.3.27</w:t>
      </w:r>
      <w:r w:rsidRPr="000C5451">
        <w:rPr>
          <w:rFonts w:ascii="標楷體" w:eastAsia="標楷體" w:hAnsi="標楷體" w:hint="eastAsia"/>
          <w:color w:val="000000"/>
          <w:szCs w:val="24"/>
        </w:rPr>
        <w:t>發布之證券商辦理外匯業務管理辦法訂定</w:t>
      </w:r>
      <w:r w:rsidRPr="000C5451">
        <w:rPr>
          <w:rFonts w:ascii="標楷體" w:eastAsia="標楷體" w:hAnsi="標楷體"/>
          <w:color w:val="000000"/>
          <w:szCs w:val="24"/>
        </w:rPr>
        <w:t>外匯證券商辦理外匯業務之會計處理</w:t>
      </w:r>
      <w:r w:rsidRPr="000C5451">
        <w:rPr>
          <w:rFonts w:ascii="標楷體" w:eastAsia="標楷體" w:hAnsi="標楷體" w:hint="eastAsia"/>
          <w:color w:val="000000"/>
          <w:szCs w:val="24"/>
        </w:rPr>
        <w:t>專章。</w:t>
      </w:r>
    </w:p>
    <w:p w:rsidR="00D62D6F" w:rsidRPr="00656CFE" w:rsidRDefault="00D62D6F" w:rsidP="000C4B80">
      <w:pPr>
        <w:rPr>
          <w:rFonts w:ascii="標楷體" w:eastAsia="標楷體" w:hAnsi="標楷體"/>
          <w:szCs w:val="24"/>
        </w:rPr>
      </w:pPr>
    </w:p>
    <w:sectPr w:rsidR="00D62D6F" w:rsidRPr="00656CFE" w:rsidSect="0024106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EBC" w:rsidRDefault="00B94EBC" w:rsidP="00FF7FF5">
      <w:r>
        <w:separator/>
      </w:r>
    </w:p>
  </w:endnote>
  <w:endnote w:type="continuationSeparator" w:id="0">
    <w:p w:rsidR="00B94EBC" w:rsidRDefault="00B94EBC" w:rsidP="00FF7F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10 Pitch"/>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6F" w:rsidRDefault="00E23E03">
    <w:pPr>
      <w:pStyle w:val="a7"/>
      <w:jc w:val="right"/>
    </w:pPr>
    <w:r w:rsidRPr="00E23E03">
      <w:fldChar w:fldCharType="begin"/>
    </w:r>
    <w:r w:rsidR="001C202A">
      <w:instrText xml:space="preserve"> PAGE   \* MERGEFORMAT </w:instrText>
    </w:r>
    <w:r w:rsidRPr="00E23E03">
      <w:fldChar w:fldCharType="separate"/>
    </w:r>
    <w:r w:rsidR="00213C3A" w:rsidRPr="00213C3A">
      <w:rPr>
        <w:noProof/>
        <w:lang w:val="zh-TW"/>
      </w:rPr>
      <w:t>1</w:t>
    </w:r>
    <w:r>
      <w:rPr>
        <w:noProof/>
        <w:lang w:val="zh-TW"/>
      </w:rPr>
      <w:fldChar w:fldCharType="end"/>
    </w:r>
  </w:p>
  <w:p w:rsidR="00D62D6F" w:rsidRDefault="00D62D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EBC" w:rsidRDefault="00B94EBC" w:rsidP="00FF7FF5">
      <w:r>
        <w:separator/>
      </w:r>
    </w:p>
  </w:footnote>
  <w:footnote w:type="continuationSeparator" w:id="0">
    <w:p w:rsidR="00B94EBC" w:rsidRDefault="00B94EBC" w:rsidP="00FF7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8A5"/>
    <w:multiLevelType w:val="hybridMultilevel"/>
    <w:tmpl w:val="5B7E7E70"/>
    <w:lvl w:ilvl="0" w:tplc="0A5CE1FC">
      <w:start w:val="1"/>
      <w:numFmt w:val="taiwaneseCountingThousand"/>
      <w:lvlText w:val="第%1章"/>
      <w:lvlJc w:val="left"/>
      <w:pPr>
        <w:ind w:left="1065" w:hanging="10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E16630"/>
    <w:multiLevelType w:val="hybridMultilevel"/>
    <w:tmpl w:val="47C8123E"/>
    <w:lvl w:ilvl="0" w:tplc="B7721798">
      <w:start w:val="1"/>
      <w:numFmt w:val="decimal"/>
      <w:lvlText w:val="%1."/>
      <w:lvlJc w:val="left"/>
      <w:pPr>
        <w:tabs>
          <w:tab w:val="num" w:pos="0"/>
        </w:tabs>
        <w:ind w:left="36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63635A"/>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3">
    <w:nsid w:val="263E421C"/>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4">
    <w:nsid w:val="289E740C"/>
    <w:multiLevelType w:val="hybridMultilevel"/>
    <w:tmpl w:val="8220A1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F9A5A30"/>
    <w:multiLevelType w:val="hybridMultilevel"/>
    <w:tmpl w:val="52A04002"/>
    <w:lvl w:ilvl="0" w:tplc="0409000F">
      <w:start w:val="1"/>
      <w:numFmt w:val="decimal"/>
      <w:lvlText w:val="%1."/>
      <w:lvlJc w:val="left"/>
      <w:pPr>
        <w:ind w:left="1545" w:hanging="480"/>
      </w:pPr>
      <w:rPr>
        <w:rFonts w:cs="Times New Roman"/>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6">
    <w:nsid w:val="304F7571"/>
    <w:multiLevelType w:val="hybridMultilevel"/>
    <w:tmpl w:val="7DB028A8"/>
    <w:lvl w:ilvl="0" w:tplc="24D8FF58">
      <w:start w:val="1"/>
      <w:numFmt w:val="bullet"/>
      <w:lvlText w:val=""/>
      <w:lvlJc w:val="left"/>
      <w:pPr>
        <w:ind w:left="480" w:hanging="480"/>
      </w:pPr>
      <w:rPr>
        <w:rFonts w:ascii="Wingdings" w:hAnsi="Wingdings" w:hint="default"/>
        <w:color w:val="auto"/>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570351"/>
    <w:multiLevelType w:val="singleLevel"/>
    <w:tmpl w:val="90F6C95C"/>
    <w:lvl w:ilvl="0">
      <w:start w:val="1"/>
      <w:numFmt w:val="bullet"/>
      <w:lvlText w:val=""/>
      <w:lvlJc w:val="left"/>
      <w:pPr>
        <w:tabs>
          <w:tab w:val="num" w:pos="340"/>
        </w:tabs>
        <w:ind w:left="340" w:hanging="340"/>
      </w:pPr>
      <w:rPr>
        <w:rFonts w:ascii="Wingdings" w:hAnsi="Wingdings" w:hint="default"/>
        <w:color w:val="auto"/>
        <w:sz w:val="22"/>
      </w:rPr>
    </w:lvl>
  </w:abstractNum>
  <w:abstractNum w:abstractNumId="8">
    <w:nsid w:val="44496C4C"/>
    <w:multiLevelType w:val="hybridMultilevel"/>
    <w:tmpl w:val="CCCC3A68"/>
    <w:lvl w:ilvl="0" w:tplc="12966FF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5AA6D09"/>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0">
    <w:nsid w:val="69535624"/>
    <w:multiLevelType w:val="hybridMultilevel"/>
    <w:tmpl w:val="B1406B3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1017EBB"/>
    <w:multiLevelType w:val="hybridMultilevel"/>
    <w:tmpl w:val="5F64DEA6"/>
    <w:lvl w:ilvl="0" w:tplc="220C7B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A1B20A0"/>
    <w:multiLevelType w:val="hybridMultilevel"/>
    <w:tmpl w:val="13F2B0DC"/>
    <w:lvl w:ilvl="0" w:tplc="30688B78">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num w:numId="1">
    <w:abstractNumId w:val="0"/>
  </w:num>
  <w:num w:numId="2">
    <w:abstractNumId w:val="3"/>
  </w:num>
  <w:num w:numId="3">
    <w:abstractNumId w:val="2"/>
  </w:num>
  <w:num w:numId="4">
    <w:abstractNumId w:val="9"/>
  </w:num>
  <w:num w:numId="5">
    <w:abstractNumId w:val="5"/>
  </w:num>
  <w:num w:numId="6">
    <w:abstractNumId w:val="12"/>
  </w:num>
  <w:num w:numId="7">
    <w:abstractNumId w:val="4"/>
  </w:num>
  <w:num w:numId="8">
    <w:abstractNumId w:val="11"/>
  </w:num>
  <w:num w:numId="9">
    <w:abstractNumId w:val="7"/>
  </w:num>
  <w:num w:numId="10">
    <w:abstractNumId w:val="10"/>
  </w:num>
  <w:num w:numId="11">
    <w:abstractNumId w:val="8"/>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7AB"/>
    <w:rsid w:val="00031C1B"/>
    <w:rsid w:val="00036104"/>
    <w:rsid w:val="000668B3"/>
    <w:rsid w:val="000954FB"/>
    <w:rsid w:val="000B7AE1"/>
    <w:rsid w:val="000C4B80"/>
    <w:rsid w:val="000C5451"/>
    <w:rsid w:val="000D5D51"/>
    <w:rsid w:val="000D6F8B"/>
    <w:rsid w:val="00115A32"/>
    <w:rsid w:val="00133F1C"/>
    <w:rsid w:val="0013456F"/>
    <w:rsid w:val="0014654A"/>
    <w:rsid w:val="00146CBC"/>
    <w:rsid w:val="00147347"/>
    <w:rsid w:val="00152604"/>
    <w:rsid w:val="00163F81"/>
    <w:rsid w:val="001B0210"/>
    <w:rsid w:val="001C0A7C"/>
    <w:rsid w:val="001C202A"/>
    <w:rsid w:val="00213C3A"/>
    <w:rsid w:val="002145F0"/>
    <w:rsid w:val="0024106C"/>
    <w:rsid w:val="00247593"/>
    <w:rsid w:val="00263499"/>
    <w:rsid w:val="002923BE"/>
    <w:rsid w:val="002948BA"/>
    <w:rsid w:val="002A7F83"/>
    <w:rsid w:val="002F317B"/>
    <w:rsid w:val="0031055D"/>
    <w:rsid w:val="00393266"/>
    <w:rsid w:val="003A7B61"/>
    <w:rsid w:val="003C53A4"/>
    <w:rsid w:val="003D18E0"/>
    <w:rsid w:val="003E15D8"/>
    <w:rsid w:val="003E605F"/>
    <w:rsid w:val="00402B2B"/>
    <w:rsid w:val="0042110A"/>
    <w:rsid w:val="00445F9B"/>
    <w:rsid w:val="0046684A"/>
    <w:rsid w:val="004A5352"/>
    <w:rsid w:val="004B08A4"/>
    <w:rsid w:val="004B4E83"/>
    <w:rsid w:val="004D7F36"/>
    <w:rsid w:val="004E67D5"/>
    <w:rsid w:val="005129F8"/>
    <w:rsid w:val="005132F1"/>
    <w:rsid w:val="00530F06"/>
    <w:rsid w:val="00531D70"/>
    <w:rsid w:val="00531E2A"/>
    <w:rsid w:val="00540216"/>
    <w:rsid w:val="005423FA"/>
    <w:rsid w:val="00581DD2"/>
    <w:rsid w:val="0059139A"/>
    <w:rsid w:val="005F5A27"/>
    <w:rsid w:val="00600C1C"/>
    <w:rsid w:val="00617B2F"/>
    <w:rsid w:val="00633707"/>
    <w:rsid w:val="006479B9"/>
    <w:rsid w:val="00656CFE"/>
    <w:rsid w:val="00681B83"/>
    <w:rsid w:val="00687DF4"/>
    <w:rsid w:val="006B2264"/>
    <w:rsid w:val="006B2B40"/>
    <w:rsid w:val="006D4EF5"/>
    <w:rsid w:val="006E0DA2"/>
    <w:rsid w:val="006E1FFD"/>
    <w:rsid w:val="006E6352"/>
    <w:rsid w:val="006E770F"/>
    <w:rsid w:val="007007C1"/>
    <w:rsid w:val="007219BC"/>
    <w:rsid w:val="00734EB1"/>
    <w:rsid w:val="0074062C"/>
    <w:rsid w:val="00756A0B"/>
    <w:rsid w:val="007C37B7"/>
    <w:rsid w:val="007C50A9"/>
    <w:rsid w:val="007D442B"/>
    <w:rsid w:val="007F56A4"/>
    <w:rsid w:val="00826189"/>
    <w:rsid w:val="00851BE6"/>
    <w:rsid w:val="00854CF3"/>
    <w:rsid w:val="00862326"/>
    <w:rsid w:val="00865AB7"/>
    <w:rsid w:val="008B2915"/>
    <w:rsid w:val="008D16B1"/>
    <w:rsid w:val="008E1561"/>
    <w:rsid w:val="008E4366"/>
    <w:rsid w:val="008E6874"/>
    <w:rsid w:val="008F38A3"/>
    <w:rsid w:val="008F77E3"/>
    <w:rsid w:val="00902CF5"/>
    <w:rsid w:val="00911E5A"/>
    <w:rsid w:val="009349CB"/>
    <w:rsid w:val="00940438"/>
    <w:rsid w:val="00962665"/>
    <w:rsid w:val="00995406"/>
    <w:rsid w:val="009A2F5D"/>
    <w:rsid w:val="009A4556"/>
    <w:rsid w:val="009B7804"/>
    <w:rsid w:val="009C038B"/>
    <w:rsid w:val="009F63C2"/>
    <w:rsid w:val="00A02486"/>
    <w:rsid w:val="00A10CB4"/>
    <w:rsid w:val="00A1773C"/>
    <w:rsid w:val="00A2033F"/>
    <w:rsid w:val="00A336F6"/>
    <w:rsid w:val="00A63402"/>
    <w:rsid w:val="00A71FD2"/>
    <w:rsid w:val="00AA445A"/>
    <w:rsid w:val="00AD085C"/>
    <w:rsid w:val="00AE39C3"/>
    <w:rsid w:val="00B1047B"/>
    <w:rsid w:val="00B156FA"/>
    <w:rsid w:val="00B26161"/>
    <w:rsid w:val="00B427AB"/>
    <w:rsid w:val="00B55CD2"/>
    <w:rsid w:val="00B573CD"/>
    <w:rsid w:val="00B813CD"/>
    <w:rsid w:val="00B86C4F"/>
    <w:rsid w:val="00B94EBC"/>
    <w:rsid w:val="00BB5B5D"/>
    <w:rsid w:val="00BB6E85"/>
    <w:rsid w:val="00BC17B1"/>
    <w:rsid w:val="00BF6CBE"/>
    <w:rsid w:val="00C04777"/>
    <w:rsid w:val="00C502C9"/>
    <w:rsid w:val="00C51BCC"/>
    <w:rsid w:val="00C52D4D"/>
    <w:rsid w:val="00C56BFF"/>
    <w:rsid w:val="00C66D48"/>
    <w:rsid w:val="00C76FC4"/>
    <w:rsid w:val="00C8797E"/>
    <w:rsid w:val="00CA3FD9"/>
    <w:rsid w:val="00CA432C"/>
    <w:rsid w:val="00CE2306"/>
    <w:rsid w:val="00CE3FDF"/>
    <w:rsid w:val="00D05C9B"/>
    <w:rsid w:val="00D16B71"/>
    <w:rsid w:val="00D17913"/>
    <w:rsid w:val="00D2252E"/>
    <w:rsid w:val="00D523D0"/>
    <w:rsid w:val="00D62D6F"/>
    <w:rsid w:val="00D93D7A"/>
    <w:rsid w:val="00D97BB9"/>
    <w:rsid w:val="00DA0ACC"/>
    <w:rsid w:val="00DA0C78"/>
    <w:rsid w:val="00DC4371"/>
    <w:rsid w:val="00DD7873"/>
    <w:rsid w:val="00DF471D"/>
    <w:rsid w:val="00E13624"/>
    <w:rsid w:val="00E1716E"/>
    <w:rsid w:val="00E23BB2"/>
    <w:rsid w:val="00E23E03"/>
    <w:rsid w:val="00E87B1D"/>
    <w:rsid w:val="00EB2ADD"/>
    <w:rsid w:val="00EE6B9B"/>
    <w:rsid w:val="00EF21EF"/>
    <w:rsid w:val="00F037C4"/>
    <w:rsid w:val="00F20B80"/>
    <w:rsid w:val="00F81B27"/>
    <w:rsid w:val="00F8466A"/>
    <w:rsid w:val="00FE5F38"/>
    <w:rsid w:val="00FF7F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6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27AB"/>
    <w:pPr>
      <w:ind w:leftChars="200" w:left="480"/>
    </w:pPr>
  </w:style>
  <w:style w:type="character" w:styleId="a4">
    <w:name w:val="Hyperlink"/>
    <w:basedOn w:val="a0"/>
    <w:uiPriority w:val="99"/>
    <w:semiHidden/>
    <w:rsid w:val="00CE3FDF"/>
    <w:rPr>
      <w:rFonts w:cs="Times New Roman"/>
      <w:color w:val="000099"/>
      <w:u w:val="none"/>
      <w:effect w:val="none"/>
    </w:rPr>
  </w:style>
  <w:style w:type="paragraph" w:styleId="a5">
    <w:name w:val="header"/>
    <w:basedOn w:val="a"/>
    <w:link w:val="a6"/>
    <w:uiPriority w:val="99"/>
    <w:semiHidden/>
    <w:rsid w:val="00FF7FF5"/>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FF7FF5"/>
    <w:rPr>
      <w:rFonts w:cs="Times New Roman"/>
      <w:sz w:val="20"/>
      <w:szCs w:val="20"/>
    </w:rPr>
  </w:style>
  <w:style w:type="paragraph" w:styleId="a7">
    <w:name w:val="footer"/>
    <w:basedOn w:val="a"/>
    <w:link w:val="a8"/>
    <w:uiPriority w:val="99"/>
    <w:rsid w:val="00FF7FF5"/>
    <w:pPr>
      <w:tabs>
        <w:tab w:val="center" w:pos="4153"/>
        <w:tab w:val="right" w:pos="8306"/>
      </w:tabs>
      <w:snapToGrid w:val="0"/>
    </w:pPr>
    <w:rPr>
      <w:sz w:val="20"/>
      <w:szCs w:val="20"/>
    </w:rPr>
  </w:style>
  <w:style w:type="character" w:customStyle="1" w:styleId="a8">
    <w:name w:val="頁尾 字元"/>
    <w:basedOn w:val="a0"/>
    <w:link w:val="a7"/>
    <w:uiPriority w:val="99"/>
    <w:locked/>
    <w:rsid w:val="00FF7FF5"/>
    <w:rPr>
      <w:rFonts w:cs="Times New Roman"/>
      <w:sz w:val="20"/>
      <w:szCs w:val="20"/>
    </w:rPr>
  </w:style>
  <w:style w:type="table" w:styleId="a9">
    <w:name w:val="Table Grid"/>
    <w:basedOn w:val="a1"/>
    <w:uiPriority w:val="99"/>
    <w:rsid w:val="00734EB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semiHidden/>
    <w:rsid w:val="00A63402"/>
    <w:rPr>
      <w:rFonts w:hAnsi="Courier New" w:cs="Courier New"/>
      <w:szCs w:val="24"/>
    </w:rPr>
  </w:style>
  <w:style w:type="character" w:customStyle="1" w:styleId="ab">
    <w:name w:val="純文字 字元"/>
    <w:basedOn w:val="a0"/>
    <w:link w:val="aa"/>
    <w:uiPriority w:val="99"/>
    <w:semiHidden/>
    <w:locked/>
    <w:rsid w:val="00A63402"/>
    <w:rPr>
      <w:rFonts w:ascii="Calibri" w:eastAsia="新細明體" w:hAnsi="Courier New" w:cs="Courier New"/>
      <w:sz w:val="24"/>
      <w:szCs w:val="24"/>
    </w:rPr>
  </w:style>
  <w:style w:type="paragraph" w:customStyle="1" w:styleId="ac">
    <w:name w:val="文"/>
    <w:basedOn w:val="a"/>
    <w:rsid w:val="0013456F"/>
    <w:pPr>
      <w:autoSpaceDN w:val="0"/>
      <w:adjustRightInd w:val="0"/>
      <w:spacing w:after="120"/>
      <w:ind w:firstLine="482"/>
      <w:jc w:val="both"/>
    </w:pPr>
    <w:rPr>
      <w:rFonts w:ascii="Times New Roman" w:eastAsia="標楷體" w:hAnsi="Times New Roman"/>
      <w:kern w:val="0"/>
      <w:szCs w:val="24"/>
    </w:rPr>
  </w:style>
  <w:style w:type="paragraph" w:styleId="ad">
    <w:name w:val="Balloon Text"/>
    <w:basedOn w:val="a"/>
    <w:link w:val="ae"/>
    <w:uiPriority w:val="99"/>
    <w:semiHidden/>
    <w:unhideWhenUsed/>
    <w:rsid w:val="00F846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8466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21451284">
      <w:marLeft w:val="0"/>
      <w:marRight w:val="0"/>
      <w:marTop w:val="0"/>
      <w:marBottom w:val="0"/>
      <w:divBdr>
        <w:top w:val="none" w:sz="0" w:space="0" w:color="auto"/>
        <w:left w:val="none" w:sz="0" w:space="0" w:color="auto"/>
        <w:bottom w:val="none" w:sz="0" w:space="0" w:color="auto"/>
        <w:right w:val="none" w:sz="0" w:space="0" w:color="auto"/>
      </w:divBdr>
    </w:div>
    <w:div w:id="921451288">
      <w:marLeft w:val="0"/>
      <w:marRight w:val="0"/>
      <w:marTop w:val="0"/>
      <w:marBottom w:val="0"/>
      <w:divBdr>
        <w:top w:val="none" w:sz="0" w:space="0" w:color="auto"/>
        <w:left w:val="none" w:sz="0" w:space="0" w:color="auto"/>
        <w:bottom w:val="none" w:sz="0" w:space="0" w:color="auto"/>
        <w:right w:val="none" w:sz="0" w:space="0" w:color="auto"/>
      </w:divBdr>
      <w:divsChild>
        <w:div w:id="921451287">
          <w:marLeft w:val="0"/>
          <w:marRight w:val="0"/>
          <w:marTop w:val="0"/>
          <w:marBottom w:val="0"/>
          <w:divBdr>
            <w:top w:val="none" w:sz="0" w:space="0" w:color="auto"/>
            <w:left w:val="none" w:sz="0" w:space="0" w:color="auto"/>
            <w:bottom w:val="none" w:sz="0" w:space="0" w:color="auto"/>
            <w:right w:val="none" w:sz="0" w:space="0" w:color="auto"/>
          </w:divBdr>
          <w:divsChild>
            <w:div w:id="921451292">
              <w:marLeft w:val="0"/>
              <w:marRight w:val="0"/>
              <w:marTop w:val="0"/>
              <w:marBottom w:val="0"/>
              <w:divBdr>
                <w:top w:val="none" w:sz="0" w:space="0" w:color="auto"/>
                <w:left w:val="none" w:sz="0" w:space="0" w:color="auto"/>
                <w:bottom w:val="none" w:sz="0" w:space="0" w:color="auto"/>
                <w:right w:val="none" w:sz="0" w:space="0" w:color="auto"/>
              </w:divBdr>
              <w:divsChild>
                <w:div w:id="921451285">
                  <w:marLeft w:val="0"/>
                  <w:marRight w:val="0"/>
                  <w:marTop w:val="0"/>
                  <w:marBottom w:val="0"/>
                  <w:divBdr>
                    <w:top w:val="none" w:sz="0" w:space="0" w:color="auto"/>
                    <w:left w:val="none" w:sz="0" w:space="0" w:color="auto"/>
                    <w:bottom w:val="none" w:sz="0" w:space="0" w:color="auto"/>
                    <w:right w:val="none" w:sz="0" w:space="0" w:color="auto"/>
                  </w:divBdr>
                  <w:divsChild>
                    <w:div w:id="921451291">
                      <w:marLeft w:val="0"/>
                      <w:marRight w:val="0"/>
                      <w:marTop w:val="0"/>
                      <w:marBottom w:val="0"/>
                      <w:divBdr>
                        <w:top w:val="none" w:sz="0" w:space="0" w:color="auto"/>
                        <w:left w:val="none" w:sz="0" w:space="0" w:color="auto"/>
                        <w:bottom w:val="none" w:sz="0" w:space="0" w:color="auto"/>
                        <w:right w:val="none" w:sz="0" w:space="0" w:color="auto"/>
                      </w:divBdr>
                      <w:divsChild>
                        <w:div w:id="921451286">
                          <w:marLeft w:val="0"/>
                          <w:marRight w:val="0"/>
                          <w:marTop w:val="0"/>
                          <w:marBottom w:val="0"/>
                          <w:divBdr>
                            <w:top w:val="none" w:sz="0" w:space="0" w:color="auto"/>
                            <w:left w:val="none" w:sz="0" w:space="0" w:color="auto"/>
                            <w:bottom w:val="none" w:sz="0" w:space="0" w:color="auto"/>
                            <w:right w:val="none" w:sz="0" w:space="0" w:color="auto"/>
                          </w:divBdr>
                          <w:divsChild>
                            <w:div w:id="9214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451289">
      <w:marLeft w:val="0"/>
      <w:marRight w:val="0"/>
      <w:marTop w:val="0"/>
      <w:marBottom w:val="0"/>
      <w:divBdr>
        <w:top w:val="none" w:sz="0" w:space="0" w:color="auto"/>
        <w:left w:val="none" w:sz="0" w:space="0" w:color="auto"/>
        <w:bottom w:val="none" w:sz="0" w:space="0" w:color="auto"/>
        <w:right w:val="none" w:sz="0" w:space="0" w:color="auto"/>
      </w:divBdr>
    </w:div>
    <w:div w:id="1685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1066</Characters>
  <Application>Microsoft Office Word</Application>
  <DocSecurity>0</DocSecurity>
  <Lines>8</Lines>
  <Paragraphs>2</Paragraphs>
  <ScaleCrop>false</ScaleCrop>
  <Company>KPMG</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第三次「證券商會計制度範本」修訂總說明</dc:title>
  <dc:creator>ftsai</dc:creator>
  <cp:lastModifiedBy>chen</cp:lastModifiedBy>
  <cp:revision>3</cp:revision>
  <cp:lastPrinted>2017-09-06T03:22:00Z</cp:lastPrinted>
  <dcterms:created xsi:type="dcterms:W3CDTF">2017-09-06T07:14:00Z</dcterms:created>
  <dcterms:modified xsi:type="dcterms:W3CDTF">2017-10-13T02:15:00Z</dcterms:modified>
</cp:coreProperties>
</file>