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D6F" w:rsidRPr="000C5451" w:rsidRDefault="00D62D6F" w:rsidP="00163F81">
      <w:pPr>
        <w:ind w:firstLineChars="50" w:firstLine="160"/>
        <w:jc w:val="center"/>
        <w:rPr>
          <w:rFonts w:ascii="標楷體" w:eastAsia="標楷體" w:hAnsi="標楷體" w:cs="DFKaiShu-SB-Estd-BF"/>
          <w:kern w:val="0"/>
          <w:sz w:val="32"/>
          <w:szCs w:val="32"/>
        </w:rPr>
      </w:pPr>
      <w:r w:rsidRPr="000C5451">
        <w:rPr>
          <w:rFonts w:ascii="標楷體" w:eastAsia="標楷體" w:hAnsi="標楷體" w:cs="DFKaiShu-SB-Estd-BF" w:hint="eastAsia"/>
          <w:kern w:val="0"/>
          <w:sz w:val="32"/>
          <w:szCs w:val="32"/>
        </w:rPr>
        <w:t>「</w:t>
      </w:r>
      <w:r w:rsidR="00826243">
        <w:rPr>
          <w:rFonts w:ascii="標楷體" w:eastAsia="標楷體" w:hAnsi="標楷體" w:cs="DFKaiShu-SB-Estd-BF" w:hint="eastAsia"/>
          <w:kern w:val="0"/>
          <w:sz w:val="32"/>
          <w:szCs w:val="32"/>
        </w:rPr>
        <w:t>國際證券業務分公司</w:t>
      </w:r>
      <w:r w:rsidRPr="000C5451">
        <w:rPr>
          <w:rFonts w:ascii="標楷體" w:eastAsia="標楷體" w:hAnsi="標楷體" w:cs="DFKaiShu-SB-Estd-BF" w:hint="eastAsia"/>
          <w:kern w:val="0"/>
          <w:sz w:val="32"/>
          <w:szCs w:val="32"/>
        </w:rPr>
        <w:t>會計制度範本」</w:t>
      </w:r>
      <w:r w:rsidR="00BE323F" w:rsidRPr="000C5451">
        <w:rPr>
          <w:rFonts w:ascii="標楷體" w:eastAsia="標楷體" w:hAnsi="標楷體" w:cs="DFKaiShu-SB-Estd-BF" w:hint="eastAsia"/>
          <w:kern w:val="0"/>
          <w:sz w:val="32"/>
          <w:szCs w:val="32"/>
        </w:rPr>
        <w:t>第</w:t>
      </w:r>
      <w:r w:rsidR="00BE323F">
        <w:rPr>
          <w:rFonts w:ascii="標楷體" w:eastAsia="標楷體" w:hAnsi="標楷體" w:cs="DFKaiShu-SB-Estd-BF" w:hint="eastAsia"/>
          <w:kern w:val="0"/>
          <w:sz w:val="32"/>
          <w:szCs w:val="32"/>
        </w:rPr>
        <w:t>二</w:t>
      </w:r>
      <w:r w:rsidR="00BE323F" w:rsidRPr="000C5451">
        <w:rPr>
          <w:rFonts w:ascii="標楷體" w:eastAsia="標楷體" w:hAnsi="標楷體" w:cs="DFKaiShu-SB-Estd-BF" w:hint="eastAsia"/>
          <w:kern w:val="0"/>
          <w:sz w:val="32"/>
          <w:szCs w:val="32"/>
        </w:rPr>
        <w:t>次</w:t>
      </w:r>
      <w:r w:rsidRPr="000C5451">
        <w:rPr>
          <w:rFonts w:ascii="標楷體" w:eastAsia="標楷體" w:hAnsi="標楷體" w:cs="DFKaiShu-SB-Estd-BF" w:hint="eastAsia"/>
          <w:kern w:val="0"/>
          <w:sz w:val="32"/>
          <w:szCs w:val="32"/>
        </w:rPr>
        <w:t>修訂總說明</w:t>
      </w:r>
    </w:p>
    <w:p w:rsidR="00D62D6F" w:rsidRPr="000C5451" w:rsidRDefault="00826243" w:rsidP="00600C1C">
      <w:pPr>
        <w:pStyle w:val="ac"/>
        <w:rPr>
          <w:snapToGrid w:val="0"/>
          <w:color w:val="000000"/>
        </w:rPr>
      </w:pPr>
      <w:r>
        <w:rPr>
          <w:rFonts w:hint="eastAsia"/>
          <w:sz w:val="23"/>
          <w:szCs w:val="23"/>
        </w:rPr>
        <w:t>國際證券業務分公司</w:t>
      </w:r>
      <w:r w:rsidR="00B86C4F" w:rsidRPr="000C5451">
        <w:rPr>
          <w:rFonts w:ascii="標楷體" w:hAnsi="標楷體" w:hint="eastAsia"/>
          <w:color w:val="000000"/>
        </w:rPr>
        <w:t>會計制度範本自</w:t>
      </w:r>
      <w:r>
        <w:rPr>
          <w:rFonts w:hint="eastAsia"/>
          <w:snapToGrid w:val="0"/>
          <w:color w:val="000000"/>
        </w:rPr>
        <w:t>一○三</w:t>
      </w:r>
      <w:r w:rsidR="00B86C4F" w:rsidRPr="000C5451">
        <w:rPr>
          <w:rFonts w:ascii="標楷體" w:hAnsi="標楷體" w:hint="eastAsia"/>
          <w:color w:val="000000"/>
        </w:rPr>
        <w:t>年</w:t>
      </w:r>
      <w:r>
        <w:rPr>
          <w:rFonts w:ascii="標楷體" w:hAnsi="標楷體" w:hint="eastAsia"/>
          <w:color w:val="000000"/>
        </w:rPr>
        <w:t>九</w:t>
      </w:r>
      <w:r w:rsidR="00B86C4F" w:rsidRPr="000C5451">
        <w:rPr>
          <w:rFonts w:ascii="標楷體" w:hAnsi="標楷體" w:hint="eastAsia"/>
          <w:color w:val="000000"/>
        </w:rPr>
        <w:t>月公布，為</w:t>
      </w:r>
      <w:r w:rsidR="00B86C4F" w:rsidRPr="000C5451">
        <w:rPr>
          <w:rFonts w:hint="eastAsia"/>
          <w:snapToGrid w:val="0"/>
          <w:color w:val="000000"/>
        </w:rPr>
        <w:t>配合金管會已核准證券商辦理新種業務或現辦理業務之法規修正</w:t>
      </w:r>
      <w:r w:rsidR="00B86C4F" w:rsidRPr="000C5451">
        <w:rPr>
          <w:rFonts w:ascii="標楷體" w:hAnsi="標楷體" w:hint="eastAsia"/>
          <w:color w:val="000000"/>
        </w:rPr>
        <w:t>，</w:t>
      </w:r>
      <w:proofErr w:type="gramStart"/>
      <w:r w:rsidR="00B86C4F" w:rsidRPr="000C5451">
        <w:rPr>
          <w:rFonts w:ascii="標楷體" w:hAnsi="標楷體" w:hint="eastAsia"/>
          <w:color w:val="000000"/>
        </w:rPr>
        <w:t>冀藉本</w:t>
      </w:r>
      <w:proofErr w:type="gramEnd"/>
      <w:r w:rsidR="00B86C4F" w:rsidRPr="000C5451">
        <w:rPr>
          <w:rFonts w:ascii="標楷體" w:hAnsi="標楷體" w:hint="eastAsia"/>
          <w:color w:val="000000"/>
        </w:rPr>
        <w:t>次修改，使</w:t>
      </w:r>
      <w:r>
        <w:rPr>
          <w:rFonts w:hint="eastAsia"/>
          <w:snapToGrid w:val="0"/>
          <w:color w:val="000000"/>
        </w:rPr>
        <w:t>國際證券業務分公司</w:t>
      </w:r>
      <w:r w:rsidR="00B86C4F" w:rsidRPr="000C5451">
        <w:rPr>
          <w:rFonts w:ascii="標楷體" w:hAnsi="標楷體" w:hint="eastAsia"/>
          <w:color w:val="000000"/>
        </w:rPr>
        <w:t>相關業務之會計處理有一適切之規範遵循。</w:t>
      </w:r>
    </w:p>
    <w:p w:rsidR="00163F81" w:rsidRPr="000C5451" w:rsidRDefault="00D62D6F" w:rsidP="00163F81">
      <w:pPr>
        <w:pStyle w:val="a3"/>
        <w:numPr>
          <w:ilvl w:val="0"/>
          <w:numId w:val="10"/>
        </w:numPr>
        <w:ind w:leftChars="0"/>
        <w:rPr>
          <w:rFonts w:ascii="標楷體" w:eastAsia="標楷體" w:hAnsi="標楷體"/>
          <w:color w:val="000000"/>
          <w:szCs w:val="24"/>
        </w:rPr>
      </w:pPr>
      <w:r w:rsidRPr="000C5451">
        <w:rPr>
          <w:rFonts w:ascii="標楷體" w:eastAsia="標楷體" w:hAnsi="標楷體" w:hint="eastAsia"/>
          <w:color w:val="000000"/>
          <w:szCs w:val="24"/>
        </w:rPr>
        <w:t>修正內容依據之法令及相關規定如下：</w:t>
      </w:r>
    </w:p>
    <w:p w:rsidR="001C0A7C" w:rsidRPr="000C5451" w:rsidRDefault="001C0A7C" w:rsidP="001C0A7C">
      <w:pPr>
        <w:pStyle w:val="a3"/>
        <w:numPr>
          <w:ilvl w:val="0"/>
          <w:numId w:val="13"/>
        </w:numPr>
        <w:ind w:leftChars="0"/>
        <w:rPr>
          <w:rFonts w:ascii="標楷體" w:eastAsia="標楷體" w:hAnsi="標楷體"/>
          <w:color w:val="000000"/>
          <w:szCs w:val="24"/>
        </w:rPr>
      </w:pPr>
      <w:r w:rsidRPr="000C5451">
        <w:rPr>
          <w:rFonts w:ascii="標楷體" w:eastAsia="標楷體" w:hAnsi="標楷體" w:hint="eastAsia"/>
          <w:bCs/>
          <w:color w:val="000000"/>
          <w:szCs w:val="24"/>
        </w:rPr>
        <w:t>依</w:t>
      </w:r>
      <w:r w:rsidRPr="000C5451">
        <w:rPr>
          <w:rFonts w:ascii="Times New Roman" w:eastAsia="標楷體" w:hAnsi="Times New Roman"/>
          <w:bCs/>
          <w:color w:val="000000"/>
          <w:szCs w:val="24"/>
        </w:rPr>
        <w:t>106.01</w:t>
      </w:r>
      <w:r w:rsidRPr="000C5451">
        <w:rPr>
          <w:rFonts w:ascii="Times New Roman" w:eastAsia="標楷體" w:hAnsi="Times New Roman"/>
          <w:bCs/>
          <w:color w:val="000000"/>
          <w:szCs w:val="24"/>
        </w:rPr>
        <w:t>公</w:t>
      </w:r>
      <w:r w:rsidRPr="000C5451">
        <w:rPr>
          <w:rFonts w:ascii="標楷體" w:eastAsia="標楷體" w:hAnsi="標楷體" w:hint="eastAsia"/>
          <w:bCs/>
          <w:color w:val="000000"/>
          <w:szCs w:val="24"/>
        </w:rPr>
        <w:t>告之證券商月計表格式修正</w:t>
      </w:r>
      <w:r w:rsidRPr="000C5451">
        <w:rPr>
          <w:rFonts w:ascii="標楷體" w:eastAsia="標楷體" w:hAnsi="標楷體"/>
          <w:bCs/>
          <w:color w:val="000000"/>
          <w:szCs w:val="24"/>
        </w:rPr>
        <w:t>會計項目及會計處理</w:t>
      </w:r>
      <w:r w:rsidR="006E1FFD" w:rsidRPr="000C5451">
        <w:rPr>
          <w:rFonts w:ascii="標楷體" w:eastAsia="標楷體" w:hAnsi="標楷體" w:hint="eastAsia"/>
          <w:bCs/>
          <w:color w:val="000000"/>
          <w:szCs w:val="24"/>
        </w:rPr>
        <w:t>。</w:t>
      </w:r>
    </w:p>
    <w:p w:rsidR="00D62D6F" w:rsidRPr="000C5451" w:rsidRDefault="001C0A7C" w:rsidP="00600C1C">
      <w:pPr>
        <w:pStyle w:val="a3"/>
        <w:numPr>
          <w:ilvl w:val="0"/>
          <w:numId w:val="13"/>
        </w:numPr>
        <w:ind w:leftChars="0"/>
        <w:rPr>
          <w:rFonts w:ascii="標楷體" w:eastAsia="標楷體" w:hAnsi="標楷體"/>
          <w:bCs/>
          <w:color w:val="000000"/>
          <w:szCs w:val="24"/>
        </w:rPr>
      </w:pPr>
      <w:r w:rsidRPr="000C5451">
        <w:rPr>
          <w:rFonts w:ascii="標楷體" w:eastAsia="標楷體" w:hAnsi="標楷體" w:hint="eastAsia"/>
          <w:bCs/>
          <w:color w:val="000000"/>
          <w:szCs w:val="24"/>
        </w:rPr>
        <w:t>依</w:t>
      </w:r>
      <w:r w:rsidR="00600C1C" w:rsidRPr="000C5451">
        <w:rPr>
          <w:rFonts w:ascii="標楷體" w:eastAsia="標楷體" w:hAnsi="標楷體" w:hint="eastAsia"/>
          <w:snapToGrid w:val="0"/>
          <w:color w:val="000000"/>
        </w:rPr>
        <w:t>前次修改迄今</w:t>
      </w:r>
      <w:r w:rsidRPr="000C5451">
        <w:rPr>
          <w:rFonts w:ascii="標楷體" w:eastAsia="標楷體" w:hAnsi="標楷體" w:hint="eastAsia"/>
          <w:bCs/>
          <w:color w:val="000000"/>
          <w:szCs w:val="24"/>
        </w:rPr>
        <w:t>已</w:t>
      </w:r>
      <w:r w:rsidRPr="000C5451">
        <w:rPr>
          <w:rFonts w:ascii="Times New Roman" w:eastAsia="標楷體" w:hAnsi="Times New Roman"/>
          <w:bCs/>
          <w:color w:val="000000"/>
          <w:szCs w:val="24"/>
        </w:rPr>
        <w:t>核准辦理之新種業務或現辦理業務法規</w:t>
      </w:r>
      <w:r w:rsidR="00600C1C" w:rsidRPr="000C5451">
        <w:rPr>
          <w:rFonts w:ascii="Times New Roman" w:eastAsia="標楷體" w:hAnsi="Times New Roman" w:hint="eastAsia"/>
          <w:bCs/>
          <w:color w:val="000000"/>
          <w:szCs w:val="24"/>
        </w:rPr>
        <w:t>修正</w:t>
      </w:r>
      <w:r w:rsidRPr="000C5451">
        <w:rPr>
          <w:rFonts w:ascii="Times New Roman" w:eastAsia="標楷體" w:hAnsi="Times New Roman"/>
          <w:bCs/>
          <w:color w:val="000000"/>
          <w:szCs w:val="24"/>
        </w:rPr>
        <w:t>會計處理</w:t>
      </w:r>
      <w:r w:rsidR="006E1FFD" w:rsidRPr="000C5451">
        <w:rPr>
          <w:rFonts w:ascii="Times New Roman" w:eastAsia="標楷體" w:hAnsi="Times New Roman" w:hint="eastAsia"/>
          <w:bCs/>
          <w:color w:val="000000"/>
          <w:szCs w:val="24"/>
        </w:rPr>
        <w:t>。</w:t>
      </w:r>
    </w:p>
    <w:p w:rsidR="001C0A7C" w:rsidRPr="000C5451" w:rsidRDefault="001C0A7C" w:rsidP="001C0A7C">
      <w:pPr>
        <w:pStyle w:val="a3"/>
        <w:ind w:leftChars="0"/>
        <w:rPr>
          <w:rFonts w:ascii="標楷體" w:eastAsia="標楷體" w:hAnsi="標楷體"/>
          <w:color w:val="000000"/>
          <w:szCs w:val="24"/>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總說明</w:t>
      </w:r>
    </w:p>
    <w:p w:rsidR="006E1FFD" w:rsidRPr="000C5451" w:rsidRDefault="00826243" w:rsidP="006E1FFD">
      <w:pPr>
        <w:pStyle w:val="a3"/>
        <w:ind w:leftChars="0" w:left="1065"/>
        <w:rPr>
          <w:rFonts w:ascii="標楷體" w:eastAsia="標楷體" w:hAnsi="標楷體"/>
        </w:rPr>
      </w:pPr>
      <w:r>
        <w:rPr>
          <w:rFonts w:ascii="標楷體" w:eastAsia="標楷體" w:hAnsi="標楷體" w:hint="eastAsia"/>
          <w:snapToGrid w:val="0"/>
          <w:color w:val="000000"/>
        </w:rPr>
        <w:t>未</w:t>
      </w:r>
      <w:r w:rsidR="00D62D6F" w:rsidRPr="000C5451">
        <w:rPr>
          <w:rFonts w:eastAsia="標楷體" w:hAnsi="標楷體" w:hint="eastAsia"/>
          <w:color w:val="000000"/>
        </w:rPr>
        <w:t>修改</w:t>
      </w:r>
      <w:r w:rsidR="00D62D6F" w:rsidRPr="000C5451">
        <w:rPr>
          <w:rFonts w:eastAsia="標楷體" w:hint="eastAsia"/>
          <w:color w:val="000000"/>
        </w:rPr>
        <w:t>。</w:t>
      </w:r>
    </w:p>
    <w:p w:rsidR="00D62D6F" w:rsidRPr="000C5451" w:rsidRDefault="00D62D6F" w:rsidP="00B427AB">
      <w:pPr>
        <w:pStyle w:val="a3"/>
        <w:ind w:leftChars="0" w:left="1065"/>
        <w:rPr>
          <w:rFonts w:ascii="標楷體" w:eastAsia="標楷體" w:hAnsi="標楷體"/>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會計項目</w:t>
      </w:r>
    </w:p>
    <w:p w:rsidR="00D62D6F" w:rsidRPr="000C5451" w:rsidRDefault="00D62D6F" w:rsidP="00115A32">
      <w:pPr>
        <w:pStyle w:val="a3"/>
        <w:ind w:leftChars="0" w:left="1065"/>
        <w:rPr>
          <w:rFonts w:ascii="標楷體" w:eastAsia="標楷體" w:hAnsi="標楷體"/>
          <w:szCs w:val="24"/>
        </w:rPr>
      </w:pPr>
      <w:r w:rsidRPr="000C5451">
        <w:rPr>
          <w:rFonts w:ascii="標楷體" w:eastAsia="標楷體" w:hAnsi="標楷體" w:hint="eastAsia"/>
          <w:szCs w:val="24"/>
        </w:rPr>
        <w:t>依</w:t>
      </w:r>
      <w:r w:rsidR="006E1FFD" w:rsidRPr="000C5451">
        <w:rPr>
          <w:rFonts w:ascii="Times New Roman" w:eastAsia="標楷體" w:hAnsi="Times New Roman"/>
          <w:bCs/>
          <w:color w:val="000000"/>
          <w:szCs w:val="24"/>
        </w:rPr>
        <w:t>106.01</w:t>
      </w:r>
      <w:r w:rsidR="006E1FFD" w:rsidRPr="000C5451">
        <w:rPr>
          <w:rFonts w:ascii="Times New Roman" w:eastAsia="標楷體" w:hAnsi="Times New Roman"/>
          <w:bCs/>
          <w:color w:val="000000"/>
          <w:szCs w:val="24"/>
        </w:rPr>
        <w:t>公</w:t>
      </w:r>
      <w:r w:rsidR="006E1FFD" w:rsidRPr="000C5451">
        <w:rPr>
          <w:rFonts w:ascii="標楷體" w:eastAsia="標楷體" w:hAnsi="標楷體" w:hint="eastAsia"/>
          <w:bCs/>
          <w:color w:val="000000"/>
          <w:szCs w:val="24"/>
        </w:rPr>
        <w:t>告之證券商月計表格式修正</w:t>
      </w:r>
      <w:r w:rsidR="006E1FFD" w:rsidRPr="000C5451">
        <w:rPr>
          <w:rFonts w:ascii="標楷體" w:eastAsia="標楷體" w:hAnsi="標楷體"/>
          <w:bCs/>
          <w:color w:val="000000"/>
          <w:szCs w:val="24"/>
        </w:rPr>
        <w:t>會計項目</w:t>
      </w:r>
      <w:r w:rsidR="006E1FFD" w:rsidRPr="000C5451">
        <w:rPr>
          <w:rFonts w:ascii="新細明體" w:hAnsi="新細明體" w:hint="eastAsia"/>
          <w:bCs/>
          <w:color w:val="000000"/>
          <w:szCs w:val="24"/>
        </w:rPr>
        <w:t>、</w:t>
      </w:r>
      <w:r w:rsidR="00E23BB2" w:rsidRPr="000C5451">
        <w:rPr>
          <w:rFonts w:ascii="標楷體" w:eastAsia="標楷體" w:hAnsi="標楷體" w:hint="eastAsia"/>
          <w:bCs/>
          <w:color w:val="000000"/>
          <w:szCs w:val="24"/>
        </w:rPr>
        <w:t>編號及說明</w:t>
      </w:r>
      <w:r w:rsidRPr="000C5451">
        <w:rPr>
          <w:rFonts w:ascii="標楷體" w:eastAsia="標楷體" w:hAnsi="標楷體" w:hint="eastAsia"/>
          <w:szCs w:val="24"/>
        </w:rPr>
        <w:t>。</w:t>
      </w:r>
    </w:p>
    <w:p w:rsidR="000954FB" w:rsidRPr="000C5451" w:rsidRDefault="000954FB" w:rsidP="000954FB">
      <w:pPr>
        <w:pStyle w:val="a3"/>
        <w:numPr>
          <w:ilvl w:val="0"/>
          <w:numId w:val="9"/>
        </w:numPr>
        <w:tabs>
          <w:tab w:val="clear" w:pos="340"/>
          <w:tab w:val="num" w:pos="1405"/>
        </w:tabs>
        <w:ind w:leftChars="0" w:left="1405"/>
        <w:rPr>
          <w:rFonts w:ascii="Times New Roman" w:eastAsia="標楷體" w:hAnsi="標楷體"/>
          <w:color w:val="000000"/>
          <w:szCs w:val="24"/>
        </w:rPr>
      </w:pPr>
      <w:r w:rsidRPr="000C5451">
        <w:rPr>
          <w:rFonts w:ascii="Times New Roman" w:eastAsia="標楷體" w:hAnsi="標楷體" w:hint="eastAsia"/>
          <w:color w:val="000000"/>
          <w:szCs w:val="24"/>
        </w:rPr>
        <w:t>會計項目因</w:t>
      </w:r>
      <w:r w:rsidRPr="000C5451">
        <w:rPr>
          <w:rFonts w:ascii="標楷體" w:eastAsia="標楷體" w:hAnsi="標楷體" w:hint="eastAsia"/>
          <w:snapToGrid w:val="0"/>
          <w:color w:val="000000"/>
        </w:rPr>
        <w:t>配合金管會已核准證券商辦理新種業務或現辦理業務之法規修正而予以增修。</w:t>
      </w:r>
    </w:p>
    <w:p w:rsidR="000954FB" w:rsidRPr="000C5451" w:rsidRDefault="000954FB" w:rsidP="000954FB">
      <w:pPr>
        <w:pStyle w:val="a3"/>
        <w:numPr>
          <w:ilvl w:val="0"/>
          <w:numId w:val="9"/>
        </w:numPr>
        <w:tabs>
          <w:tab w:val="clear" w:pos="340"/>
          <w:tab w:val="num" w:pos="1405"/>
        </w:tabs>
        <w:ind w:leftChars="0" w:left="1405"/>
        <w:rPr>
          <w:rFonts w:ascii="Times New Roman" w:eastAsia="標楷體" w:hAnsi="Times New Roman"/>
          <w:color w:val="000000"/>
          <w:szCs w:val="24"/>
        </w:rPr>
      </w:pPr>
      <w:r w:rsidRPr="000C5451">
        <w:rPr>
          <w:rFonts w:ascii="標楷體" w:eastAsia="標楷體" w:hAnsi="標楷體" w:hint="eastAsia"/>
          <w:snapToGrid w:val="0"/>
          <w:color w:val="000000"/>
        </w:rPr>
        <w:t>會計項目因應適用</w:t>
      </w:r>
      <w:r w:rsidRPr="000C5451">
        <w:rPr>
          <w:rFonts w:ascii="Times New Roman" w:eastAsia="標楷體" w:hAnsi="Times New Roman"/>
          <w:snapToGrid w:val="0"/>
          <w:color w:val="000000"/>
        </w:rPr>
        <w:t>2013</w:t>
      </w:r>
      <w:r w:rsidRPr="000C5451">
        <w:rPr>
          <w:rFonts w:ascii="Times New Roman" w:eastAsia="標楷體" w:hAnsi="Times New Roman" w:hint="eastAsia"/>
          <w:snapToGrid w:val="0"/>
          <w:color w:val="000000"/>
        </w:rPr>
        <w:t>年版</w:t>
      </w:r>
      <w:r w:rsidRPr="000C5451">
        <w:rPr>
          <w:rFonts w:ascii="Times New Roman" w:eastAsia="標楷體" w:hAnsi="Times New Roman"/>
          <w:snapToGrid w:val="0"/>
          <w:color w:val="000000"/>
        </w:rPr>
        <w:t>IFRS</w:t>
      </w:r>
      <w:r w:rsidRPr="000C5451">
        <w:rPr>
          <w:rFonts w:ascii="Times New Roman" w:eastAsia="標楷體" w:hAnsi="Times New Roman" w:hint="eastAsia"/>
          <w:snapToGrid w:val="0"/>
          <w:color w:val="000000"/>
        </w:rPr>
        <w:t>而予以增修。</w:t>
      </w:r>
    </w:p>
    <w:p w:rsidR="000954FB" w:rsidRPr="000C5451" w:rsidRDefault="000954FB" w:rsidP="000954FB">
      <w:pPr>
        <w:ind w:left="1065"/>
        <w:rPr>
          <w:rFonts w:ascii="Times New Roman" w:eastAsia="標楷體" w:hAnsi="標楷體"/>
          <w:color w:val="000000"/>
          <w:szCs w:val="24"/>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會計憑證</w:t>
      </w:r>
    </w:p>
    <w:p w:rsidR="00D62D6F" w:rsidRPr="000C5451" w:rsidRDefault="006E1FFD" w:rsidP="00115A32">
      <w:pPr>
        <w:pStyle w:val="a3"/>
        <w:ind w:leftChars="0" w:left="1065"/>
        <w:rPr>
          <w:rFonts w:eastAsia="標楷體"/>
          <w:color w:val="000000"/>
        </w:rPr>
      </w:pPr>
      <w:r w:rsidRPr="000C5451">
        <w:rPr>
          <w:rFonts w:eastAsia="標楷體" w:hint="eastAsia"/>
          <w:color w:val="000000"/>
        </w:rPr>
        <w:t>未</w:t>
      </w:r>
      <w:r w:rsidR="00D62D6F" w:rsidRPr="000C5451">
        <w:rPr>
          <w:rFonts w:eastAsia="標楷體" w:hint="eastAsia"/>
          <w:color w:val="000000"/>
        </w:rPr>
        <w:t>修改。</w:t>
      </w:r>
    </w:p>
    <w:p w:rsidR="000954FB" w:rsidRPr="000C5451" w:rsidRDefault="000954FB" w:rsidP="00115A32">
      <w:pPr>
        <w:pStyle w:val="a3"/>
        <w:ind w:leftChars="0" w:left="1065"/>
        <w:rPr>
          <w:rFonts w:ascii="標楷體" w:eastAsia="標楷體" w:hAnsi="標楷體"/>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會計簿籍</w:t>
      </w:r>
    </w:p>
    <w:p w:rsidR="00D62D6F" w:rsidRPr="000C5451" w:rsidRDefault="006E1FFD" w:rsidP="00115A32">
      <w:pPr>
        <w:pStyle w:val="a3"/>
        <w:ind w:leftChars="0" w:left="1065"/>
        <w:rPr>
          <w:rFonts w:eastAsia="標楷體"/>
          <w:color w:val="000000"/>
        </w:rPr>
      </w:pPr>
      <w:r w:rsidRPr="000C5451">
        <w:rPr>
          <w:rFonts w:ascii="標楷體" w:eastAsia="標楷體" w:hAnsi="標楷體" w:hint="eastAsia"/>
          <w:szCs w:val="24"/>
        </w:rPr>
        <w:t>未</w:t>
      </w:r>
      <w:r w:rsidR="00D62D6F" w:rsidRPr="000C5451">
        <w:rPr>
          <w:rFonts w:eastAsia="標楷體" w:hint="eastAsia"/>
          <w:color w:val="000000"/>
        </w:rPr>
        <w:t>修改。</w:t>
      </w:r>
    </w:p>
    <w:p w:rsidR="000954FB" w:rsidRPr="000C5451" w:rsidRDefault="000954FB" w:rsidP="00115A32">
      <w:pPr>
        <w:pStyle w:val="a3"/>
        <w:ind w:leftChars="0" w:left="1065"/>
        <w:rPr>
          <w:rFonts w:ascii="標楷體" w:eastAsia="標楷體" w:hAnsi="標楷體"/>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會計報告</w:t>
      </w:r>
    </w:p>
    <w:p w:rsidR="00D62D6F" w:rsidRPr="000C5451" w:rsidRDefault="00826243" w:rsidP="00CE3FDF">
      <w:pPr>
        <w:pStyle w:val="a3"/>
        <w:ind w:leftChars="0" w:left="1065"/>
        <w:jc w:val="both"/>
        <w:rPr>
          <w:rFonts w:eastAsia="標楷體"/>
          <w:color w:val="000000"/>
        </w:rPr>
      </w:pPr>
      <w:r>
        <w:rPr>
          <w:rFonts w:ascii="標楷體" w:eastAsia="標楷體" w:hAnsi="標楷體" w:hint="eastAsia"/>
          <w:szCs w:val="24"/>
        </w:rPr>
        <w:t>未修改</w:t>
      </w:r>
      <w:r w:rsidR="00D62D6F" w:rsidRPr="000C5451">
        <w:rPr>
          <w:rFonts w:eastAsia="標楷體" w:hint="eastAsia"/>
          <w:color w:val="000000"/>
        </w:rPr>
        <w:t>。</w:t>
      </w:r>
    </w:p>
    <w:p w:rsidR="000954FB" w:rsidRPr="000C5451" w:rsidRDefault="000954FB" w:rsidP="00CE3FDF">
      <w:pPr>
        <w:pStyle w:val="a3"/>
        <w:ind w:leftChars="0" w:left="1065"/>
        <w:jc w:val="both"/>
        <w:rPr>
          <w:rFonts w:ascii="Times New Roman" w:eastAsia="標楷體" w:hAnsi="Times New Roman"/>
          <w:color w:val="000000"/>
          <w:szCs w:val="24"/>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會計事務處理準則</w:t>
      </w:r>
    </w:p>
    <w:p w:rsidR="00D62D6F" w:rsidRPr="000C5451" w:rsidRDefault="00D62D6F" w:rsidP="000954FB">
      <w:pPr>
        <w:pStyle w:val="a3"/>
        <w:ind w:leftChars="0" w:left="1065"/>
        <w:rPr>
          <w:rFonts w:eastAsia="標楷體"/>
          <w:color w:val="000000"/>
        </w:rPr>
      </w:pPr>
      <w:r w:rsidRPr="000C5451">
        <w:rPr>
          <w:rFonts w:ascii="標楷體" w:eastAsia="標楷體" w:hAnsi="標楷體" w:hint="eastAsia"/>
          <w:szCs w:val="24"/>
        </w:rPr>
        <w:t>依現行法令、</w:t>
      </w:r>
      <w:r w:rsidRPr="000C5451">
        <w:rPr>
          <w:rFonts w:ascii="Times New Roman" w:eastAsia="標楷體" w:hAnsi="標楷體" w:hint="eastAsia"/>
          <w:color w:val="000000"/>
          <w:szCs w:val="24"/>
        </w:rPr>
        <w:t>證券商財務報告編製準則</w:t>
      </w:r>
      <w:r w:rsidRPr="000C5451">
        <w:rPr>
          <w:rFonts w:ascii="標楷體" w:eastAsia="標楷體" w:hAnsi="標楷體" w:hint="eastAsia"/>
          <w:szCs w:val="24"/>
        </w:rPr>
        <w:t>、</w:t>
      </w:r>
      <w:r w:rsidR="000954FB" w:rsidRPr="000C5451">
        <w:rPr>
          <w:rFonts w:ascii="標楷體" w:eastAsia="標楷體" w:hAnsi="標楷體" w:hint="eastAsia"/>
          <w:szCs w:val="24"/>
        </w:rPr>
        <w:t>國際財務會計準則及國際財務報導準則修改相關規定</w:t>
      </w:r>
      <w:r w:rsidRPr="000C5451">
        <w:rPr>
          <w:rFonts w:eastAsia="標楷體" w:hint="eastAsia"/>
          <w:color w:val="000000"/>
        </w:rPr>
        <w:t>。</w:t>
      </w:r>
    </w:p>
    <w:p w:rsidR="000954FB" w:rsidRPr="000C5451" w:rsidRDefault="000954FB" w:rsidP="000954FB">
      <w:pPr>
        <w:pStyle w:val="a3"/>
        <w:ind w:leftChars="0" w:left="1065"/>
        <w:rPr>
          <w:rFonts w:ascii="標楷體" w:eastAsia="標楷體" w:hAnsi="標楷體"/>
          <w:szCs w:val="24"/>
        </w:rPr>
      </w:pPr>
      <w:bookmarkStart w:id="0" w:name="_GoBack"/>
      <w:bookmarkEnd w:id="0"/>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t>會計事務處理程序</w:t>
      </w:r>
    </w:p>
    <w:p w:rsidR="00D62D6F" w:rsidRPr="000C5451" w:rsidRDefault="00D62D6F" w:rsidP="00C66D48">
      <w:pPr>
        <w:pStyle w:val="a3"/>
        <w:ind w:leftChars="0" w:left="1065"/>
        <w:rPr>
          <w:rFonts w:ascii="標楷體" w:eastAsia="標楷體" w:hAnsi="標楷體"/>
          <w:szCs w:val="24"/>
        </w:rPr>
      </w:pPr>
      <w:r w:rsidRPr="000C5451">
        <w:rPr>
          <w:rFonts w:ascii="標楷體" w:eastAsia="標楷體" w:hAnsi="標楷體" w:hint="eastAsia"/>
          <w:szCs w:val="24"/>
        </w:rPr>
        <w:t>依據下列法令及解釋函令更新相關規定：</w:t>
      </w:r>
    </w:p>
    <w:p w:rsidR="000C5451" w:rsidRPr="000C5451" w:rsidRDefault="000C5451" w:rsidP="000C5451">
      <w:pPr>
        <w:pStyle w:val="a3"/>
        <w:numPr>
          <w:ilvl w:val="0"/>
          <w:numId w:val="4"/>
        </w:numPr>
        <w:spacing w:line="240" w:lineRule="atLeast"/>
        <w:ind w:leftChars="0"/>
        <w:rPr>
          <w:rFonts w:ascii="Times New Roman" w:eastAsia="標楷體" w:hAnsi="標楷體"/>
          <w:color w:val="000000"/>
          <w:szCs w:val="24"/>
        </w:rPr>
      </w:pPr>
      <w:r w:rsidRPr="000C5451">
        <w:rPr>
          <w:rFonts w:ascii="Times New Roman" w:eastAsia="標楷體" w:hAnsi="標楷體" w:hint="eastAsia"/>
          <w:color w:val="000000"/>
          <w:szCs w:val="24"/>
        </w:rPr>
        <w:t>出售證券收入及成本以淨額列示處分營業證券淨損益。</w:t>
      </w:r>
    </w:p>
    <w:p w:rsidR="000C5451" w:rsidRPr="00E1776D" w:rsidRDefault="000C5451" w:rsidP="000C5451">
      <w:pPr>
        <w:pStyle w:val="a3"/>
        <w:numPr>
          <w:ilvl w:val="0"/>
          <w:numId w:val="4"/>
        </w:numPr>
        <w:spacing w:line="240" w:lineRule="atLeast"/>
        <w:ind w:leftChars="0"/>
        <w:rPr>
          <w:rFonts w:ascii="Times New Roman" w:eastAsia="標楷體" w:hAnsi="標楷體"/>
          <w:color w:val="000000"/>
          <w:szCs w:val="24"/>
        </w:rPr>
      </w:pPr>
      <w:r w:rsidRPr="00E1776D">
        <w:rPr>
          <w:rFonts w:ascii="Times New Roman" w:eastAsia="標楷體" w:hAnsi="標楷體" w:hint="eastAsia"/>
          <w:color w:val="000000"/>
          <w:szCs w:val="24"/>
        </w:rPr>
        <w:t>配合</w:t>
      </w:r>
      <w:r w:rsidRPr="00E1776D">
        <w:rPr>
          <w:rFonts w:ascii="Times New Roman" w:eastAsia="標楷體" w:hAnsi="標楷體"/>
          <w:color w:val="000000"/>
          <w:szCs w:val="24"/>
        </w:rPr>
        <w:t>106</w:t>
      </w:r>
      <w:r w:rsidRPr="00E1776D">
        <w:rPr>
          <w:rFonts w:ascii="Times New Roman" w:eastAsia="標楷體" w:hAnsi="標楷體" w:hint="eastAsia"/>
          <w:color w:val="000000"/>
          <w:szCs w:val="24"/>
        </w:rPr>
        <w:t>年</w:t>
      </w:r>
      <w:r w:rsidRPr="00E1776D">
        <w:rPr>
          <w:rFonts w:ascii="Times New Roman" w:eastAsia="標楷體" w:hAnsi="標楷體" w:hint="eastAsia"/>
          <w:color w:val="000000"/>
          <w:szCs w:val="24"/>
        </w:rPr>
        <w:t>1</w:t>
      </w:r>
      <w:r w:rsidRPr="00E1776D">
        <w:rPr>
          <w:rFonts w:ascii="Times New Roman" w:eastAsia="標楷體" w:hAnsi="標楷體" w:hint="eastAsia"/>
          <w:color w:val="000000"/>
          <w:szCs w:val="24"/>
        </w:rPr>
        <w:t>月公告之證券商月計表格式修正會計項目。</w:t>
      </w:r>
    </w:p>
    <w:p w:rsidR="000C5451" w:rsidRPr="00E1776D" w:rsidRDefault="000C5451" w:rsidP="000C5451">
      <w:pPr>
        <w:pStyle w:val="a3"/>
        <w:numPr>
          <w:ilvl w:val="0"/>
          <w:numId w:val="4"/>
        </w:numPr>
        <w:spacing w:line="240" w:lineRule="atLeast"/>
        <w:ind w:leftChars="0"/>
        <w:rPr>
          <w:rFonts w:ascii="Times New Roman" w:eastAsia="標楷體" w:hAnsi="標楷體"/>
          <w:color w:val="000000"/>
          <w:szCs w:val="24"/>
        </w:rPr>
      </w:pPr>
      <w:r w:rsidRPr="00E1776D">
        <w:rPr>
          <w:rFonts w:ascii="Times New Roman" w:eastAsia="標楷體" w:hAnsi="標楷體" w:hint="eastAsia"/>
          <w:color w:val="000000"/>
          <w:szCs w:val="24"/>
        </w:rPr>
        <w:t>配合</w:t>
      </w:r>
      <w:r w:rsidRPr="00E1776D">
        <w:rPr>
          <w:rFonts w:ascii="Times New Roman" w:eastAsia="標楷體" w:hAnsi="標楷體" w:hint="eastAsia"/>
          <w:color w:val="000000"/>
          <w:szCs w:val="24"/>
        </w:rPr>
        <w:t>104</w:t>
      </w:r>
      <w:r w:rsidR="00F8466A" w:rsidRPr="00E1776D">
        <w:rPr>
          <w:rFonts w:ascii="Times New Roman" w:eastAsia="標楷體" w:hAnsi="標楷體" w:hint="eastAsia"/>
          <w:color w:val="000000"/>
          <w:szCs w:val="24"/>
        </w:rPr>
        <w:t>.06.0</w:t>
      </w:r>
      <w:r w:rsidRPr="00E1776D">
        <w:rPr>
          <w:rFonts w:ascii="Times New Roman" w:eastAsia="標楷體" w:hAnsi="標楷體" w:hint="eastAsia"/>
          <w:color w:val="000000"/>
          <w:szCs w:val="24"/>
        </w:rPr>
        <w:t>4</w:t>
      </w:r>
      <w:r w:rsidRPr="00E1776D">
        <w:rPr>
          <w:rFonts w:ascii="Times New Roman" w:eastAsia="標楷體" w:hAnsi="標楷體" w:hint="eastAsia"/>
          <w:color w:val="000000"/>
          <w:szCs w:val="24"/>
        </w:rPr>
        <w:t>訂定之</w:t>
      </w:r>
      <w:r w:rsidRPr="00E1776D">
        <w:rPr>
          <w:rFonts w:ascii="標楷體" w:eastAsia="標楷體" w:hAnsi="標楷體" w:hint="eastAsia"/>
          <w:color w:val="000000"/>
          <w:szCs w:val="24"/>
        </w:rPr>
        <w:t>「</w:t>
      </w:r>
      <w:r w:rsidRPr="00E1776D">
        <w:rPr>
          <w:rFonts w:ascii="Times New Roman" w:eastAsia="標楷體" w:hAnsi="標楷體"/>
          <w:color w:val="000000"/>
          <w:szCs w:val="24"/>
        </w:rPr>
        <w:t>證券商交割專戶設置客戶分戶帳作業要點</w:t>
      </w:r>
      <w:r w:rsidRPr="00E1776D">
        <w:rPr>
          <w:rFonts w:ascii="Times New Roman" w:eastAsia="標楷體" w:hAnsi="標楷體" w:hint="eastAsia"/>
          <w:color w:val="000000"/>
          <w:szCs w:val="24"/>
        </w:rPr>
        <w:t>」，增訂證券</w:t>
      </w:r>
      <w:proofErr w:type="gramStart"/>
      <w:r w:rsidRPr="00E1776D">
        <w:rPr>
          <w:rFonts w:ascii="Times New Roman" w:eastAsia="標楷體" w:hAnsi="標楷體" w:hint="eastAsia"/>
          <w:color w:val="000000"/>
          <w:szCs w:val="24"/>
        </w:rPr>
        <w:t>商專戶分戶</w:t>
      </w:r>
      <w:proofErr w:type="gramEnd"/>
      <w:r w:rsidRPr="00E1776D">
        <w:rPr>
          <w:rFonts w:ascii="Times New Roman" w:eastAsia="標楷體" w:hAnsi="標楷體" w:hint="eastAsia"/>
          <w:color w:val="000000"/>
          <w:szCs w:val="24"/>
        </w:rPr>
        <w:t>帳業務之會計處理。</w:t>
      </w:r>
    </w:p>
    <w:p w:rsidR="00D62D6F" w:rsidRPr="000C5451" w:rsidRDefault="00D62D6F" w:rsidP="00D2252E">
      <w:pPr>
        <w:spacing w:line="240" w:lineRule="atLeast"/>
        <w:rPr>
          <w:rFonts w:ascii="Times New Roman" w:eastAsia="標楷體" w:hAnsi="Times New Roman"/>
          <w:color w:val="000000"/>
          <w:szCs w:val="24"/>
        </w:rPr>
      </w:pPr>
    </w:p>
    <w:p w:rsidR="00D62D6F" w:rsidRPr="000C5451" w:rsidRDefault="00D62D6F" w:rsidP="00B427AB">
      <w:pPr>
        <w:pStyle w:val="a3"/>
        <w:numPr>
          <w:ilvl w:val="0"/>
          <w:numId w:val="1"/>
        </w:numPr>
        <w:ind w:leftChars="0"/>
        <w:rPr>
          <w:rFonts w:ascii="標楷體" w:eastAsia="標楷體" w:hAnsi="標楷體"/>
        </w:rPr>
      </w:pPr>
      <w:r w:rsidRPr="000C5451">
        <w:rPr>
          <w:rFonts w:ascii="標楷體" w:eastAsia="標楷體" w:hAnsi="標楷體" w:hint="eastAsia"/>
          <w:szCs w:val="24"/>
        </w:rPr>
        <w:lastRenderedPageBreak/>
        <w:t>內部會計控制</w:t>
      </w:r>
    </w:p>
    <w:p w:rsidR="00D62D6F" w:rsidRPr="000C5451" w:rsidRDefault="00E1776D" w:rsidP="00402B2B">
      <w:pPr>
        <w:pStyle w:val="a3"/>
        <w:ind w:leftChars="0" w:left="1065"/>
        <w:rPr>
          <w:rFonts w:eastAsia="標楷體"/>
          <w:color w:val="000000"/>
        </w:rPr>
      </w:pPr>
      <w:r>
        <w:rPr>
          <w:rFonts w:ascii="標楷體" w:eastAsia="標楷體" w:hAnsi="標楷體" w:hint="eastAsia"/>
          <w:szCs w:val="24"/>
        </w:rPr>
        <w:t>未修改</w:t>
      </w:r>
      <w:r w:rsidR="00D62D6F" w:rsidRPr="000C5451">
        <w:rPr>
          <w:rFonts w:eastAsia="標楷體" w:hint="eastAsia"/>
          <w:color w:val="000000"/>
        </w:rPr>
        <w:t>。</w:t>
      </w:r>
    </w:p>
    <w:p w:rsidR="009A4556" w:rsidRPr="000C5451" w:rsidRDefault="009A4556" w:rsidP="00402B2B">
      <w:pPr>
        <w:pStyle w:val="a3"/>
        <w:ind w:leftChars="0" w:left="1065"/>
        <w:rPr>
          <w:rFonts w:ascii="標楷體" w:eastAsia="標楷體" w:hAnsi="標楷體"/>
        </w:rPr>
      </w:pPr>
    </w:p>
    <w:p w:rsidR="00656CFE" w:rsidRPr="00826243" w:rsidRDefault="00826243" w:rsidP="00826243">
      <w:pPr>
        <w:pStyle w:val="Default"/>
        <w:numPr>
          <w:ilvl w:val="0"/>
          <w:numId w:val="1"/>
        </w:numPr>
        <w:spacing w:after="120"/>
        <w:rPr>
          <w:rFonts w:ascii="標楷體" w:eastAsia="標楷體" w:hAnsi="標楷體"/>
        </w:rPr>
      </w:pPr>
      <w:r w:rsidRPr="00826243">
        <w:rPr>
          <w:rFonts w:ascii="標楷體" w:eastAsia="標楷體" w:hAnsi="標楷體" w:hint="eastAsia"/>
        </w:rPr>
        <w:t>會計師查核</w:t>
      </w:r>
      <w:r w:rsidRPr="00826243">
        <w:rPr>
          <w:rFonts w:ascii="標楷體" w:eastAsia="標楷體" w:hAnsi="標楷體"/>
        </w:rPr>
        <w:t>/</w:t>
      </w:r>
      <w:r w:rsidRPr="00826243">
        <w:rPr>
          <w:rFonts w:ascii="標楷體" w:eastAsia="標楷體" w:hAnsi="標楷體" w:hint="eastAsia"/>
        </w:rPr>
        <w:t>核閱之資產負債表及綜合損益表</w:t>
      </w:r>
    </w:p>
    <w:p w:rsidR="00E1776D" w:rsidRPr="00E1776D" w:rsidRDefault="00E1776D" w:rsidP="00E1776D">
      <w:pPr>
        <w:pStyle w:val="a3"/>
        <w:ind w:leftChars="0" w:left="1065"/>
        <w:jc w:val="both"/>
        <w:rPr>
          <w:rFonts w:eastAsia="標楷體"/>
          <w:color w:val="000000"/>
        </w:rPr>
      </w:pPr>
      <w:r w:rsidRPr="00E1776D">
        <w:rPr>
          <w:rFonts w:ascii="標楷體" w:eastAsia="標楷體" w:hAnsi="標楷體" w:hint="eastAsia"/>
          <w:szCs w:val="24"/>
        </w:rPr>
        <w:t>依</w:t>
      </w:r>
      <w:r w:rsidRPr="00E1776D">
        <w:rPr>
          <w:rFonts w:ascii="Times New Roman" w:eastAsia="標楷體" w:hAnsi="Times New Roman"/>
          <w:bCs/>
          <w:color w:val="000000"/>
          <w:szCs w:val="24"/>
        </w:rPr>
        <w:t>106.01</w:t>
      </w:r>
      <w:r w:rsidRPr="00E1776D">
        <w:rPr>
          <w:rFonts w:ascii="Times New Roman" w:eastAsia="標楷體" w:hAnsi="Times New Roman"/>
          <w:bCs/>
          <w:color w:val="000000"/>
          <w:szCs w:val="24"/>
        </w:rPr>
        <w:t>公</w:t>
      </w:r>
      <w:r w:rsidRPr="00E1776D">
        <w:rPr>
          <w:rFonts w:ascii="標楷體" w:eastAsia="標楷體" w:hAnsi="標楷體" w:hint="eastAsia"/>
          <w:bCs/>
          <w:color w:val="000000"/>
          <w:szCs w:val="24"/>
        </w:rPr>
        <w:t>告之證券商月計表格式修正之</w:t>
      </w:r>
      <w:r w:rsidRPr="00E1776D">
        <w:rPr>
          <w:rFonts w:ascii="標楷體" w:eastAsia="標楷體" w:hAnsi="標楷體"/>
          <w:bCs/>
          <w:color w:val="000000"/>
          <w:szCs w:val="24"/>
        </w:rPr>
        <w:t>會計項目</w:t>
      </w:r>
      <w:r w:rsidRPr="00E1776D">
        <w:rPr>
          <w:rFonts w:ascii="標楷體" w:eastAsia="標楷體" w:hAnsi="標楷體" w:hint="eastAsia"/>
          <w:bCs/>
          <w:color w:val="000000"/>
          <w:szCs w:val="24"/>
        </w:rPr>
        <w:t>予以</w:t>
      </w:r>
      <w:r w:rsidRPr="00E1776D">
        <w:rPr>
          <w:rFonts w:ascii="Times New Roman" w:eastAsia="標楷體" w:hAnsi="標楷體" w:hint="eastAsia"/>
          <w:color w:val="000000"/>
          <w:szCs w:val="24"/>
        </w:rPr>
        <w:t>修</w:t>
      </w:r>
      <w:r w:rsidRPr="00E1776D">
        <w:rPr>
          <w:rFonts w:ascii="標楷體" w:eastAsia="標楷體" w:hAnsi="標楷體" w:hint="eastAsia"/>
          <w:szCs w:val="24"/>
        </w:rPr>
        <w:t>訂財務</w:t>
      </w:r>
      <w:r w:rsidRPr="00E1776D">
        <w:rPr>
          <w:rFonts w:ascii="Times New Roman" w:eastAsia="標楷體" w:hAnsi="標楷體" w:hint="eastAsia"/>
          <w:color w:val="000000"/>
          <w:szCs w:val="24"/>
        </w:rPr>
        <w:t>報表內容</w:t>
      </w:r>
      <w:r w:rsidRPr="00E1776D">
        <w:rPr>
          <w:rFonts w:eastAsia="標楷體" w:hint="eastAsia"/>
          <w:color w:val="000000"/>
        </w:rPr>
        <w:t>。</w:t>
      </w:r>
    </w:p>
    <w:p w:rsidR="00656CFE" w:rsidRPr="00E1776D" w:rsidRDefault="00656CFE" w:rsidP="00656CFE">
      <w:pPr>
        <w:pStyle w:val="a3"/>
        <w:ind w:leftChars="0" w:left="1065"/>
        <w:rPr>
          <w:rFonts w:ascii="標楷體" w:eastAsia="標楷體" w:hAnsi="標楷體"/>
          <w:color w:val="000000"/>
          <w:szCs w:val="24"/>
        </w:rPr>
      </w:pPr>
    </w:p>
    <w:p w:rsidR="00D62D6F" w:rsidRPr="00656CFE" w:rsidRDefault="00D62D6F" w:rsidP="000C4B80">
      <w:pPr>
        <w:rPr>
          <w:rFonts w:ascii="標楷體" w:eastAsia="標楷體" w:hAnsi="標楷體"/>
          <w:szCs w:val="24"/>
        </w:rPr>
      </w:pPr>
    </w:p>
    <w:sectPr w:rsidR="00D62D6F" w:rsidRPr="00656CFE" w:rsidSect="0024106C">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1B1" w:rsidRDefault="00F111B1" w:rsidP="00FF7FF5">
      <w:r>
        <w:separator/>
      </w:r>
    </w:p>
  </w:endnote>
  <w:endnote w:type="continuationSeparator" w:id="0">
    <w:p w:rsidR="00F111B1" w:rsidRDefault="00F111B1" w:rsidP="00FF7FF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Courier 10 Pitch"/>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j....">
    <w:altName w:val="......"/>
    <w:panose1 w:val="00000000000000000000"/>
    <w:charset w:val="88"/>
    <w:family w:val="roman"/>
    <w:notTrueType/>
    <w:pitch w:val="default"/>
    <w:sig w:usb0="00000001" w:usb1="08080000" w:usb2="00000010" w:usb3="00000000" w:csb0="00100000"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6F" w:rsidRDefault="00A41725">
    <w:pPr>
      <w:pStyle w:val="a7"/>
      <w:jc w:val="right"/>
    </w:pPr>
    <w:r w:rsidRPr="00A41725">
      <w:fldChar w:fldCharType="begin"/>
    </w:r>
    <w:r w:rsidR="001C202A">
      <w:instrText xml:space="preserve"> PAGE   \* MERGEFORMAT </w:instrText>
    </w:r>
    <w:r w:rsidRPr="00A41725">
      <w:fldChar w:fldCharType="separate"/>
    </w:r>
    <w:r w:rsidR="00BE323F" w:rsidRPr="00BE323F">
      <w:rPr>
        <w:noProof/>
        <w:lang w:val="zh-TW"/>
      </w:rPr>
      <w:t>1</w:t>
    </w:r>
    <w:r>
      <w:rPr>
        <w:noProof/>
        <w:lang w:val="zh-TW"/>
      </w:rPr>
      <w:fldChar w:fldCharType="end"/>
    </w:r>
  </w:p>
  <w:p w:rsidR="00D62D6F" w:rsidRDefault="00D62D6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1B1" w:rsidRDefault="00F111B1" w:rsidP="00FF7FF5">
      <w:r>
        <w:separator/>
      </w:r>
    </w:p>
  </w:footnote>
  <w:footnote w:type="continuationSeparator" w:id="0">
    <w:p w:rsidR="00F111B1" w:rsidRDefault="00F111B1" w:rsidP="00FF7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08A5"/>
    <w:multiLevelType w:val="hybridMultilevel"/>
    <w:tmpl w:val="5B7E7E70"/>
    <w:lvl w:ilvl="0" w:tplc="0A5CE1FC">
      <w:start w:val="1"/>
      <w:numFmt w:val="taiwaneseCountingThousand"/>
      <w:lvlText w:val="第%1章"/>
      <w:lvlJc w:val="left"/>
      <w:pPr>
        <w:ind w:left="1065" w:hanging="106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E16630"/>
    <w:multiLevelType w:val="hybridMultilevel"/>
    <w:tmpl w:val="47C8123E"/>
    <w:lvl w:ilvl="0" w:tplc="B7721798">
      <w:start w:val="1"/>
      <w:numFmt w:val="decimal"/>
      <w:lvlText w:val="%1."/>
      <w:lvlJc w:val="left"/>
      <w:pPr>
        <w:tabs>
          <w:tab w:val="num" w:pos="0"/>
        </w:tabs>
        <w:ind w:left="36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F63635A"/>
    <w:multiLevelType w:val="hybridMultilevel"/>
    <w:tmpl w:val="F9CA7D1C"/>
    <w:lvl w:ilvl="0" w:tplc="0B786534">
      <w:start w:val="1"/>
      <w:numFmt w:val="decimal"/>
      <w:lvlText w:val="%1."/>
      <w:lvlJc w:val="left"/>
      <w:pPr>
        <w:ind w:left="1425" w:hanging="360"/>
      </w:pPr>
      <w:rPr>
        <w:rFonts w:cs="Times New Roman" w:hint="default"/>
        <w:color w:val="auto"/>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3">
    <w:nsid w:val="263E421C"/>
    <w:multiLevelType w:val="hybridMultilevel"/>
    <w:tmpl w:val="F9CA7D1C"/>
    <w:lvl w:ilvl="0" w:tplc="0B786534">
      <w:start w:val="1"/>
      <w:numFmt w:val="decimal"/>
      <w:lvlText w:val="%1."/>
      <w:lvlJc w:val="left"/>
      <w:pPr>
        <w:ind w:left="1425" w:hanging="360"/>
      </w:pPr>
      <w:rPr>
        <w:rFonts w:cs="Times New Roman" w:hint="default"/>
        <w:color w:val="auto"/>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4">
    <w:nsid w:val="289E740C"/>
    <w:multiLevelType w:val="hybridMultilevel"/>
    <w:tmpl w:val="8220A1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F9A5A30"/>
    <w:multiLevelType w:val="hybridMultilevel"/>
    <w:tmpl w:val="52A04002"/>
    <w:lvl w:ilvl="0" w:tplc="0409000F">
      <w:start w:val="1"/>
      <w:numFmt w:val="decimal"/>
      <w:lvlText w:val="%1."/>
      <w:lvlJc w:val="left"/>
      <w:pPr>
        <w:ind w:left="1545" w:hanging="480"/>
      </w:pPr>
      <w:rPr>
        <w:rFonts w:cs="Times New Roman"/>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6">
    <w:nsid w:val="304F7571"/>
    <w:multiLevelType w:val="hybridMultilevel"/>
    <w:tmpl w:val="7DB028A8"/>
    <w:lvl w:ilvl="0" w:tplc="24D8FF58">
      <w:start w:val="1"/>
      <w:numFmt w:val="bullet"/>
      <w:lvlText w:val=""/>
      <w:lvlJc w:val="left"/>
      <w:pPr>
        <w:ind w:left="480" w:hanging="480"/>
      </w:pPr>
      <w:rPr>
        <w:rFonts w:ascii="Wingdings" w:hAnsi="Wingdings" w:hint="default"/>
        <w:color w:val="auto"/>
        <w:sz w:val="2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D570351"/>
    <w:multiLevelType w:val="singleLevel"/>
    <w:tmpl w:val="90F6C95C"/>
    <w:lvl w:ilvl="0">
      <w:start w:val="1"/>
      <w:numFmt w:val="bullet"/>
      <w:lvlText w:val=""/>
      <w:lvlJc w:val="left"/>
      <w:pPr>
        <w:tabs>
          <w:tab w:val="num" w:pos="340"/>
        </w:tabs>
        <w:ind w:left="340" w:hanging="340"/>
      </w:pPr>
      <w:rPr>
        <w:rFonts w:ascii="Wingdings" w:hAnsi="Wingdings" w:hint="default"/>
        <w:color w:val="auto"/>
        <w:sz w:val="22"/>
      </w:rPr>
    </w:lvl>
  </w:abstractNum>
  <w:abstractNum w:abstractNumId="8">
    <w:nsid w:val="44496C4C"/>
    <w:multiLevelType w:val="hybridMultilevel"/>
    <w:tmpl w:val="CCCC3A68"/>
    <w:lvl w:ilvl="0" w:tplc="12966FF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65AA6D09"/>
    <w:multiLevelType w:val="hybridMultilevel"/>
    <w:tmpl w:val="F9CA7D1C"/>
    <w:lvl w:ilvl="0" w:tplc="0B786534">
      <w:start w:val="1"/>
      <w:numFmt w:val="decimal"/>
      <w:lvlText w:val="%1."/>
      <w:lvlJc w:val="left"/>
      <w:pPr>
        <w:ind w:left="1425" w:hanging="360"/>
      </w:pPr>
      <w:rPr>
        <w:rFonts w:cs="Times New Roman" w:hint="default"/>
        <w:color w:val="auto"/>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abstractNum w:abstractNumId="10">
    <w:nsid w:val="69535624"/>
    <w:multiLevelType w:val="hybridMultilevel"/>
    <w:tmpl w:val="B1406B3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71017EBB"/>
    <w:multiLevelType w:val="hybridMultilevel"/>
    <w:tmpl w:val="5F64DEA6"/>
    <w:lvl w:ilvl="0" w:tplc="220C7B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A1B20A0"/>
    <w:multiLevelType w:val="hybridMultilevel"/>
    <w:tmpl w:val="13F2B0DC"/>
    <w:lvl w:ilvl="0" w:tplc="30688B78">
      <w:start w:val="1"/>
      <w:numFmt w:val="decimal"/>
      <w:lvlText w:val="%1."/>
      <w:lvlJc w:val="left"/>
      <w:pPr>
        <w:ind w:left="1425" w:hanging="360"/>
      </w:pPr>
      <w:rPr>
        <w:rFonts w:cs="Times New Roman" w:hint="default"/>
      </w:rPr>
    </w:lvl>
    <w:lvl w:ilvl="1" w:tplc="04090019" w:tentative="1">
      <w:start w:val="1"/>
      <w:numFmt w:val="ideographTraditional"/>
      <w:lvlText w:val="%2、"/>
      <w:lvlJc w:val="left"/>
      <w:pPr>
        <w:ind w:left="2025" w:hanging="480"/>
      </w:pPr>
      <w:rPr>
        <w:rFonts w:cs="Times New Roman"/>
      </w:rPr>
    </w:lvl>
    <w:lvl w:ilvl="2" w:tplc="0409001B" w:tentative="1">
      <w:start w:val="1"/>
      <w:numFmt w:val="lowerRoman"/>
      <w:lvlText w:val="%3."/>
      <w:lvlJc w:val="right"/>
      <w:pPr>
        <w:ind w:left="2505" w:hanging="480"/>
      </w:pPr>
      <w:rPr>
        <w:rFonts w:cs="Times New Roman"/>
      </w:rPr>
    </w:lvl>
    <w:lvl w:ilvl="3" w:tplc="0409000F" w:tentative="1">
      <w:start w:val="1"/>
      <w:numFmt w:val="decimal"/>
      <w:lvlText w:val="%4."/>
      <w:lvlJc w:val="left"/>
      <w:pPr>
        <w:ind w:left="2985" w:hanging="480"/>
      </w:pPr>
      <w:rPr>
        <w:rFonts w:cs="Times New Roman"/>
      </w:rPr>
    </w:lvl>
    <w:lvl w:ilvl="4" w:tplc="04090019" w:tentative="1">
      <w:start w:val="1"/>
      <w:numFmt w:val="ideographTraditional"/>
      <w:lvlText w:val="%5、"/>
      <w:lvlJc w:val="left"/>
      <w:pPr>
        <w:ind w:left="3465" w:hanging="480"/>
      </w:pPr>
      <w:rPr>
        <w:rFonts w:cs="Times New Roman"/>
      </w:rPr>
    </w:lvl>
    <w:lvl w:ilvl="5" w:tplc="0409001B" w:tentative="1">
      <w:start w:val="1"/>
      <w:numFmt w:val="lowerRoman"/>
      <w:lvlText w:val="%6."/>
      <w:lvlJc w:val="right"/>
      <w:pPr>
        <w:ind w:left="3945" w:hanging="480"/>
      </w:pPr>
      <w:rPr>
        <w:rFonts w:cs="Times New Roman"/>
      </w:rPr>
    </w:lvl>
    <w:lvl w:ilvl="6" w:tplc="0409000F" w:tentative="1">
      <w:start w:val="1"/>
      <w:numFmt w:val="decimal"/>
      <w:lvlText w:val="%7."/>
      <w:lvlJc w:val="left"/>
      <w:pPr>
        <w:ind w:left="4425" w:hanging="480"/>
      </w:pPr>
      <w:rPr>
        <w:rFonts w:cs="Times New Roman"/>
      </w:rPr>
    </w:lvl>
    <w:lvl w:ilvl="7" w:tplc="04090019" w:tentative="1">
      <w:start w:val="1"/>
      <w:numFmt w:val="ideographTraditional"/>
      <w:lvlText w:val="%8、"/>
      <w:lvlJc w:val="left"/>
      <w:pPr>
        <w:ind w:left="4905" w:hanging="480"/>
      </w:pPr>
      <w:rPr>
        <w:rFonts w:cs="Times New Roman"/>
      </w:rPr>
    </w:lvl>
    <w:lvl w:ilvl="8" w:tplc="0409001B" w:tentative="1">
      <w:start w:val="1"/>
      <w:numFmt w:val="lowerRoman"/>
      <w:lvlText w:val="%9."/>
      <w:lvlJc w:val="right"/>
      <w:pPr>
        <w:ind w:left="5385" w:hanging="480"/>
      </w:pPr>
      <w:rPr>
        <w:rFonts w:cs="Times New Roman"/>
      </w:rPr>
    </w:lvl>
  </w:abstractNum>
  <w:num w:numId="1">
    <w:abstractNumId w:val="0"/>
  </w:num>
  <w:num w:numId="2">
    <w:abstractNumId w:val="3"/>
  </w:num>
  <w:num w:numId="3">
    <w:abstractNumId w:val="2"/>
  </w:num>
  <w:num w:numId="4">
    <w:abstractNumId w:val="9"/>
  </w:num>
  <w:num w:numId="5">
    <w:abstractNumId w:val="5"/>
  </w:num>
  <w:num w:numId="6">
    <w:abstractNumId w:val="12"/>
  </w:num>
  <w:num w:numId="7">
    <w:abstractNumId w:val="4"/>
  </w:num>
  <w:num w:numId="8">
    <w:abstractNumId w:val="11"/>
  </w:num>
  <w:num w:numId="9">
    <w:abstractNumId w:val="7"/>
  </w:num>
  <w:num w:numId="10">
    <w:abstractNumId w:val="10"/>
  </w:num>
  <w:num w:numId="11">
    <w:abstractNumId w:val="8"/>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7AB"/>
    <w:rsid w:val="00031C1B"/>
    <w:rsid w:val="00036104"/>
    <w:rsid w:val="000668B3"/>
    <w:rsid w:val="000954FB"/>
    <w:rsid w:val="000B2CF3"/>
    <w:rsid w:val="000B7AE1"/>
    <w:rsid w:val="000C4B80"/>
    <w:rsid w:val="000C5451"/>
    <w:rsid w:val="000D5D51"/>
    <w:rsid w:val="000D6F8B"/>
    <w:rsid w:val="00115A32"/>
    <w:rsid w:val="00133F1C"/>
    <w:rsid w:val="0013456F"/>
    <w:rsid w:val="0014654A"/>
    <w:rsid w:val="00146CBC"/>
    <w:rsid w:val="00147347"/>
    <w:rsid w:val="00152604"/>
    <w:rsid w:val="00163F81"/>
    <w:rsid w:val="001B0210"/>
    <w:rsid w:val="001C0A7C"/>
    <w:rsid w:val="001C202A"/>
    <w:rsid w:val="002145F0"/>
    <w:rsid w:val="0024106C"/>
    <w:rsid w:val="00247593"/>
    <w:rsid w:val="00263499"/>
    <w:rsid w:val="002923BE"/>
    <w:rsid w:val="002948BA"/>
    <w:rsid w:val="002A7F83"/>
    <w:rsid w:val="002F317B"/>
    <w:rsid w:val="0031055D"/>
    <w:rsid w:val="00393266"/>
    <w:rsid w:val="003A7B61"/>
    <w:rsid w:val="003C53A4"/>
    <w:rsid w:val="003D18E0"/>
    <w:rsid w:val="003E15D8"/>
    <w:rsid w:val="003E605F"/>
    <w:rsid w:val="00401A7A"/>
    <w:rsid w:val="00402B2B"/>
    <w:rsid w:val="0042110A"/>
    <w:rsid w:val="00422865"/>
    <w:rsid w:val="00445F9B"/>
    <w:rsid w:val="0046684A"/>
    <w:rsid w:val="004A5352"/>
    <w:rsid w:val="004B08A4"/>
    <w:rsid w:val="004B4E83"/>
    <w:rsid w:val="004D7F36"/>
    <w:rsid w:val="004E67D5"/>
    <w:rsid w:val="005129F8"/>
    <w:rsid w:val="005132F1"/>
    <w:rsid w:val="00530F06"/>
    <w:rsid w:val="00531D70"/>
    <w:rsid w:val="00531E2A"/>
    <w:rsid w:val="005423FA"/>
    <w:rsid w:val="00581DD2"/>
    <w:rsid w:val="0059139A"/>
    <w:rsid w:val="005D7FB4"/>
    <w:rsid w:val="005F5A27"/>
    <w:rsid w:val="00600C1C"/>
    <w:rsid w:val="00617B2F"/>
    <w:rsid w:val="00633707"/>
    <w:rsid w:val="006479B9"/>
    <w:rsid w:val="00656CFE"/>
    <w:rsid w:val="00681B83"/>
    <w:rsid w:val="00687DF4"/>
    <w:rsid w:val="006B2264"/>
    <w:rsid w:val="006B2B40"/>
    <w:rsid w:val="006D4EF5"/>
    <w:rsid w:val="006E0DA2"/>
    <w:rsid w:val="006E1FFD"/>
    <w:rsid w:val="006E6352"/>
    <w:rsid w:val="006E770F"/>
    <w:rsid w:val="007007C1"/>
    <w:rsid w:val="007219BC"/>
    <w:rsid w:val="00734EB1"/>
    <w:rsid w:val="0074062C"/>
    <w:rsid w:val="00756A0B"/>
    <w:rsid w:val="007C37B7"/>
    <w:rsid w:val="007C50A9"/>
    <w:rsid w:val="007D442B"/>
    <w:rsid w:val="007F56A4"/>
    <w:rsid w:val="00826189"/>
    <w:rsid w:val="00826243"/>
    <w:rsid w:val="00851BE6"/>
    <w:rsid w:val="00854CF3"/>
    <w:rsid w:val="00862326"/>
    <w:rsid w:val="00865AB7"/>
    <w:rsid w:val="008B2915"/>
    <w:rsid w:val="008D16B1"/>
    <w:rsid w:val="008E1561"/>
    <w:rsid w:val="008E4366"/>
    <w:rsid w:val="008E6874"/>
    <w:rsid w:val="008F77E3"/>
    <w:rsid w:val="00902CF5"/>
    <w:rsid w:val="00911E5A"/>
    <w:rsid w:val="009349CB"/>
    <w:rsid w:val="00940438"/>
    <w:rsid w:val="00962665"/>
    <w:rsid w:val="00995406"/>
    <w:rsid w:val="009A2F5D"/>
    <w:rsid w:val="009A4556"/>
    <w:rsid w:val="009B7804"/>
    <w:rsid w:val="009C038B"/>
    <w:rsid w:val="009F63C2"/>
    <w:rsid w:val="00A02486"/>
    <w:rsid w:val="00A10CB4"/>
    <w:rsid w:val="00A1773C"/>
    <w:rsid w:val="00A2033F"/>
    <w:rsid w:val="00A336F6"/>
    <w:rsid w:val="00A41725"/>
    <w:rsid w:val="00A63402"/>
    <w:rsid w:val="00A71FD2"/>
    <w:rsid w:val="00AA445A"/>
    <w:rsid w:val="00AD085C"/>
    <w:rsid w:val="00AE39C3"/>
    <w:rsid w:val="00B1047B"/>
    <w:rsid w:val="00B156FA"/>
    <w:rsid w:val="00B26161"/>
    <w:rsid w:val="00B427AB"/>
    <w:rsid w:val="00B55CD2"/>
    <w:rsid w:val="00B573CD"/>
    <w:rsid w:val="00B813CD"/>
    <w:rsid w:val="00B86C4F"/>
    <w:rsid w:val="00BB5B5D"/>
    <w:rsid w:val="00BB6E85"/>
    <w:rsid w:val="00BC17B1"/>
    <w:rsid w:val="00BE323F"/>
    <w:rsid w:val="00BF6CBE"/>
    <w:rsid w:val="00C04777"/>
    <w:rsid w:val="00C502C9"/>
    <w:rsid w:val="00C51BCC"/>
    <w:rsid w:val="00C52D4D"/>
    <w:rsid w:val="00C56BFF"/>
    <w:rsid w:val="00C66D48"/>
    <w:rsid w:val="00C76FC4"/>
    <w:rsid w:val="00C8797E"/>
    <w:rsid w:val="00CA3FD9"/>
    <w:rsid w:val="00CE2306"/>
    <w:rsid w:val="00CE3FDF"/>
    <w:rsid w:val="00D05C9B"/>
    <w:rsid w:val="00D16B71"/>
    <w:rsid w:val="00D17913"/>
    <w:rsid w:val="00D2252E"/>
    <w:rsid w:val="00D523D0"/>
    <w:rsid w:val="00D62D6F"/>
    <w:rsid w:val="00D93D7A"/>
    <w:rsid w:val="00D97BB9"/>
    <w:rsid w:val="00DA0ACC"/>
    <w:rsid w:val="00DA0C78"/>
    <w:rsid w:val="00DC4371"/>
    <w:rsid w:val="00DD7873"/>
    <w:rsid w:val="00DF471D"/>
    <w:rsid w:val="00E13624"/>
    <w:rsid w:val="00E1716E"/>
    <w:rsid w:val="00E1776D"/>
    <w:rsid w:val="00E23BB2"/>
    <w:rsid w:val="00E87B1D"/>
    <w:rsid w:val="00EB2ADD"/>
    <w:rsid w:val="00EE6B9B"/>
    <w:rsid w:val="00EF21EF"/>
    <w:rsid w:val="00F037C4"/>
    <w:rsid w:val="00F111B1"/>
    <w:rsid w:val="00F20B80"/>
    <w:rsid w:val="00F81B27"/>
    <w:rsid w:val="00F8466A"/>
    <w:rsid w:val="00FE5F38"/>
    <w:rsid w:val="00FF7FF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06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27AB"/>
    <w:pPr>
      <w:ind w:leftChars="200" w:left="480"/>
    </w:pPr>
  </w:style>
  <w:style w:type="character" w:styleId="a4">
    <w:name w:val="Hyperlink"/>
    <w:basedOn w:val="a0"/>
    <w:uiPriority w:val="99"/>
    <w:semiHidden/>
    <w:rsid w:val="00CE3FDF"/>
    <w:rPr>
      <w:rFonts w:cs="Times New Roman"/>
      <w:color w:val="000099"/>
      <w:u w:val="none"/>
      <w:effect w:val="none"/>
    </w:rPr>
  </w:style>
  <w:style w:type="paragraph" w:styleId="a5">
    <w:name w:val="header"/>
    <w:basedOn w:val="a"/>
    <w:link w:val="a6"/>
    <w:uiPriority w:val="99"/>
    <w:semiHidden/>
    <w:rsid w:val="00FF7FF5"/>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FF7FF5"/>
    <w:rPr>
      <w:rFonts w:cs="Times New Roman"/>
      <w:sz w:val="20"/>
      <w:szCs w:val="20"/>
    </w:rPr>
  </w:style>
  <w:style w:type="paragraph" w:styleId="a7">
    <w:name w:val="footer"/>
    <w:basedOn w:val="a"/>
    <w:link w:val="a8"/>
    <w:uiPriority w:val="99"/>
    <w:rsid w:val="00FF7FF5"/>
    <w:pPr>
      <w:tabs>
        <w:tab w:val="center" w:pos="4153"/>
        <w:tab w:val="right" w:pos="8306"/>
      </w:tabs>
      <w:snapToGrid w:val="0"/>
    </w:pPr>
    <w:rPr>
      <w:sz w:val="20"/>
      <w:szCs w:val="20"/>
    </w:rPr>
  </w:style>
  <w:style w:type="character" w:customStyle="1" w:styleId="a8">
    <w:name w:val="頁尾 字元"/>
    <w:basedOn w:val="a0"/>
    <w:link w:val="a7"/>
    <w:uiPriority w:val="99"/>
    <w:locked/>
    <w:rsid w:val="00FF7FF5"/>
    <w:rPr>
      <w:rFonts w:cs="Times New Roman"/>
      <w:sz w:val="20"/>
      <w:szCs w:val="20"/>
    </w:rPr>
  </w:style>
  <w:style w:type="table" w:styleId="a9">
    <w:name w:val="Table Grid"/>
    <w:basedOn w:val="a1"/>
    <w:uiPriority w:val="99"/>
    <w:rsid w:val="00734EB1"/>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semiHidden/>
    <w:rsid w:val="00A63402"/>
    <w:rPr>
      <w:rFonts w:hAnsi="Courier New" w:cs="Courier New"/>
      <w:szCs w:val="24"/>
    </w:rPr>
  </w:style>
  <w:style w:type="character" w:customStyle="1" w:styleId="ab">
    <w:name w:val="純文字 字元"/>
    <w:basedOn w:val="a0"/>
    <w:link w:val="aa"/>
    <w:uiPriority w:val="99"/>
    <w:semiHidden/>
    <w:locked/>
    <w:rsid w:val="00A63402"/>
    <w:rPr>
      <w:rFonts w:ascii="Calibri" w:eastAsia="新細明體" w:hAnsi="Courier New" w:cs="Courier New"/>
      <w:sz w:val="24"/>
      <w:szCs w:val="24"/>
    </w:rPr>
  </w:style>
  <w:style w:type="paragraph" w:customStyle="1" w:styleId="ac">
    <w:name w:val="文"/>
    <w:basedOn w:val="a"/>
    <w:rsid w:val="0013456F"/>
    <w:pPr>
      <w:autoSpaceDN w:val="0"/>
      <w:adjustRightInd w:val="0"/>
      <w:spacing w:after="120"/>
      <w:ind w:firstLine="482"/>
      <w:jc w:val="both"/>
    </w:pPr>
    <w:rPr>
      <w:rFonts w:ascii="Times New Roman" w:eastAsia="標楷體" w:hAnsi="Times New Roman"/>
      <w:kern w:val="0"/>
      <w:szCs w:val="24"/>
    </w:rPr>
  </w:style>
  <w:style w:type="paragraph" w:styleId="ad">
    <w:name w:val="Balloon Text"/>
    <w:basedOn w:val="a"/>
    <w:link w:val="ae"/>
    <w:uiPriority w:val="99"/>
    <w:semiHidden/>
    <w:unhideWhenUsed/>
    <w:rsid w:val="00F8466A"/>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8466A"/>
    <w:rPr>
      <w:rFonts w:asciiTheme="majorHAnsi" w:eastAsiaTheme="majorEastAsia" w:hAnsiTheme="majorHAnsi" w:cstheme="majorBidi"/>
      <w:sz w:val="18"/>
      <w:szCs w:val="18"/>
    </w:rPr>
  </w:style>
  <w:style w:type="paragraph" w:customStyle="1" w:styleId="Default">
    <w:name w:val="Default"/>
    <w:rsid w:val="00826243"/>
    <w:pPr>
      <w:widowControl w:val="0"/>
      <w:autoSpaceDE w:val="0"/>
      <w:autoSpaceDN w:val="0"/>
      <w:adjustRightInd w:val="0"/>
    </w:pPr>
    <w:rPr>
      <w:rFonts w:ascii="...j...." w:eastAsia="...j...." w:cs="...j...."/>
      <w:color w:val="000000"/>
      <w:kern w:val="0"/>
      <w:szCs w:val="24"/>
    </w:rPr>
  </w:style>
</w:styles>
</file>

<file path=word/webSettings.xml><?xml version="1.0" encoding="utf-8"?>
<w:webSettings xmlns:r="http://schemas.openxmlformats.org/officeDocument/2006/relationships" xmlns:w="http://schemas.openxmlformats.org/wordprocessingml/2006/main">
  <w:divs>
    <w:div w:id="921451284">
      <w:marLeft w:val="0"/>
      <w:marRight w:val="0"/>
      <w:marTop w:val="0"/>
      <w:marBottom w:val="0"/>
      <w:divBdr>
        <w:top w:val="none" w:sz="0" w:space="0" w:color="auto"/>
        <w:left w:val="none" w:sz="0" w:space="0" w:color="auto"/>
        <w:bottom w:val="none" w:sz="0" w:space="0" w:color="auto"/>
        <w:right w:val="none" w:sz="0" w:space="0" w:color="auto"/>
      </w:divBdr>
    </w:div>
    <w:div w:id="921451288">
      <w:marLeft w:val="0"/>
      <w:marRight w:val="0"/>
      <w:marTop w:val="0"/>
      <w:marBottom w:val="0"/>
      <w:divBdr>
        <w:top w:val="none" w:sz="0" w:space="0" w:color="auto"/>
        <w:left w:val="none" w:sz="0" w:space="0" w:color="auto"/>
        <w:bottom w:val="none" w:sz="0" w:space="0" w:color="auto"/>
        <w:right w:val="none" w:sz="0" w:space="0" w:color="auto"/>
      </w:divBdr>
      <w:divsChild>
        <w:div w:id="921451287">
          <w:marLeft w:val="0"/>
          <w:marRight w:val="0"/>
          <w:marTop w:val="0"/>
          <w:marBottom w:val="0"/>
          <w:divBdr>
            <w:top w:val="none" w:sz="0" w:space="0" w:color="auto"/>
            <w:left w:val="none" w:sz="0" w:space="0" w:color="auto"/>
            <w:bottom w:val="none" w:sz="0" w:space="0" w:color="auto"/>
            <w:right w:val="none" w:sz="0" w:space="0" w:color="auto"/>
          </w:divBdr>
          <w:divsChild>
            <w:div w:id="921451292">
              <w:marLeft w:val="0"/>
              <w:marRight w:val="0"/>
              <w:marTop w:val="0"/>
              <w:marBottom w:val="0"/>
              <w:divBdr>
                <w:top w:val="none" w:sz="0" w:space="0" w:color="auto"/>
                <w:left w:val="none" w:sz="0" w:space="0" w:color="auto"/>
                <w:bottom w:val="none" w:sz="0" w:space="0" w:color="auto"/>
                <w:right w:val="none" w:sz="0" w:space="0" w:color="auto"/>
              </w:divBdr>
              <w:divsChild>
                <w:div w:id="921451285">
                  <w:marLeft w:val="0"/>
                  <w:marRight w:val="0"/>
                  <w:marTop w:val="0"/>
                  <w:marBottom w:val="0"/>
                  <w:divBdr>
                    <w:top w:val="none" w:sz="0" w:space="0" w:color="auto"/>
                    <w:left w:val="none" w:sz="0" w:space="0" w:color="auto"/>
                    <w:bottom w:val="none" w:sz="0" w:space="0" w:color="auto"/>
                    <w:right w:val="none" w:sz="0" w:space="0" w:color="auto"/>
                  </w:divBdr>
                  <w:divsChild>
                    <w:div w:id="921451291">
                      <w:marLeft w:val="0"/>
                      <w:marRight w:val="0"/>
                      <w:marTop w:val="0"/>
                      <w:marBottom w:val="0"/>
                      <w:divBdr>
                        <w:top w:val="none" w:sz="0" w:space="0" w:color="auto"/>
                        <w:left w:val="none" w:sz="0" w:space="0" w:color="auto"/>
                        <w:bottom w:val="none" w:sz="0" w:space="0" w:color="auto"/>
                        <w:right w:val="none" w:sz="0" w:space="0" w:color="auto"/>
                      </w:divBdr>
                      <w:divsChild>
                        <w:div w:id="921451286">
                          <w:marLeft w:val="0"/>
                          <w:marRight w:val="0"/>
                          <w:marTop w:val="0"/>
                          <w:marBottom w:val="0"/>
                          <w:divBdr>
                            <w:top w:val="none" w:sz="0" w:space="0" w:color="auto"/>
                            <w:left w:val="none" w:sz="0" w:space="0" w:color="auto"/>
                            <w:bottom w:val="none" w:sz="0" w:space="0" w:color="auto"/>
                            <w:right w:val="none" w:sz="0" w:space="0" w:color="auto"/>
                          </w:divBdr>
                          <w:divsChild>
                            <w:div w:id="92145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451289">
      <w:marLeft w:val="0"/>
      <w:marRight w:val="0"/>
      <w:marTop w:val="0"/>
      <w:marBottom w:val="0"/>
      <w:divBdr>
        <w:top w:val="none" w:sz="0" w:space="0" w:color="auto"/>
        <w:left w:val="none" w:sz="0" w:space="0" w:color="auto"/>
        <w:bottom w:val="none" w:sz="0" w:space="0" w:color="auto"/>
        <w:right w:val="none" w:sz="0" w:space="0" w:color="auto"/>
      </w:divBdr>
    </w:div>
    <w:div w:id="16850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518</Characters>
  <Application>Microsoft Office Word</Application>
  <DocSecurity>0</DocSecurity>
  <Lines>4</Lines>
  <Paragraphs>1</Paragraphs>
  <ScaleCrop>false</ScaleCrop>
  <Company>KPMG</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第三次「證券商會計制度範本」修訂總說明</dc:title>
  <dc:creator>ftsai</dc:creator>
  <cp:lastModifiedBy>chen</cp:lastModifiedBy>
  <cp:revision>3</cp:revision>
  <cp:lastPrinted>2017-09-06T03:22:00Z</cp:lastPrinted>
  <dcterms:created xsi:type="dcterms:W3CDTF">2017-09-06T07:15:00Z</dcterms:created>
  <dcterms:modified xsi:type="dcterms:W3CDTF">2017-10-13T02:14:00Z</dcterms:modified>
</cp:coreProperties>
</file>