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BDC" w:rsidRPr="002E5BDC" w:rsidRDefault="00485456" w:rsidP="002E5BDC">
      <w:pPr>
        <w:pStyle w:val="a3"/>
        <w:autoSpaceDE w:val="0"/>
        <w:autoSpaceDN w:val="0"/>
        <w:snapToGrid w:val="0"/>
        <w:spacing w:afterLines="150" w:after="541" w:line="500" w:lineRule="exact"/>
        <w:jc w:val="center"/>
        <w:rPr>
          <w:rFonts w:ascii="Times New Roman" w:eastAsia="標楷體" w:hAnsi="標楷體" w:hint="eastAsia"/>
          <w:b/>
          <w:bCs/>
          <w:color w:val="0D0D0D"/>
          <w:spacing w:val="30"/>
          <w:sz w:val="36"/>
          <w:szCs w:val="36"/>
        </w:rPr>
      </w:pPr>
      <w:r w:rsidRPr="002E5BDC">
        <w:rPr>
          <w:rFonts w:ascii="Times New Roman" w:eastAsia="標楷體" w:hAnsi="標楷體"/>
          <w:b/>
          <w:bCs/>
          <w:noProof/>
          <w:color w:val="0D0D0D"/>
          <w:spacing w:val="30"/>
          <w:sz w:val="36"/>
          <w:szCs w:val="36"/>
        </w:rPr>
        <w:pict>
          <v:shapetype id="_x0000_t202" coordsize="21600,21600" o:spt="202" path="m,l,21600r21600,l21600,xe">
            <v:stroke joinstyle="miter"/>
            <v:path gradientshapeok="t" o:connecttype="rect"/>
          </v:shapetype>
          <v:shape id="_x0000_s1026" type="#_x0000_t202" style="position:absolute;left:0;text-align:left;margin-left:414.05pt;margin-top:-41.4pt;width:43.15pt;height:21pt;z-index:251658240;mso-width-relative:margin;mso-height-relative:margin" strokeweight=".5pt">
            <v:textbox style="mso-next-textbox:#_x0000_s1026">
              <w:txbxContent>
                <w:p w:rsidR="00F70AD4" w:rsidRPr="008C540C" w:rsidRDefault="00F70AD4" w:rsidP="00F70AD4">
                  <w:pPr>
                    <w:snapToGrid w:val="0"/>
                    <w:rPr>
                      <w:rFonts w:ascii="標楷體" w:eastAsia="標楷體" w:hAnsi="標楷體"/>
                    </w:rPr>
                  </w:pPr>
                  <w:r w:rsidRPr="008C540C">
                    <w:rPr>
                      <w:rFonts w:ascii="標楷體" w:eastAsia="標楷體" w:hAnsi="標楷體" w:hint="eastAsia"/>
                    </w:rPr>
                    <w:t>附件</w:t>
                  </w:r>
                </w:p>
              </w:txbxContent>
            </v:textbox>
          </v:shape>
        </w:pict>
      </w:r>
      <w:r w:rsidR="002E5BDC" w:rsidRPr="002E5BDC">
        <w:rPr>
          <w:rFonts w:ascii="Times New Roman" w:eastAsia="標楷體" w:hAnsi="標楷體" w:hint="eastAsia"/>
          <w:b/>
          <w:bCs/>
          <w:sz w:val="36"/>
          <w:szCs w:val="36"/>
        </w:rPr>
        <w:t>證券商</w:t>
      </w:r>
      <w:r w:rsidR="002E5BDC" w:rsidRPr="00C66751">
        <w:rPr>
          <w:rFonts w:ascii="Times New Roman" w:eastAsia="標楷體" w:hAnsi="標楷體" w:hint="eastAsia"/>
          <w:b/>
          <w:bCs/>
          <w:sz w:val="36"/>
          <w:szCs w:val="36"/>
        </w:rPr>
        <w:t>評估</w:t>
      </w:r>
      <w:r w:rsidR="002E5BDC" w:rsidRPr="00C66751">
        <w:rPr>
          <w:rFonts w:ascii="Times New Roman" w:eastAsia="標楷體" w:hAnsi="標楷體"/>
          <w:b/>
          <w:bCs/>
          <w:sz w:val="36"/>
          <w:szCs w:val="36"/>
        </w:rPr>
        <w:t>洗錢及資恐</w:t>
      </w:r>
      <w:r w:rsidR="002E5BDC" w:rsidRPr="00C66751">
        <w:rPr>
          <w:rFonts w:ascii="Times New Roman" w:eastAsia="標楷體" w:hAnsi="標楷體" w:hint="eastAsia"/>
          <w:b/>
          <w:bCs/>
          <w:sz w:val="36"/>
          <w:szCs w:val="36"/>
        </w:rPr>
        <w:t>風險及訂定相關防制計畫指引</w:t>
      </w:r>
    </w:p>
    <w:p w:rsidR="00F70AD4" w:rsidRDefault="00F70AD4" w:rsidP="002E5BDC">
      <w:pPr>
        <w:spacing w:line="300" w:lineRule="exact"/>
        <w:ind w:leftChars="1831" w:left="4394" w:right="84" w:firstLine="1"/>
        <w:rPr>
          <w:rFonts w:eastAsia="標楷體"/>
        </w:rPr>
      </w:pPr>
      <w:r w:rsidRPr="005B3CF6">
        <w:rPr>
          <w:rFonts w:eastAsia="標楷體" w:hint="eastAsia"/>
        </w:rPr>
        <w:t>金融監督管理委員會</w:t>
      </w:r>
      <w:r>
        <w:rPr>
          <w:rFonts w:eastAsia="標楷體" w:hint="eastAsia"/>
        </w:rPr>
        <w:t>106</w:t>
      </w:r>
      <w:r w:rsidRPr="005B3CF6">
        <w:rPr>
          <w:rFonts w:eastAsia="標楷體" w:hint="eastAsia"/>
        </w:rPr>
        <w:t>年</w:t>
      </w:r>
      <w:r>
        <w:rPr>
          <w:rFonts w:eastAsia="標楷體" w:hint="eastAsia"/>
        </w:rPr>
        <w:t>11</w:t>
      </w:r>
      <w:r w:rsidRPr="005B3CF6">
        <w:rPr>
          <w:rFonts w:eastAsia="標楷體" w:hint="eastAsia"/>
        </w:rPr>
        <w:t>月</w:t>
      </w:r>
      <w:r>
        <w:rPr>
          <w:rFonts w:eastAsia="標楷體" w:hint="eastAsia"/>
        </w:rPr>
        <w:t>8</w:t>
      </w:r>
      <w:r w:rsidRPr="005B3CF6">
        <w:rPr>
          <w:rFonts w:eastAsia="標楷體" w:hint="eastAsia"/>
        </w:rPr>
        <w:t>日</w:t>
      </w:r>
      <w:r w:rsidR="002E5BDC">
        <w:rPr>
          <w:rFonts w:eastAsia="標楷體"/>
        </w:rPr>
        <w:br/>
      </w:r>
      <w:r w:rsidRPr="005B3CF6">
        <w:rPr>
          <w:rFonts w:eastAsia="標楷體" w:hint="eastAsia"/>
        </w:rPr>
        <w:t>金管證券字第</w:t>
      </w:r>
      <w:r w:rsidRPr="005B3CF6">
        <w:rPr>
          <w:rFonts w:eastAsia="標楷體" w:hint="eastAsia"/>
        </w:rPr>
        <w:t>10</w:t>
      </w:r>
      <w:r>
        <w:rPr>
          <w:rFonts w:eastAsia="標楷體" w:hint="eastAsia"/>
        </w:rPr>
        <w:t>6</w:t>
      </w:r>
      <w:r w:rsidRPr="005B3CF6">
        <w:rPr>
          <w:rFonts w:eastAsia="標楷體" w:hint="eastAsia"/>
        </w:rPr>
        <w:t>00</w:t>
      </w:r>
      <w:r>
        <w:rPr>
          <w:rFonts w:eastAsia="標楷體" w:hint="eastAsia"/>
        </w:rPr>
        <w:t>35102</w:t>
      </w:r>
      <w:r w:rsidRPr="005B3CF6">
        <w:rPr>
          <w:rFonts w:eastAsia="標楷體" w:hint="eastAsia"/>
        </w:rPr>
        <w:t>號函准予照辦</w:t>
      </w:r>
    </w:p>
    <w:p w:rsidR="00F70AD4" w:rsidRDefault="00F70AD4" w:rsidP="00F70AD4">
      <w:pPr>
        <w:spacing w:line="300" w:lineRule="exact"/>
        <w:ind w:right="-58" w:firstLineChars="236" w:firstLine="566"/>
        <w:rPr>
          <w:rFonts w:eastAsia="標楷體"/>
        </w:rPr>
      </w:pPr>
    </w:p>
    <w:p w:rsidR="00F70AD4" w:rsidRPr="0053567F" w:rsidRDefault="00567537" w:rsidP="0053567F">
      <w:pPr>
        <w:pStyle w:val="a3"/>
        <w:snapToGrid w:val="0"/>
        <w:ind w:left="520" w:hangingChars="200" w:hanging="520"/>
        <w:jc w:val="both"/>
        <w:rPr>
          <w:rFonts w:ascii="Times New Roman" w:eastAsia="標楷體" w:hAnsi="標楷體"/>
          <w:color w:val="0D0D0D"/>
          <w:sz w:val="26"/>
          <w:szCs w:val="26"/>
        </w:rPr>
      </w:pPr>
      <w:r w:rsidRPr="0053567F">
        <w:rPr>
          <w:rFonts w:ascii="Times New Roman" w:eastAsia="標楷體" w:hAnsi="標楷體"/>
          <w:color w:val="0D0D0D"/>
          <w:sz w:val="26"/>
          <w:szCs w:val="26"/>
        </w:rPr>
        <w:t>一</w:t>
      </w:r>
      <w:r w:rsidR="00546997" w:rsidRPr="0053567F">
        <w:rPr>
          <w:rFonts w:ascii="Times New Roman" w:eastAsia="標楷體" w:hAnsi="標楷體" w:hint="eastAsia"/>
          <w:color w:val="0D0D0D"/>
          <w:sz w:val="26"/>
          <w:szCs w:val="26"/>
        </w:rPr>
        <w:t>、</w:t>
      </w:r>
      <w:r w:rsidR="00F70AD4" w:rsidRPr="0053567F">
        <w:rPr>
          <w:rFonts w:ascii="Times New Roman" w:eastAsia="標楷體" w:hAnsi="標楷體"/>
          <w:color w:val="0D0D0D"/>
          <w:sz w:val="26"/>
          <w:szCs w:val="26"/>
        </w:rPr>
        <w:t>本</w:t>
      </w:r>
      <w:r w:rsidR="00F70AD4" w:rsidRPr="0053567F">
        <w:rPr>
          <w:rFonts w:ascii="Times New Roman" w:eastAsia="標楷體" w:hAnsi="標楷體" w:hint="eastAsia"/>
          <w:color w:val="0D0D0D"/>
          <w:sz w:val="26"/>
          <w:szCs w:val="26"/>
        </w:rPr>
        <w:t>指引</w:t>
      </w:r>
      <w:r w:rsidR="00F70AD4" w:rsidRPr="0053567F">
        <w:rPr>
          <w:rFonts w:ascii="Times New Roman" w:eastAsia="標楷體" w:hAnsi="標楷體"/>
          <w:color w:val="0D0D0D"/>
          <w:sz w:val="26"/>
          <w:szCs w:val="26"/>
        </w:rPr>
        <w:t>依</w:t>
      </w:r>
      <w:r w:rsidR="00F70AD4" w:rsidRPr="0053567F">
        <w:rPr>
          <w:rFonts w:ascii="Times New Roman" w:eastAsia="標楷體" w:hAnsi="標楷體" w:hint="eastAsia"/>
          <w:color w:val="0D0D0D"/>
          <w:sz w:val="26"/>
          <w:szCs w:val="26"/>
        </w:rPr>
        <w:t>「證券期貨業防制洗錢及打擊資恐</w:t>
      </w:r>
      <w:r w:rsidR="00F70AD4" w:rsidRPr="0053567F">
        <w:rPr>
          <w:rFonts w:ascii="Times New Roman" w:eastAsia="標楷體" w:hAnsi="標楷體" w:hint="eastAsia"/>
          <w:color w:val="0D0D0D"/>
          <w:sz w:val="26"/>
          <w:szCs w:val="26"/>
          <w:u w:val="single"/>
        </w:rPr>
        <w:t>內部控制要點</w:t>
      </w:r>
      <w:r w:rsidR="00F70AD4" w:rsidRPr="0053567F">
        <w:rPr>
          <w:rFonts w:ascii="Times New Roman" w:eastAsia="標楷體" w:hAnsi="標楷體" w:hint="eastAsia"/>
          <w:color w:val="0D0D0D"/>
          <w:sz w:val="26"/>
          <w:szCs w:val="26"/>
        </w:rPr>
        <w:t>」</w:t>
      </w:r>
      <w:r w:rsidR="00F70AD4" w:rsidRPr="0053567F">
        <w:rPr>
          <w:rFonts w:ascii="Times New Roman" w:eastAsia="標楷體" w:hAnsi="標楷體"/>
          <w:color w:val="0D0D0D"/>
          <w:sz w:val="26"/>
          <w:szCs w:val="26"/>
        </w:rPr>
        <w:t>訂定，以防制洗錢</w:t>
      </w:r>
      <w:r w:rsidR="00F70AD4" w:rsidRPr="0053567F">
        <w:rPr>
          <w:rFonts w:ascii="Times New Roman" w:eastAsia="標楷體" w:hAnsi="標楷體" w:hint="eastAsia"/>
          <w:color w:val="0D0D0D"/>
          <w:sz w:val="26"/>
          <w:szCs w:val="26"/>
        </w:rPr>
        <w:t>及打擊資恐</w:t>
      </w:r>
      <w:r w:rsidR="00F70AD4" w:rsidRPr="0053567F">
        <w:rPr>
          <w:rFonts w:ascii="Times New Roman" w:eastAsia="標楷體" w:hAnsi="標楷體"/>
          <w:color w:val="0D0D0D"/>
          <w:sz w:val="26"/>
          <w:szCs w:val="26"/>
        </w:rPr>
        <w:t>為目的</w:t>
      </w:r>
      <w:r w:rsidR="00F70AD4" w:rsidRPr="0053567F">
        <w:rPr>
          <w:rFonts w:ascii="Times New Roman" w:eastAsia="標楷體" w:hAnsi="標楷體" w:hint="eastAsia"/>
          <w:color w:val="0D0D0D"/>
          <w:sz w:val="26"/>
          <w:szCs w:val="26"/>
        </w:rPr>
        <w:t>，內容涵括我國證券商如何辨識、</w:t>
      </w:r>
      <w:bookmarkStart w:id="0" w:name="_GoBack"/>
      <w:bookmarkEnd w:id="0"/>
      <w:r w:rsidR="00F70AD4" w:rsidRPr="0053567F">
        <w:rPr>
          <w:rFonts w:ascii="Times New Roman" w:eastAsia="標楷體" w:hAnsi="標楷體" w:hint="eastAsia"/>
          <w:color w:val="0D0D0D"/>
          <w:sz w:val="26"/>
          <w:szCs w:val="26"/>
        </w:rPr>
        <w:t>評估各項業務之洗錢及資恐風險，以及制訂防制洗錢及打擊資恐計畫等面向，作為執行之依據</w:t>
      </w:r>
      <w:r w:rsidR="00F70AD4" w:rsidRPr="0053567F">
        <w:rPr>
          <w:rFonts w:ascii="Times New Roman" w:eastAsia="標楷體" w:hAnsi="標楷體"/>
          <w:color w:val="0D0D0D"/>
          <w:sz w:val="26"/>
          <w:szCs w:val="26"/>
        </w:rPr>
        <w:t>。</w:t>
      </w:r>
      <w:r w:rsidR="0053567F">
        <w:rPr>
          <w:rFonts w:ascii="Times New Roman" w:eastAsia="標楷體" w:hAnsi="標楷體"/>
          <w:color w:val="0D0D0D"/>
          <w:sz w:val="26"/>
          <w:szCs w:val="26"/>
        </w:rPr>
        <w:br/>
      </w:r>
    </w:p>
    <w:p w:rsidR="00F70AD4" w:rsidRPr="009627D5" w:rsidRDefault="00F70AD4" w:rsidP="00F70AD4">
      <w:pPr>
        <w:pStyle w:val="a3"/>
        <w:kinsoku w:val="0"/>
        <w:snapToGrid w:val="0"/>
        <w:ind w:left="520" w:hangingChars="200" w:hanging="520"/>
        <w:rPr>
          <w:rFonts w:ascii="Times New Roman" w:eastAsia="標楷體" w:hAnsi="標楷體"/>
          <w:color w:val="0D0D0D"/>
          <w:sz w:val="26"/>
          <w:szCs w:val="26"/>
        </w:rPr>
      </w:pPr>
      <w:r w:rsidRPr="009627D5">
        <w:rPr>
          <w:rFonts w:ascii="Times New Roman" w:eastAsia="標楷體" w:hAnsi="標楷體" w:hint="eastAsia"/>
          <w:color w:val="0D0D0D"/>
          <w:sz w:val="26"/>
          <w:szCs w:val="26"/>
        </w:rPr>
        <w:t>二、證券商之內部控制制度</w:t>
      </w:r>
      <w:r w:rsidRPr="00F84C9C">
        <w:rPr>
          <w:rFonts w:ascii="Times New Roman" w:eastAsia="標楷體" w:hAnsi="標楷體" w:hint="eastAsia"/>
          <w:color w:val="0D0D0D"/>
          <w:sz w:val="26"/>
          <w:szCs w:val="26"/>
        </w:rPr>
        <w:t>，</w:t>
      </w:r>
      <w:r w:rsidRPr="00F84C9C">
        <w:rPr>
          <w:rFonts w:ascii="Times New Roman" w:eastAsia="標楷體" w:hAnsi="標楷體"/>
          <w:color w:val="0D0D0D"/>
          <w:sz w:val="26"/>
          <w:szCs w:val="26"/>
          <w:u w:val="single"/>
        </w:rPr>
        <w:t>應</w:t>
      </w:r>
      <w:r w:rsidRPr="00F84C9C">
        <w:rPr>
          <w:rFonts w:ascii="Times New Roman" w:eastAsia="標楷體" w:hAnsi="標楷體" w:hint="eastAsia"/>
          <w:color w:val="0D0D0D"/>
          <w:sz w:val="26"/>
          <w:szCs w:val="26"/>
          <w:u w:val="single"/>
        </w:rPr>
        <w:t>經董事會通過；修正時，亦同。</w:t>
      </w:r>
      <w:r>
        <w:rPr>
          <w:rFonts w:ascii="Times New Roman" w:eastAsia="標楷體" w:hAnsi="標楷體" w:hint="eastAsia"/>
          <w:color w:val="0D0D0D"/>
          <w:sz w:val="26"/>
          <w:szCs w:val="26"/>
          <w:u w:val="single"/>
        </w:rPr>
        <w:t>其內容並</w:t>
      </w:r>
      <w:r w:rsidRPr="009627D5">
        <w:rPr>
          <w:rFonts w:ascii="Times New Roman" w:eastAsia="標楷體" w:hAnsi="標楷體" w:hint="eastAsia"/>
          <w:color w:val="0D0D0D"/>
          <w:sz w:val="26"/>
          <w:szCs w:val="26"/>
        </w:rPr>
        <w:t>應</w:t>
      </w:r>
      <w:r>
        <w:rPr>
          <w:rFonts w:ascii="Times New Roman" w:eastAsia="標楷體" w:hAnsi="標楷體" w:hint="eastAsia"/>
          <w:color w:val="0D0D0D"/>
          <w:sz w:val="26"/>
          <w:szCs w:val="26"/>
        </w:rPr>
        <w:t>包括對</w:t>
      </w:r>
      <w:r w:rsidRPr="009627D5">
        <w:rPr>
          <w:rFonts w:ascii="Times New Roman" w:eastAsia="標楷體" w:hAnsi="標楷體" w:hint="eastAsia"/>
          <w:color w:val="0D0D0D"/>
          <w:sz w:val="26"/>
          <w:szCs w:val="26"/>
        </w:rPr>
        <w:t>洗錢及資恐風險進行辨識、評估、管理</w:t>
      </w:r>
      <w:r w:rsidRPr="00C83A48">
        <w:rPr>
          <w:rFonts w:ascii="Times New Roman" w:eastAsia="標楷體" w:hAnsi="標楷體" w:hint="eastAsia"/>
          <w:color w:val="0D0D0D"/>
          <w:sz w:val="26"/>
          <w:szCs w:val="26"/>
          <w:u w:val="single"/>
        </w:rPr>
        <w:t>之</w:t>
      </w:r>
      <w:r>
        <w:rPr>
          <w:rFonts w:ascii="Times New Roman" w:eastAsia="標楷體" w:hAnsi="標楷體" w:hint="eastAsia"/>
          <w:color w:val="0D0D0D"/>
          <w:sz w:val="26"/>
          <w:szCs w:val="26"/>
        </w:rPr>
        <w:t>相關書面政策</w:t>
      </w:r>
      <w:r w:rsidRPr="00C83A48">
        <w:rPr>
          <w:rFonts w:ascii="Times New Roman" w:eastAsia="標楷體" w:hAnsi="標楷體" w:hint="eastAsia"/>
          <w:color w:val="0D0D0D"/>
          <w:sz w:val="26"/>
          <w:szCs w:val="26"/>
          <w:u w:val="single"/>
        </w:rPr>
        <w:t>及</w:t>
      </w:r>
      <w:r w:rsidRPr="009627D5">
        <w:rPr>
          <w:rFonts w:ascii="Times New Roman" w:eastAsia="標楷體" w:hAnsi="標楷體" w:hint="eastAsia"/>
          <w:color w:val="0D0D0D"/>
          <w:sz w:val="26"/>
          <w:szCs w:val="26"/>
        </w:rPr>
        <w:t>程序</w:t>
      </w:r>
      <w:r w:rsidRPr="009627D5">
        <w:rPr>
          <w:rFonts w:ascii="標楷體" w:eastAsia="標楷體" w:hAnsi="標楷體" w:hint="eastAsia"/>
          <w:color w:val="0D0D0D" w:themeColor="text1" w:themeTint="F2"/>
          <w:sz w:val="26"/>
          <w:szCs w:val="26"/>
        </w:rPr>
        <w:t>，</w:t>
      </w:r>
      <w:r w:rsidRPr="009627D5">
        <w:rPr>
          <w:rFonts w:ascii="Times New Roman" w:eastAsia="標楷體" w:hAnsi="標楷體" w:hint="eastAsia"/>
          <w:color w:val="0D0D0D" w:themeColor="text1" w:themeTint="F2"/>
          <w:sz w:val="26"/>
          <w:szCs w:val="26"/>
        </w:rPr>
        <w:t>以及依據風險評估結果而訂定之</w:t>
      </w:r>
      <w:r w:rsidRPr="009627D5">
        <w:rPr>
          <w:rFonts w:ascii="Times New Roman" w:eastAsia="標楷體" w:hAnsi="標楷體" w:hint="eastAsia"/>
          <w:color w:val="0D0D0D"/>
          <w:sz w:val="26"/>
          <w:szCs w:val="26"/>
        </w:rPr>
        <w:t>防制洗錢及打擊資恐</w:t>
      </w:r>
      <w:r w:rsidRPr="009627D5">
        <w:rPr>
          <w:rFonts w:ascii="Times New Roman" w:eastAsia="標楷體" w:hAnsi="標楷體" w:hint="eastAsia"/>
          <w:color w:val="0D0D0D" w:themeColor="text1" w:themeTint="F2"/>
          <w:sz w:val="26"/>
          <w:szCs w:val="26"/>
        </w:rPr>
        <w:t>計畫，</w:t>
      </w:r>
      <w:r w:rsidRPr="009627D5">
        <w:rPr>
          <w:rFonts w:ascii="Times New Roman" w:eastAsia="標楷體" w:hAnsi="標楷體" w:hint="eastAsia"/>
          <w:color w:val="0D0D0D"/>
          <w:sz w:val="26"/>
          <w:szCs w:val="26"/>
        </w:rPr>
        <w:t>並定期檢討。</w:t>
      </w:r>
    </w:p>
    <w:p w:rsidR="00F70AD4" w:rsidRPr="009627D5" w:rsidRDefault="00F70AD4" w:rsidP="00F70AD4">
      <w:pPr>
        <w:pStyle w:val="a3"/>
        <w:kinsoku w:val="0"/>
        <w:snapToGrid w:val="0"/>
        <w:ind w:leftChars="200" w:left="480" w:firstLineChars="2" w:firstLine="5"/>
        <w:rPr>
          <w:rFonts w:ascii="Times New Roman" w:eastAsia="標楷體" w:hAnsi="標楷體"/>
          <w:color w:val="0D0D0D"/>
          <w:sz w:val="26"/>
          <w:szCs w:val="26"/>
        </w:rPr>
      </w:pPr>
      <w:r w:rsidRPr="009627D5">
        <w:rPr>
          <w:rFonts w:ascii="Times New Roman" w:eastAsia="標楷體" w:hAnsi="標楷體" w:hint="eastAsia"/>
          <w:color w:val="0D0D0D"/>
          <w:sz w:val="26"/>
          <w:szCs w:val="26"/>
        </w:rPr>
        <w:t>風險基礎方法</w:t>
      </w:r>
      <w:r w:rsidRPr="009627D5">
        <w:rPr>
          <w:rFonts w:ascii="Times New Roman" w:eastAsia="標楷體" w:hAnsi="標楷體" w:hint="eastAsia"/>
          <w:color w:val="0D0D0D"/>
          <w:sz w:val="26"/>
          <w:szCs w:val="26"/>
        </w:rPr>
        <w:t xml:space="preserve"> (risk-based approach) </w:t>
      </w:r>
      <w:r w:rsidRPr="009627D5">
        <w:rPr>
          <w:rFonts w:ascii="Times New Roman" w:eastAsia="標楷體" w:hAnsi="標楷體"/>
          <w:color w:val="0D0D0D"/>
          <w:sz w:val="26"/>
          <w:szCs w:val="26"/>
        </w:rPr>
        <w:t>旨在</w:t>
      </w:r>
      <w:r w:rsidRPr="009627D5">
        <w:rPr>
          <w:rFonts w:ascii="Times New Roman" w:eastAsia="標楷體" w:hAnsi="標楷體" w:hint="eastAsia"/>
          <w:color w:val="0D0D0D"/>
          <w:sz w:val="26"/>
          <w:szCs w:val="26"/>
        </w:rPr>
        <w:t>協助</w:t>
      </w:r>
      <w:r w:rsidRPr="009627D5">
        <w:rPr>
          <w:rFonts w:ascii="Times New Roman" w:eastAsia="標楷體" w:hAnsi="標楷體"/>
          <w:color w:val="0D0D0D"/>
          <w:sz w:val="26"/>
          <w:szCs w:val="26"/>
        </w:rPr>
        <w:t>發展與洗錢</w:t>
      </w:r>
      <w:r w:rsidRPr="009627D5">
        <w:rPr>
          <w:rFonts w:ascii="Times New Roman" w:eastAsia="標楷體" w:hAnsi="標楷體" w:hint="eastAsia"/>
          <w:color w:val="0D0D0D"/>
          <w:sz w:val="26"/>
          <w:szCs w:val="26"/>
        </w:rPr>
        <w:t>及</w:t>
      </w:r>
      <w:r w:rsidRPr="009627D5">
        <w:rPr>
          <w:rFonts w:ascii="Times New Roman" w:eastAsia="標楷體" w:hAnsi="標楷體"/>
          <w:color w:val="0D0D0D"/>
          <w:sz w:val="26"/>
          <w:szCs w:val="26"/>
        </w:rPr>
        <w:t>資恐風險相當之防制與抵減措施，</w:t>
      </w:r>
      <w:r w:rsidRPr="009627D5">
        <w:rPr>
          <w:rFonts w:ascii="Times New Roman" w:eastAsia="標楷體" w:hAnsi="標楷體" w:hint="eastAsia"/>
          <w:color w:val="0D0D0D"/>
          <w:sz w:val="26"/>
          <w:szCs w:val="26"/>
        </w:rPr>
        <w:t>以利</w:t>
      </w:r>
      <w:r w:rsidRPr="009627D5">
        <w:rPr>
          <w:rFonts w:ascii="Times New Roman" w:eastAsia="標楷體" w:hAnsi="標楷體"/>
          <w:color w:val="0D0D0D"/>
          <w:sz w:val="26"/>
          <w:szCs w:val="26"/>
        </w:rPr>
        <w:t>證券商</w:t>
      </w:r>
      <w:r w:rsidRPr="009627D5">
        <w:rPr>
          <w:rFonts w:ascii="Times New Roman" w:eastAsia="標楷體" w:hAnsi="標楷體" w:hint="eastAsia"/>
          <w:color w:val="0D0D0D"/>
          <w:sz w:val="26"/>
          <w:szCs w:val="26"/>
        </w:rPr>
        <w:t>決定其防制洗錢及打擊資恐</w:t>
      </w:r>
      <w:r w:rsidRPr="009627D5">
        <w:rPr>
          <w:rFonts w:ascii="Times New Roman" w:eastAsia="標楷體" w:hAnsi="標楷體"/>
          <w:color w:val="0D0D0D"/>
          <w:sz w:val="26"/>
          <w:szCs w:val="26"/>
        </w:rPr>
        <w:t>資源</w:t>
      </w:r>
      <w:r w:rsidRPr="009627D5">
        <w:rPr>
          <w:rFonts w:ascii="Times New Roman" w:eastAsia="標楷體" w:hAnsi="標楷體" w:hint="eastAsia"/>
          <w:color w:val="0D0D0D"/>
          <w:sz w:val="26"/>
          <w:szCs w:val="26"/>
        </w:rPr>
        <w:t>之</w:t>
      </w:r>
      <w:r w:rsidRPr="009627D5">
        <w:rPr>
          <w:rFonts w:ascii="Times New Roman" w:eastAsia="標楷體" w:hAnsi="標楷體"/>
          <w:color w:val="0D0D0D"/>
          <w:sz w:val="26"/>
          <w:szCs w:val="26"/>
        </w:rPr>
        <w:t>配置、</w:t>
      </w:r>
      <w:r w:rsidRPr="009627D5">
        <w:rPr>
          <w:rFonts w:ascii="Times New Roman" w:eastAsia="標楷體" w:hAnsi="標楷體"/>
          <w:color w:val="0D0D0D" w:themeColor="text1" w:themeTint="F2"/>
          <w:sz w:val="26"/>
          <w:szCs w:val="26"/>
        </w:rPr>
        <w:t>建置</w:t>
      </w:r>
      <w:r w:rsidRPr="009627D5">
        <w:rPr>
          <w:rFonts w:ascii="Times New Roman" w:eastAsia="標楷體" w:hAnsi="標楷體" w:hint="eastAsia"/>
          <w:color w:val="0D0D0D" w:themeColor="text1" w:themeTint="F2"/>
          <w:sz w:val="26"/>
          <w:szCs w:val="26"/>
        </w:rPr>
        <w:t>其</w:t>
      </w:r>
      <w:r w:rsidRPr="009627D5">
        <w:rPr>
          <w:rFonts w:ascii="Times New Roman" w:eastAsia="標楷體" w:hAnsi="標楷體"/>
          <w:color w:val="0D0D0D" w:themeColor="text1" w:themeTint="F2"/>
          <w:sz w:val="26"/>
          <w:szCs w:val="26"/>
        </w:rPr>
        <w:t>內部控制</w:t>
      </w:r>
      <w:r w:rsidRPr="009627D5">
        <w:rPr>
          <w:rFonts w:ascii="Times New Roman" w:eastAsia="標楷體" w:hAnsi="標楷體" w:hint="eastAsia"/>
          <w:color w:val="0D0D0D" w:themeColor="text1" w:themeTint="F2"/>
          <w:sz w:val="26"/>
          <w:szCs w:val="26"/>
        </w:rPr>
        <w:t>制度</w:t>
      </w:r>
      <w:r w:rsidRPr="009627D5">
        <w:rPr>
          <w:rFonts w:ascii="Times New Roman" w:eastAsia="標楷體" w:hAnsi="標楷體"/>
          <w:color w:val="0D0D0D" w:themeColor="text1" w:themeTint="F2"/>
          <w:sz w:val="26"/>
          <w:szCs w:val="26"/>
        </w:rPr>
        <w:t>、</w:t>
      </w:r>
      <w:r w:rsidRPr="009627D5">
        <w:rPr>
          <w:rFonts w:ascii="Times New Roman" w:eastAsia="標楷體" w:hAnsi="標楷體" w:hint="eastAsia"/>
          <w:color w:val="0D0D0D" w:themeColor="text1" w:themeTint="F2"/>
          <w:sz w:val="26"/>
          <w:szCs w:val="26"/>
        </w:rPr>
        <w:t>以</w:t>
      </w:r>
      <w:r w:rsidRPr="009627D5">
        <w:rPr>
          <w:rFonts w:ascii="Times New Roman" w:eastAsia="標楷體" w:hAnsi="標楷體"/>
          <w:color w:val="0D0D0D" w:themeColor="text1" w:themeTint="F2"/>
          <w:sz w:val="26"/>
          <w:szCs w:val="26"/>
        </w:rPr>
        <w:t>及</w:t>
      </w:r>
      <w:r w:rsidRPr="009627D5">
        <w:rPr>
          <w:rFonts w:ascii="Times New Roman" w:eastAsia="標楷體" w:hAnsi="標楷體" w:hint="eastAsia"/>
          <w:color w:val="0D0D0D" w:themeColor="text1" w:themeTint="F2"/>
          <w:sz w:val="26"/>
          <w:szCs w:val="26"/>
        </w:rPr>
        <w:t>訂定和執行</w:t>
      </w:r>
      <w:r w:rsidRPr="009627D5">
        <w:rPr>
          <w:rFonts w:ascii="Times New Roman" w:eastAsia="標楷體" w:hAnsi="標楷體"/>
          <w:color w:val="0D0D0D" w:themeColor="text1" w:themeTint="F2"/>
          <w:sz w:val="26"/>
          <w:szCs w:val="26"/>
        </w:rPr>
        <w:t>防制洗錢</w:t>
      </w:r>
      <w:r w:rsidRPr="009627D5">
        <w:rPr>
          <w:rFonts w:ascii="Times New Roman" w:eastAsia="標楷體" w:hAnsi="標楷體" w:hint="eastAsia"/>
          <w:color w:val="0D0D0D" w:themeColor="text1" w:themeTint="F2"/>
          <w:sz w:val="26"/>
          <w:szCs w:val="26"/>
        </w:rPr>
        <w:t>及打擊</w:t>
      </w:r>
      <w:r w:rsidRPr="009627D5">
        <w:rPr>
          <w:rFonts w:ascii="Times New Roman" w:eastAsia="標楷體" w:hAnsi="標楷體"/>
          <w:color w:val="0D0D0D" w:themeColor="text1" w:themeTint="F2"/>
          <w:sz w:val="26"/>
          <w:szCs w:val="26"/>
        </w:rPr>
        <w:t>資恐</w:t>
      </w:r>
      <w:r w:rsidRPr="009627D5">
        <w:rPr>
          <w:rFonts w:ascii="Times New Roman" w:eastAsia="標楷體" w:hAnsi="標楷體" w:hint="eastAsia"/>
          <w:color w:val="0D0D0D" w:themeColor="text1" w:themeTint="F2"/>
          <w:sz w:val="26"/>
          <w:szCs w:val="26"/>
        </w:rPr>
        <w:t>計畫應有之</w:t>
      </w:r>
      <w:r w:rsidRPr="009627D5">
        <w:rPr>
          <w:rFonts w:ascii="Times New Roman" w:eastAsia="標楷體" w:hAnsi="標楷體"/>
          <w:color w:val="0D0D0D" w:themeColor="text1" w:themeTint="F2"/>
          <w:sz w:val="26"/>
          <w:szCs w:val="26"/>
        </w:rPr>
        <w:t>政策</w:t>
      </w:r>
      <w:r w:rsidRPr="009627D5">
        <w:rPr>
          <w:rFonts w:ascii="Times New Roman" w:eastAsia="標楷體" w:hAnsi="標楷體" w:hint="eastAsia"/>
          <w:color w:val="0D0D0D"/>
          <w:sz w:val="26"/>
          <w:szCs w:val="26"/>
        </w:rPr>
        <w:t>、</w:t>
      </w:r>
      <w:r w:rsidRPr="009627D5">
        <w:rPr>
          <w:rFonts w:ascii="Times New Roman" w:eastAsia="標楷體" w:hAnsi="標楷體"/>
          <w:color w:val="0D0D0D"/>
          <w:sz w:val="26"/>
          <w:szCs w:val="26"/>
        </w:rPr>
        <w:t>程序</w:t>
      </w:r>
      <w:r w:rsidRPr="009627D5">
        <w:rPr>
          <w:rFonts w:ascii="Times New Roman" w:eastAsia="標楷體" w:hAnsi="標楷體" w:hint="eastAsia"/>
          <w:color w:val="0D0D0D"/>
          <w:sz w:val="26"/>
          <w:szCs w:val="26"/>
        </w:rPr>
        <w:t>及控管措施</w:t>
      </w:r>
      <w:r w:rsidRPr="009627D5">
        <w:rPr>
          <w:rFonts w:ascii="Times New Roman" w:eastAsia="標楷體" w:hAnsi="標楷體"/>
          <w:color w:val="0D0D0D"/>
          <w:sz w:val="26"/>
          <w:szCs w:val="26"/>
        </w:rPr>
        <w:t>。</w:t>
      </w:r>
    </w:p>
    <w:p w:rsidR="00F70AD4" w:rsidRDefault="00F70AD4" w:rsidP="00F70AD4">
      <w:pPr>
        <w:pStyle w:val="a3"/>
        <w:kinsoku w:val="0"/>
        <w:snapToGrid w:val="0"/>
        <w:ind w:leftChars="200" w:left="480" w:firstLineChars="2" w:firstLine="5"/>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證券業務具多樣性，不同業務伴隨之洗錢及資恐風險亦有所不同。證券商於評估與抵減其洗錢及資恐曝險時，應將業務差異性納入考量。</w:t>
      </w:r>
    </w:p>
    <w:p w:rsidR="00F70AD4" w:rsidRPr="00F70AD4" w:rsidRDefault="00F70AD4" w:rsidP="00F70AD4">
      <w:pPr>
        <w:pStyle w:val="a3"/>
        <w:kinsoku w:val="0"/>
        <w:snapToGrid w:val="0"/>
        <w:ind w:leftChars="200" w:left="480" w:firstLineChars="2" w:firstLine="5"/>
        <w:rPr>
          <w:rFonts w:ascii="Times New Roman" w:eastAsia="標楷體" w:hAnsi="標楷體"/>
          <w:color w:val="0D0D0D"/>
          <w:sz w:val="26"/>
          <w:szCs w:val="26"/>
        </w:rPr>
      </w:pPr>
      <w:r w:rsidRPr="009627D5" w:rsidDel="00ED62D2">
        <w:rPr>
          <w:rFonts w:eastAsia="標楷體" w:hAnsi="標楷體" w:hint="eastAsia"/>
          <w:color w:val="0D0D0D" w:themeColor="text1" w:themeTint="F2"/>
          <w:sz w:val="26"/>
          <w:szCs w:val="26"/>
        </w:rPr>
        <w:t>本</w:t>
      </w:r>
      <w:r w:rsidRPr="009627D5">
        <w:rPr>
          <w:rFonts w:eastAsia="標楷體" w:hAnsi="標楷體" w:hint="eastAsia"/>
          <w:color w:val="0D0D0D" w:themeColor="text1" w:themeTint="F2"/>
          <w:sz w:val="26"/>
          <w:szCs w:val="26"/>
        </w:rPr>
        <w:t>指引</w:t>
      </w:r>
      <w:r w:rsidRPr="009627D5" w:rsidDel="00ED62D2">
        <w:rPr>
          <w:rFonts w:eastAsia="標楷體" w:hAnsi="標楷體" w:hint="eastAsia"/>
          <w:color w:val="0D0D0D" w:themeColor="text1" w:themeTint="F2"/>
          <w:sz w:val="26"/>
          <w:szCs w:val="26"/>
        </w:rPr>
        <w:t>所舉例之各項說明並非強制性規範</w:t>
      </w:r>
      <w:r w:rsidRPr="009627D5">
        <w:rPr>
          <w:rFonts w:eastAsia="標楷體" w:hAnsi="標楷體" w:hint="eastAsia"/>
          <w:color w:val="0D0D0D" w:themeColor="text1" w:themeTint="F2"/>
          <w:sz w:val="26"/>
          <w:szCs w:val="26"/>
        </w:rPr>
        <w:t>，</w:t>
      </w:r>
      <w:r w:rsidRPr="009627D5">
        <w:rPr>
          <w:rFonts w:eastAsia="標楷體" w:hAnsi="標楷體"/>
          <w:color w:val="0D0D0D"/>
          <w:sz w:val="26"/>
          <w:szCs w:val="26"/>
        </w:rPr>
        <w:t>證券商</w:t>
      </w:r>
      <w:r w:rsidRPr="009627D5" w:rsidDel="00AF1F29">
        <w:rPr>
          <w:rFonts w:eastAsia="標楷體" w:hAnsi="標楷體"/>
          <w:color w:val="0D0D0D"/>
          <w:sz w:val="26"/>
          <w:szCs w:val="26"/>
        </w:rPr>
        <w:t>之風險評估</w:t>
      </w:r>
      <w:r w:rsidRPr="009627D5">
        <w:rPr>
          <w:rFonts w:eastAsia="標楷體" w:hAnsi="標楷體" w:hint="eastAsia"/>
          <w:color w:val="0D0D0D"/>
          <w:sz w:val="26"/>
          <w:szCs w:val="26"/>
        </w:rPr>
        <w:t>機制</w:t>
      </w:r>
      <w:r w:rsidRPr="009627D5" w:rsidDel="00AF1F29">
        <w:rPr>
          <w:rFonts w:eastAsia="標楷體" w:hAnsi="標楷體"/>
          <w:color w:val="0D0D0D"/>
          <w:sz w:val="26"/>
          <w:szCs w:val="26"/>
        </w:rPr>
        <w:t>應與</w:t>
      </w:r>
      <w:r w:rsidRPr="009627D5">
        <w:rPr>
          <w:rFonts w:eastAsia="標楷體" w:hAnsi="標楷體" w:hint="eastAsia"/>
          <w:color w:val="0D0D0D"/>
          <w:sz w:val="26"/>
          <w:szCs w:val="26"/>
        </w:rPr>
        <w:t>其</w:t>
      </w:r>
      <w:r w:rsidRPr="009627D5" w:rsidDel="00AF1F29">
        <w:rPr>
          <w:rFonts w:eastAsia="標楷體" w:hAnsi="標楷體"/>
          <w:color w:val="0D0D0D"/>
          <w:sz w:val="26"/>
          <w:szCs w:val="26"/>
        </w:rPr>
        <w:t>業務性質</w:t>
      </w:r>
      <w:r w:rsidRPr="009627D5" w:rsidDel="00AF1F29">
        <w:rPr>
          <w:rFonts w:eastAsia="標楷體" w:hAnsi="標楷體" w:hint="eastAsia"/>
          <w:color w:val="0D0D0D"/>
          <w:sz w:val="26"/>
          <w:szCs w:val="26"/>
        </w:rPr>
        <w:t>及</w:t>
      </w:r>
      <w:r w:rsidRPr="009627D5" w:rsidDel="00AF1F29">
        <w:rPr>
          <w:rFonts w:eastAsia="標楷體" w:hAnsi="標楷體"/>
          <w:color w:val="0D0D0D"/>
          <w:sz w:val="26"/>
          <w:szCs w:val="26"/>
        </w:rPr>
        <w:t>規模相當。對較小型或業務較單純之</w:t>
      </w:r>
      <w:r w:rsidRPr="009627D5">
        <w:rPr>
          <w:rFonts w:eastAsia="標楷體" w:hAnsi="標楷體"/>
          <w:color w:val="0D0D0D"/>
          <w:sz w:val="26"/>
          <w:szCs w:val="26"/>
        </w:rPr>
        <w:t>證券商</w:t>
      </w:r>
      <w:r w:rsidRPr="009627D5" w:rsidDel="00AF1F29">
        <w:rPr>
          <w:rFonts w:eastAsia="標楷體" w:hAnsi="標楷體"/>
          <w:color w:val="0D0D0D"/>
          <w:sz w:val="26"/>
          <w:szCs w:val="26"/>
        </w:rPr>
        <w:t>，簡單之風險評估即足夠</w:t>
      </w:r>
      <w:r w:rsidRPr="009627D5">
        <w:rPr>
          <w:rFonts w:eastAsia="標楷體" w:hAnsi="標楷體" w:hint="eastAsia"/>
          <w:color w:val="0D0D0D"/>
          <w:sz w:val="26"/>
          <w:szCs w:val="26"/>
        </w:rPr>
        <w:t>；</w:t>
      </w:r>
      <w:r w:rsidRPr="009627D5" w:rsidDel="00AF1F29">
        <w:rPr>
          <w:rFonts w:eastAsia="標楷體" w:hAnsi="標楷體"/>
          <w:color w:val="0D0D0D"/>
          <w:sz w:val="26"/>
          <w:szCs w:val="26"/>
        </w:rPr>
        <w:t>惟對於產品與服務較複雜之</w:t>
      </w:r>
      <w:r w:rsidRPr="009627D5">
        <w:rPr>
          <w:rFonts w:eastAsia="標楷體" w:hAnsi="標楷體"/>
          <w:color w:val="0D0D0D"/>
          <w:sz w:val="26"/>
          <w:szCs w:val="26"/>
        </w:rPr>
        <w:t>證券商</w:t>
      </w:r>
      <w:r w:rsidRPr="009627D5" w:rsidDel="00AF1F29">
        <w:rPr>
          <w:rFonts w:eastAsia="標楷體" w:hAnsi="標楷體"/>
          <w:color w:val="0D0D0D"/>
          <w:sz w:val="26"/>
          <w:szCs w:val="26"/>
        </w:rPr>
        <w:t>、有多家分</w:t>
      </w:r>
      <w:r w:rsidRPr="00C83A48">
        <w:rPr>
          <w:rFonts w:eastAsia="標楷體" w:hAnsi="標楷體" w:hint="eastAsia"/>
          <w:color w:val="0D0D0D"/>
          <w:sz w:val="26"/>
          <w:szCs w:val="26"/>
          <w:u w:val="single"/>
        </w:rPr>
        <w:t>公司</w:t>
      </w:r>
      <w:r w:rsidRPr="00C83A48">
        <w:rPr>
          <w:rFonts w:eastAsia="標楷體" w:hAnsi="標楷體"/>
          <w:color w:val="0D0D0D"/>
          <w:sz w:val="26"/>
          <w:szCs w:val="26"/>
          <w:u w:val="single"/>
        </w:rPr>
        <w:t>(</w:t>
      </w:r>
      <w:r w:rsidRPr="00C83A48">
        <w:rPr>
          <w:rFonts w:eastAsia="標楷體" w:hAnsi="標楷體"/>
          <w:color w:val="0D0D0D"/>
          <w:sz w:val="26"/>
          <w:szCs w:val="26"/>
          <w:u w:val="single"/>
        </w:rPr>
        <w:t>或子公司</w:t>
      </w:r>
      <w:r w:rsidRPr="00C83A48">
        <w:rPr>
          <w:rFonts w:eastAsia="標楷體" w:hAnsi="標楷體"/>
          <w:color w:val="0D0D0D"/>
          <w:sz w:val="26"/>
          <w:szCs w:val="26"/>
          <w:u w:val="single"/>
        </w:rPr>
        <w:t>)</w:t>
      </w:r>
      <w:r w:rsidRPr="009627D5" w:rsidDel="00AF1F29">
        <w:rPr>
          <w:rFonts w:eastAsia="標楷體" w:hAnsi="標楷體"/>
          <w:color w:val="0D0D0D"/>
          <w:sz w:val="26"/>
          <w:szCs w:val="26"/>
        </w:rPr>
        <w:t>提供廣泛多樣之產品、</w:t>
      </w:r>
      <w:r w:rsidRPr="009627D5" w:rsidDel="00AF1F29">
        <w:rPr>
          <w:rFonts w:eastAsia="標楷體" w:hAnsi="標楷體" w:hint="eastAsia"/>
          <w:color w:val="0D0D0D"/>
          <w:sz w:val="26"/>
          <w:szCs w:val="26"/>
        </w:rPr>
        <w:t>或</w:t>
      </w:r>
      <w:r w:rsidRPr="009627D5" w:rsidDel="00AF1F29">
        <w:rPr>
          <w:rFonts w:eastAsia="標楷體" w:hAnsi="標楷體"/>
          <w:color w:val="0D0D0D"/>
          <w:sz w:val="26"/>
          <w:szCs w:val="26"/>
        </w:rPr>
        <w:t>其客戶群較多元</w:t>
      </w:r>
      <w:r w:rsidRPr="009627D5" w:rsidDel="00AF1F29">
        <w:rPr>
          <w:rFonts w:eastAsia="標楷體" w:hAnsi="標楷體" w:hint="eastAsia"/>
          <w:color w:val="0D0D0D"/>
          <w:sz w:val="26"/>
          <w:szCs w:val="26"/>
        </w:rPr>
        <w:t>者</w:t>
      </w:r>
      <w:r w:rsidRPr="009627D5" w:rsidDel="00AF1F29">
        <w:rPr>
          <w:rFonts w:eastAsia="標楷體" w:hAnsi="標楷體"/>
          <w:color w:val="0D0D0D"/>
          <w:sz w:val="26"/>
          <w:szCs w:val="26"/>
        </w:rPr>
        <w:t>，則需進行較高度的風險評估程序。</w:t>
      </w:r>
      <w:r w:rsidR="0053567F">
        <w:rPr>
          <w:rFonts w:eastAsia="標楷體" w:hAnsi="標楷體"/>
          <w:color w:val="0D0D0D"/>
          <w:sz w:val="26"/>
          <w:szCs w:val="26"/>
        </w:rPr>
        <w:br/>
      </w:r>
    </w:p>
    <w:p w:rsidR="0053567F" w:rsidRPr="009627D5" w:rsidRDefault="0053567F" w:rsidP="0053567F">
      <w:pPr>
        <w:pStyle w:val="a3"/>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三、證券商應</w:t>
      </w:r>
      <w:r w:rsidRPr="009627D5">
        <w:rPr>
          <w:rFonts w:ascii="Times New Roman" w:eastAsia="標楷體" w:hAnsi="標楷體"/>
          <w:color w:val="0D0D0D"/>
          <w:sz w:val="26"/>
          <w:szCs w:val="26"/>
        </w:rPr>
        <w:t>採取合宜措施以識</w:t>
      </w:r>
      <w:r w:rsidRPr="009627D5">
        <w:rPr>
          <w:rFonts w:ascii="Times New Roman" w:eastAsia="標楷體" w:hAnsi="標楷體" w:hint="eastAsia"/>
          <w:color w:val="0D0D0D"/>
          <w:sz w:val="26"/>
          <w:szCs w:val="26"/>
        </w:rPr>
        <w:t>別、</w:t>
      </w:r>
      <w:r w:rsidRPr="009627D5">
        <w:rPr>
          <w:rFonts w:ascii="Times New Roman" w:eastAsia="標楷體" w:hAnsi="標楷體"/>
          <w:color w:val="0D0D0D"/>
          <w:sz w:val="26"/>
          <w:szCs w:val="26"/>
        </w:rPr>
        <w:t>評估</w:t>
      </w:r>
      <w:r w:rsidRPr="009627D5">
        <w:rPr>
          <w:rFonts w:ascii="Times New Roman" w:eastAsia="標楷體" w:hAnsi="標楷體" w:hint="eastAsia"/>
          <w:color w:val="0D0D0D"/>
          <w:sz w:val="26"/>
          <w:szCs w:val="26"/>
        </w:rPr>
        <w:t>其洗錢及資恐風險，並依據所辨識之風險訂定具體的風險評估項目，以進一步管控、降低或預防該風險。</w:t>
      </w:r>
    </w:p>
    <w:p w:rsidR="0053567F" w:rsidRPr="009627D5" w:rsidRDefault="0053567F" w:rsidP="0053567F">
      <w:pPr>
        <w:pStyle w:val="a3"/>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具體的風險評估項目應至少包括地域、客戶、產品</w:t>
      </w:r>
      <w:r w:rsidRPr="00FA4824">
        <w:rPr>
          <w:rFonts w:ascii="Times New Roman" w:eastAsia="標楷體" w:hAnsi="標楷體" w:hint="eastAsia"/>
          <w:color w:val="0D0D0D"/>
          <w:sz w:val="26"/>
          <w:szCs w:val="26"/>
          <w:u w:val="single"/>
        </w:rPr>
        <w:t>及服務、交易或支付管道等面向</w:t>
      </w:r>
      <w:r w:rsidRPr="009627D5">
        <w:rPr>
          <w:rFonts w:ascii="Times New Roman" w:eastAsia="標楷體" w:hAnsi="標楷體" w:hint="eastAsia"/>
          <w:color w:val="0D0D0D"/>
          <w:sz w:val="26"/>
          <w:szCs w:val="26"/>
        </w:rPr>
        <w:t>，並應進一步分析各風險項目，以訂定細部的風險因素。</w:t>
      </w:r>
      <w:r>
        <w:rPr>
          <w:rFonts w:ascii="Times New Roman" w:eastAsia="標楷體" w:hAnsi="標楷體" w:hint="eastAsia"/>
          <w:color w:val="0D0D0D"/>
          <w:sz w:val="26"/>
          <w:szCs w:val="26"/>
        </w:rPr>
        <w:t xml:space="preserve"> </w:t>
      </w:r>
    </w:p>
    <w:p w:rsidR="0053567F" w:rsidRPr="003D0DCE" w:rsidRDefault="0053567F" w:rsidP="0053567F">
      <w:pPr>
        <w:kinsoku w:val="0"/>
        <w:spacing w:line="360" w:lineRule="exact"/>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一</w:t>
      </w:r>
      <w:r w:rsidRPr="003D0DCE">
        <w:rPr>
          <w:rFonts w:ascii="標楷體" w:eastAsia="標楷體" w:hAnsi="標楷體" w:hint="eastAsia"/>
          <w:sz w:val="26"/>
          <w:szCs w:val="26"/>
        </w:rPr>
        <w:t>)地域風險：</w:t>
      </w:r>
    </w:p>
    <w:p w:rsidR="0053567F" w:rsidRDefault="0053567F" w:rsidP="0053567F">
      <w:pPr>
        <w:pStyle w:val="a3"/>
        <w:numPr>
          <w:ilvl w:val="0"/>
          <w:numId w:val="37"/>
        </w:numPr>
        <w:kinsoku w:val="0"/>
        <w:snapToGrid w:val="0"/>
        <w:ind w:left="763" w:hanging="284"/>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證券商應識別具較高洗錢及資恐風險的區域。</w:t>
      </w:r>
    </w:p>
    <w:p w:rsidR="0053567F" w:rsidRPr="00656CAE" w:rsidRDefault="0053567F" w:rsidP="0053567F">
      <w:pPr>
        <w:pStyle w:val="a3"/>
        <w:numPr>
          <w:ilvl w:val="0"/>
          <w:numId w:val="37"/>
        </w:numPr>
        <w:kinsoku w:val="0"/>
        <w:snapToGrid w:val="0"/>
        <w:ind w:left="763" w:hanging="284"/>
        <w:rPr>
          <w:rFonts w:ascii="Times New Roman" w:eastAsia="標楷體" w:hAnsi="Times New Roman"/>
          <w:color w:val="0D0D0D"/>
          <w:sz w:val="26"/>
          <w:szCs w:val="26"/>
        </w:rPr>
      </w:pPr>
      <w:r w:rsidRPr="003D0DCE">
        <w:rPr>
          <w:rFonts w:ascii="Times New Roman" w:eastAsia="標楷體" w:hAnsi="標楷體" w:hint="eastAsia"/>
          <w:color w:val="0D0D0D"/>
          <w:sz w:val="26"/>
          <w:szCs w:val="26"/>
        </w:rPr>
        <w:t>於訂定高洗錢及資恐風險之區域名單時，證券商得依據其各</w:t>
      </w:r>
      <w:r w:rsidRPr="00FC32F0">
        <w:rPr>
          <w:rFonts w:ascii="標楷體" w:eastAsia="標楷體" w:hAnsi="標楷體" w:cs="新細明體"/>
          <w:sz w:val="26"/>
          <w:szCs w:val="26"/>
        </w:rPr>
        <w:t>分</w:t>
      </w:r>
      <w:r w:rsidRPr="00FC32F0">
        <w:rPr>
          <w:rFonts w:ascii="標楷體" w:eastAsia="標楷體" w:hAnsi="標楷體" w:cs="新細明體" w:hint="eastAsia"/>
          <w:sz w:val="26"/>
          <w:szCs w:val="26"/>
        </w:rPr>
        <w:t>公司（或子公司）</w:t>
      </w:r>
      <w:r w:rsidRPr="003D0DCE">
        <w:rPr>
          <w:rFonts w:ascii="Times New Roman" w:eastAsia="標楷體" w:hAnsi="標楷體" w:hint="eastAsia"/>
          <w:color w:val="0D0D0D"/>
          <w:sz w:val="26"/>
          <w:szCs w:val="26"/>
        </w:rPr>
        <w:t>的實務經驗，並考量個別需求，以選擇適用之參考依據。</w:t>
      </w:r>
    </w:p>
    <w:p w:rsidR="0053567F" w:rsidRPr="00FA4824" w:rsidRDefault="0053567F" w:rsidP="0053567F">
      <w:pPr>
        <w:kinsoku w:val="0"/>
        <w:spacing w:line="360" w:lineRule="exact"/>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FA4824">
        <w:rPr>
          <w:rFonts w:ascii="標楷體" w:eastAsia="標楷體" w:hAnsi="標楷體" w:hint="eastAsia"/>
          <w:sz w:val="26"/>
          <w:szCs w:val="26"/>
        </w:rPr>
        <w:t>客戶風險：</w:t>
      </w:r>
    </w:p>
    <w:p w:rsidR="0053567F" w:rsidRPr="009627D5" w:rsidRDefault="0053567F" w:rsidP="0053567F">
      <w:pPr>
        <w:pStyle w:val="a3"/>
        <w:numPr>
          <w:ilvl w:val="0"/>
          <w:numId w:val="38"/>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證券商應綜合考量個別客戶背景、職業與社會經濟活動特性、地域、以及非自然人客戶之組織型態與架構等，以識別該客戶洗錢及資恐風險。</w:t>
      </w:r>
    </w:p>
    <w:p w:rsidR="0053567F" w:rsidRPr="009627D5" w:rsidRDefault="0053567F" w:rsidP="0053567F">
      <w:pPr>
        <w:pStyle w:val="a3"/>
        <w:numPr>
          <w:ilvl w:val="0"/>
          <w:numId w:val="38"/>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於識別個別客戶風險並決定其風險等級時，證券商得依據以下風險因素為評估依據：</w:t>
      </w:r>
    </w:p>
    <w:p w:rsidR="0053567F" w:rsidRPr="009627D5" w:rsidRDefault="0053567F" w:rsidP="0053567F">
      <w:pPr>
        <w:pStyle w:val="a3"/>
        <w:numPr>
          <w:ilvl w:val="0"/>
          <w:numId w:val="7"/>
        </w:numPr>
        <w:tabs>
          <w:tab w:val="clear" w:pos="1731"/>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客戶之地域風險：依據證券商所定義之洗錢及資恐風險的區域名單</w:t>
      </w:r>
      <w:r w:rsidRPr="009627D5">
        <w:rPr>
          <w:rFonts w:ascii="Times New Roman" w:eastAsia="標楷體" w:hAnsi="標楷體" w:hint="eastAsia"/>
          <w:color w:val="0D0D0D"/>
          <w:sz w:val="26"/>
          <w:szCs w:val="26"/>
        </w:rPr>
        <w:lastRenderedPageBreak/>
        <w:t>，決定客戶國籍與居住國家的風險評分。</w:t>
      </w:r>
    </w:p>
    <w:p w:rsidR="0053567F" w:rsidRPr="009627D5" w:rsidRDefault="0053567F" w:rsidP="0053567F">
      <w:pPr>
        <w:pStyle w:val="a3"/>
        <w:numPr>
          <w:ilvl w:val="0"/>
          <w:numId w:val="7"/>
        </w:numPr>
        <w:tabs>
          <w:tab w:val="clear" w:pos="1731"/>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客戶職業與行業之洗錢風險：依據證券商所定義之各職業與行業的洗錢風險，決定客戶職業與行業的風險評分。高風險行業如從事密集性現金交易業務、或屬易被運用於持有個人資產之公司或信託等。</w:t>
      </w:r>
    </w:p>
    <w:p w:rsidR="0053567F" w:rsidRPr="00DB2B01" w:rsidRDefault="0053567F" w:rsidP="0053567F">
      <w:pPr>
        <w:pStyle w:val="a3"/>
        <w:numPr>
          <w:ilvl w:val="0"/>
          <w:numId w:val="7"/>
        </w:numPr>
        <w:tabs>
          <w:tab w:val="clear" w:pos="1731"/>
        </w:tabs>
        <w:kinsoku w:val="0"/>
        <w:snapToGrid w:val="0"/>
        <w:ind w:left="1046" w:hanging="708"/>
        <w:rPr>
          <w:rFonts w:ascii="Times New Roman" w:eastAsia="標楷體" w:hAnsi="標楷體"/>
          <w:color w:val="0D0D0D"/>
          <w:sz w:val="26"/>
          <w:szCs w:val="26"/>
          <w:u w:val="single"/>
        </w:rPr>
      </w:pPr>
      <w:r w:rsidRPr="00DB2B01">
        <w:rPr>
          <w:rFonts w:ascii="Times New Roman" w:eastAsia="標楷體" w:hAnsi="標楷體" w:hint="eastAsia"/>
          <w:color w:val="0D0D0D"/>
          <w:sz w:val="26"/>
          <w:szCs w:val="26"/>
          <w:u w:val="single"/>
        </w:rPr>
        <w:t>個人客戶之任職機構。</w:t>
      </w:r>
    </w:p>
    <w:p w:rsidR="0053567F" w:rsidRPr="009627D5" w:rsidRDefault="0053567F" w:rsidP="0053567F">
      <w:pPr>
        <w:pStyle w:val="a3"/>
        <w:numPr>
          <w:ilvl w:val="0"/>
          <w:numId w:val="7"/>
        </w:numPr>
        <w:tabs>
          <w:tab w:val="clear" w:pos="1731"/>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客戶開戶與建立業務關係之管道。</w:t>
      </w:r>
    </w:p>
    <w:p w:rsidR="0053567F" w:rsidRDefault="0053567F" w:rsidP="0053567F">
      <w:pPr>
        <w:pStyle w:val="a3"/>
        <w:numPr>
          <w:ilvl w:val="0"/>
          <w:numId w:val="7"/>
        </w:numPr>
        <w:tabs>
          <w:tab w:val="clear" w:pos="1731"/>
        </w:tabs>
        <w:kinsoku w:val="0"/>
        <w:snapToGrid w:val="0"/>
        <w:ind w:left="1046" w:hanging="708"/>
        <w:rPr>
          <w:rFonts w:ascii="Times New Roman" w:eastAsia="標楷體" w:hAnsi="標楷體"/>
          <w:color w:val="0D0D0D"/>
          <w:sz w:val="26"/>
          <w:szCs w:val="26"/>
        </w:rPr>
      </w:pPr>
      <w:r w:rsidRPr="00DB2B01">
        <w:rPr>
          <w:rFonts w:ascii="Times New Roman" w:eastAsia="標楷體" w:hAnsi="標楷體" w:hint="eastAsia"/>
          <w:color w:val="0D0D0D"/>
          <w:sz w:val="26"/>
          <w:szCs w:val="26"/>
          <w:u w:val="single"/>
        </w:rPr>
        <w:t>首次</w:t>
      </w:r>
      <w:r w:rsidRPr="009627D5">
        <w:rPr>
          <w:rFonts w:ascii="Times New Roman" w:eastAsia="標楷體" w:hAnsi="標楷體" w:hint="eastAsia"/>
          <w:color w:val="0D0D0D"/>
          <w:sz w:val="26"/>
          <w:szCs w:val="26"/>
        </w:rPr>
        <w:t>建立業務關係之</w:t>
      </w:r>
      <w:r w:rsidRPr="00DB2B01">
        <w:rPr>
          <w:rFonts w:ascii="Times New Roman" w:eastAsia="標楷體" w:hAnsi="標楷體" w:hint="eastAsia"/>
          <w:color w:val="0D0D0D"/>
          <w:sz w:val="26"/>
          <w:szCs w:val="26"/>
          <w:u w:val="single"/>
        </w:rPr>
        <w:t>往來</w:t>
      </w:r>
      <w:r w:rsidRPr="009627D5">
        <w:rPr>
          <w:rFonts w:ascii="Times New Roman" w:eastAsia="標楷體" w:hAnsi="標楷體" w:hint="eastAsia"/>
          <w:color w:val="0D0D0D"/>
          <w:sz w:val="26"/>
          <w:szCs w:val="26"/>
        </w:rPr>
        <w:t>金額。</w:t>
      </w:r>
    </w:p>
    <w:p w:rsidR="0053567F" w:rsidRPr="00DB2B01" w:rsidRDefault="0053567F" w:rsidP="0053567F">
      <w:pPr>
        <w:pStyle w:val="a3"/>
        <w:numPr>
          <w:ilvl w:val="0"/>
          <w:numId w:val="7"/>
        </w:numPr>
        <w:tabs>
          <w:tab w:val="clear" w:pos="1731"/>
        </w:tabs>
        <w:kinsoku w:val="0"/>
        <w:snapToGrid w:val="0"/>
        <w:ind w:left="1046" w:hanging="708"/>
        <w:rPr>
          <w:rFonts w:ascii="Times New Roman" w:eastAsia="標楷體" w:hAnsi="標楷體"/>
          <w:color w:val="0D0D0D"/>
          <w:sz w:val="26"/>
          <w:szCs w:val="26"/>
          <w:u w:val="single"/>
        </w:rPr>
      </w:pPr>
      <w:r w:rsidRPr="00DB2B01">
        <w:rPr>
          <w:rFonts w:ascii="Times New Roman" w:eastAsia="標楷體" w:hAnsi="標楷體" w:hint="eastAsia"/>
          <w:color w:val="0D0D0D"/>
          <w:sz w:val="26"/>
          <w:szCs w:val="26"/>
          <w:u w:val="single"/>
        </w:rPr>
        <w:t>申請往來之產品或服務。</w:t>
      </w:r>
    </w:p>
    <w:p w:rsidR="0053567F" w:rsidRPr="009627D5" w:rsidRDefault="0053567F" w:rsidP="0053567F">
      <w:pPr>
        <w:pStyle w:val="a3"/>
        <w:numPr>
          <w:ilvl w:val="0"/>
          <w:numId w:val="7"/>
        </w:numPr>
        <w:tabs>
          <w:tab w:val="clear" w:pos="1731"/>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客戶是否有其他高洗錢及資恐風險之表徵，如客戶留存地址與分</w:t>
      </w:r>
      <w:r>
        <w:rPr>
          <w:rFonts w:ascii="Times New Roman" w:eastAsia="標楷體" w:hAnsi="標楷體" w:hint="eastAsia"/>
          <w:color w:val="0D0D0D"/>
          <w:sz w:val="26"/>
          <w:szCs w:val="26"/>
        </w:rPr>
        <w:t>支機構</w:t>
      </w:r>
      <w:r w:rsidRPr="009627D5">
        <w:rPr>
          <w:rFonts w:ascii="Times New Roman" w:eastAsia="標楷體" w:hAnsi="標楷體" w:hint="eastAsia"/>
          <w:color w:val="0D0D0D"/>
          <w:sz w:val="26"/>
          <w:szCs w:val="26"/>
        </w:rPr>
        <w:t>相距過遠而無法提出合理說明者、客戶為具隱名股東之公司或可發行無記名股票之公司、法人客戶之股權複雜度，如股權架構是否明顯異常或相對其業務性質過度複雜等。</w:t>
      </w:r>
    </w:p>
    <w:p w:rsidR="0053567F" w:rsidRPr="00FA4824" w:rsidRDefault="0053567F" w:rsidP="0053567F">
      <w:pPr>
        <w:kinsoku w:val="0"/>
        <w:spacing w:line="360" w:lineRule="exact"/>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三</w:t>
      </w:r>
      <w:r w:rsidRPr="003D0DCE">
        <w:rPr>
          <w:rFonts w:ascii="標楷體" w:eastAsia="標楷體" w:hAnsi="標楷體" w:hint="eastAsia"/>
          <w:sz w:val="26"/>
          <w:szCs w:val="26"/>
        </w:rPr>
        <w:t>)</w:t>
      </w:r>
      <w:r w:rsidRPr="00FA4824">
        <w:rPr>
          <w:rFonts w:ascii="標楷體" w:eastAsia="標楷體" w:hAnsi="標楷體" w:hint="eastAsia"/>
          <w:sz w:val="26"/>
          <w:szCs w:val="26"/>
        </w:rPr>
        <w:t>產品</w:t>
      </w:r>
      <w:r w:rsidRPr="00FA4824">
        <w:rPr>
          <w:rFonts w:eastAsia="標楷體" w:hAnsi="標楷體" w:hint="eastAsia"/>
          <w:color w:val="0D0D0D"/>
          <w:sz w:val="26"/>
          <w:szCs w:val="26"/>
          <w:u w:val="single"/>
        </w:rPr>
        <w:t>及服務、交易或支付管道</w:t>
      </w:r>
      <w:r w:rsidRPr="00FA4824">
        <w:rPr>
          <w:rFonts w:ascii="標楷體" w:eastAsia="標楷體" w:hAnsi="標楷體" w:hint="eastAsia"/>
          <w:sz w:val="26"/>
          <w:szCs w:val="26"/>
        </w:rPr>
        <w:t>風險：</w:t>
      </w:r>
    </w:p>
    <w:p w:rsidR="0053567F" w:rsidRPr="009627D5" w:rsidRDefault="0053567F" w:rsidP="0053567F">
      <w:pPr>
        <w:pStyle w:val="a3"/>
        <w:numPr>
          <w:ilvl w:val="0"/>
          <w:numId w:val="39"/>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證券商應依</w:t>
      </w:r>
      <w:r w:rsidRPr="009627D5">
        <w:rPr>
          <w:rFonts w:ascii="Times New Roman" w:eastAsia="標楷體" w:hAnsi="標楷體"/>
          <w:color w:val="0D0D0D"/>
          <w:sz w:val="26"/>
          <w:szCs w:val="26"/>
        </w:rPr>
        <w:t>據</w:t>
      </w:r>
      <w:r w:rsidRPr="009627D5">
        <w:rPr>
          <w:rFonts w:ascii="Times New Roman" w:eastAsia="標楷體" w:hAnsi="標楷體" w:hint="eastAsia"/>
          <w:color w:val="0D0D0D"/>
          <w:sz w:val="26"/>
          <w:szCs w:val="26"/>
        </w:rPr>
        <w:t>個別</w:t>
      </w:r>
      <w:r w:rsidRPr="009627D5">
        <w:rPr>
          <w:rFonts w:ascii="Times New Roman" w:eastAsia="標楷體" w:hAnsi="標楷體"/>
          <w:color w:val="0D0D0D"/>
          <w:sz w:val="26"/>
          <w:szCs w:val="26"/>
        </w:rPr>
        <w:t>產品</w:t>
      </w:r>
      <w:r w:rsidRPr="00203FC2">
        <w:rPr>
          <w:rFonts w:ascii="Times New Roman" w:eastAsia="標楷體" w:hAnsi="標楷體" w:hint="eastAsia"/>
          <w:color w:val="0D0D0D"/>
          <w:sz w:val="26"/>
          <w:szCs w:val="26"/>
          <w:u w:val="single"/>
        </w:rPr>
        <w:t>與</w:t>
      </w:r>
      <w:r w:rsidRPr="009627D5">
        <w:rPr>
          <w:rFonts w:ascii="Times New Roman" w:eastAsia="標楷體" w:hAnsi="標楷體"/>
          <w:color w:val="0D0D0D"/>
          <w:sz w:val="26"/>
          <w:szCs w:val="26"/>
        </w:rPr>
        <w:t>服務</w:t>
      </w:r>
      <w:r w:rsidRPr="00FA4824">
        <w:rPr>
          <w:rFonts w:ascii="Times New Roman" w:eastAsia="標楷體" w:hAnsi="標楷體" w:hint="eastAsia"/>
          <w:color w:val="0D0D0D"/>
          <w:sz w:val="26"/>
          <w:szCs w:val="26"/>
          <w:u w:val="single"/>
        </w:rPr>
        <w:t>、交易或支付管道</w:t>
      </w:r>
      <w:r w:rsidRPr="009627D5">
        <w:rPr>
          <w:rFonts w:ascii="Times New Roman" w:eastAsia="標楷體" w:hAnsi="標楷體" w:hint="eastAsia"/>
          <w:color w:val="0D0D0D"/>
          <w:sz w:val="26"/>
          <w:szCs w:val="26"/>
        </w:rPr>
        <w:t>的</w:t>
      </w:r>
      <w:r w:rsidRPr="009627D5">
        <w:rPr>
          <w:rFonts w:ascii="Times New Roman" w:eastAsia="標楷體" w:hAnsi="標楷體"/>
          <w:color w:val="0D0D0D"/>
          <w:sz w:val="26"/>
          <w:szCs w:val="26"/>
        </w:rPr>
        <w:t>性質</w:t>
      </w:r>
      <w:r w:rsidRPr="009627D5">
        <w:rPr>
          <w:rFonts w:ascii="Times New Roman" w:eastAsia="標楷體" w:hAnsi="標楷體" w:hint="eastAsia"/>
          <w:color w:val="0D0D0D"/>
          <w:sz w:val="26"/>
          <w:szCs w:val="26"/>
        </w:rPr>
        <w:t>，識別可能會為其帶來較高的洗錢及資恐風險者。</w:t>
      </w:r>
    </w:p>
    <w:p w:rsidR="0053567F" w:rsidRPr="009627D5" w:rsidRDefault="0053567F" w:rsidP="0053567F">
      <w:pPr>
        <w:pStyle w:val="a3"/>
        <w:numPr>
          <w:ilvl w:val="0"/>
          <w:numId w:val="39"/>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證券</w:t>
      </w:r>
      <w:r w:rsidRPr="00E24176">
        <w:rPr>
          <w:rFonts w:ascii="Times New Roman" w:eastAsia="標楷體" w:hAnsi="標楷體" w:hint="eastAsia"/>
          <w:color w:val="0D0D0D"/>
          <w:sz w:val="26"/>
          <w:szCs w:val="26"/>
        </w:rPr>
        <w:t>商於</w:t>
      </w:r>
      <w:r w:rsidRPr="00E24176">
        <w:rPr>
          <w:rFonts w:ascii="Times New Roman" w:eastAsia="標楷體" w:hAnsi="標楷體" w:hint="eastAsia"/>
          <w:color w:val="0D0D0D"/>
          <w:sz w:val="26"/>
          <w:szCs w:val="26"/>
          <w:u w:val="single"/>
        </w:rPr>
        <w:t>推出</w:t>
      </w:r>
      <w:r w:rsidRPr="00E24176">
        <w:rPr>
          <w:rFonts w:ascii="Times New Roman" w:eastAsia="標楷體" w:hAnsi="標楷體" w:hint="eastAsia"/>
          <w:color w:val="0D0D0D"/>
          <w:sz w:val="26"/>
          <w:szCs w:val="26"/>
        </w:rPr>
        <w:t>新產品或新服務</w:t>
      </w:r>
      <w:r w:rsidRPr="00E24176">
        <w:rPr>
          <w:rFonts w:ascii="標楷體" w:eastAsia="標楷體" w:hAnsi="標楷體" w:hint="eastAsia"/>
          <w:sz w:val="26"/>
          <w:szCs w:val="26"/>
          <w:u w:val="single"/>
        </w:rPr>
        <w:t>或辦理新種業務</w:t>
      </w:r>
      <w:r w:rsidRPr="00E24176">
        <w:rPr>
          <w:rFonts w:ascii="標楷體" w:eastAsia="標楷體" w:hAnsi="標楷體"/>
          <w:sz w:val="26"/>
          <w:szCs w:val="26"/>
          <w:u w:val="single"/>
        </w:rPr>
        <w:t>（</w:t>
      </w:r>
      <w:r w:rsidRPr="00E24176">
        <w:rPr>
          <w:rFonts w:ascii="標楷體" w:eastAsia="標楷體" w:hAnsi="標楷體" w:hint="eastAsia"/>
          <w:sz w:val="26"/>
          <w:szCs w:val="26"/>
          <w:u w:val="single"/>
        </w:rPr>
        <w:t>包括新支付機制、運用新科技於現有或全新之產品或業務</w:t>
      </w:r>
      <w:r w:rsidRPr="00E24176">
        <w:rPr>
          <w:rFonts w:ascii="標楷體" w:eastAsia="標楷體" w:hAnsi="標楷體"/>
          <w:sz w:val="26"/>
          <w:szCs w:val="26"/>
          <w:u w:val="single"/>
        </w:rPr>
        <w:t>）</w:t>
      </w:r>
      <w:r w:rsidRPr="00E24176">
        <w:rPr>
          <w:rFonts w:ascii="Times New Roman" w:eastAsia="標楷體" w:hAnsi="標楷體" w:hint="eastAsia"/>
          <w:color w:val="0D0D0D"/>
          <w:sz w:val="26"/>
          <w:szCs w:val="26"/>
        </w:rPr>
        <w:t>前，</w:t>
      </w:r>
      <w:r w:rsidRPr="00E24176">
        <w:rPr>
          <w:rFonts w:ascii="Times New Roman" w:eastAsia="標楷體" w:hAnsi="標楷體" w:hint="eastAsia"/>
          <w:color w:val="0D0D0D"/>
          <w:sz w:val="26"/>
          <w:szCs w:val="26"/>
          <w:u w:val="single"/>
        </w:rPr>
        <w:t>應</w:t>
      </w:r>
      <w:r w:rsidRPr="00E24176">
        <w:rPr>
          <w:rFonts w:ascii="Times New Roman" w:eastAsia="標楷體" w:hAnsi="標楷體" w:hint="eastAsia"/>
          <w:color w:val="0D0D0D"/>
          <w:sz w:val="26"/>
          <w:szCs w:val="26"/>
        </w:rPr>
        <w:t>進行</w:t>
      </w:r>
      <w:r w:rsidRPr="002220BD">
        <w:rPr>
          <w:rFonts w:ascii="Times New Roman" w:eastAsia="標楷體" w:hAnsi="標楷體" w:hint="eastAsia"/>
          <w:color w:val="0D0D0D"/>
          <w:sz w:val="26"/>
          <w:szCs w:val="26"/>
          <w:u w:val="single"/>
        </w:rPr>
        <w:t>產品之</w:t>
      </w:r>
      <w:r w:rsidRPr="00E24176">
        <w:rPr>
          <w:rFonts w:ascii="Times New Roman" w:eastAsia="標楷體" w:hAnsi="標楷體"/>
          <w:color w:val="0D0D0D"/>
          <w:sz w:val="26"/>
          <w:szCs w:val="26"/>
        </w:rPr>
        <w:t>洗錢</w:t>
      </w:r>
      <w:r>
        <w:rPr>
          <w:rFonts w:ascii="Times New Roman" w:eastAsia="標楷體" w:hAnsi="標楷體" w:hint="eastAsia"/>
          <w:color w:val="0D0D0D"/>
          <w:sz w:val="26"/>
          <w:szCs w:val="26"/>
          <w:u w:val="single"/>
        </w:rPr>
        <w:t>及</w:t>
      </w:r>
      <w:r w:rsidRPr="00E24176">
        <w:rPr>
          <w:rFonts w:ascii="Times New Roman" w:eastAsia="標楷體" w:hAnsi="標楷體" w:hint="eastAsia"/>
          <w:color w:val="0D0D0D"/>
          <w:sz w:val="26"/>
          <w:szCs w:val="26"/>
          <w:u w:val="single"/>
        </w:rPr>
        <w:t>資恐</w:t>
      </w:r>
      <w:r w:rsidRPr="00E24176">
        <w:rPr>
          <w:rFonts w:ascii="Times New Roman" w:eastAsia="標楷體" w:hAnsi="標楷體"/>
          <w:color w:val="0D0D0D"/>
          <w:sz w:val="26"/>
          <w:szCs w:val="26"/>
        </w:rPr>
        <w:t>風險評估，</w:t>
      </w:r>
      <w:r w:rsidRPr="000250B0">
        <w:rPr>
          <w:rFonts w:ascii="Times New Roman" w:eastAsia="標楷體" w:hAnsi="標楷體" w:hint="eastAsia"/>
          <w:color w:val="0D0D0D"/>
          <w:sz w:val="26"/>
          <w:szCs w:val="26"/>
          <w:u w:val="single"/>
        </w:rPr>
        <w:t>並</w:t>
      </w:r>
      <w:r w:rsidRPr="00E24176">
        <w:rPr>
          <w:rFonts w:ascii="Times New Roman" w:eastAsia="標楷體" w:hAnsi="標楷體"/>
          <w:color w:val="0D0D0D"/>
          <w:sz w:val="26"/>
          <w:szCs w:val="26"/>
        </w:rPr>
        <w:t>建立相</w:t>
      </w:r>
      <w:r w:rsidRPr="00E24176">
        <w:rPr>
          <w:rFonts w:ascii="Times New Roman" w:eastAsia="標楷體" w:hAnsi="標楷體" w:hint="eastAsia"/>
          <w:color w:val="0D0D0D"/>
          <w:sz w:val="26"/>
          <w:szCs w:val="26"/>
        </w:rPr>
        <w:t>應</w:t>
      </w:r>
      <w:r w:rsidRPr="000250B0">
        <w:rPr>
          <w:rFonts w:ascii="Times New Roman" w:eastAsia="標楷體" w:hAnsi="標楷體" w:hint="eastAsia"/>
          <w:color w:val="0D0D0D"/>
          <w:sz w:val="26"/>
          <w:szCs w:val="26"/>
          <w:u w:val="single"/>
        </w:rPr>
        <w:t>之</w:t>
      </w:r>
      <w:r w:rsidRPr="00E24176">
        <w:rPr>
          <w:rFonts w:ascii="Times New Roman" w:eastAsia="標楷體" w:hAnsi="標楷體"/>
          <w:color w:val="0D0D0D"/>
          <w:sz w:val="26"/>
          <w:szCs w:val="26"/>
        </w:rPr>
        <w:t>風險管理措施</w:t>
      </w:r>
      <w:r w:rsidRPr="00E24176">
        <w:rPr>
          <w:rFonts w:ascii="標楷體" w:eastAsia="標楷體" w:hAnsi="標楷體" w:hint="eastAsia"/>
          <w:sz w:val="26"/>
          <w:szCs w:val="26"/>
          <w:u w:val="single"/>
        </w:rPr>
        <w:t>以降低所辨識之風險</w:t>
      </w:r>
      <w:r w:rsidRPr="00E24176">
        <w:rPr>
          <w:rFonts w:ascii="Times New Roman" w:eastAsia="標楷體" w:hAnsi="標楷體"/>
          <w:color w:val="0D0D0D"/>
          <w:sz w:val="26"/>
          <w:szCs w:val="26"/>
        </w:rPr>
        <w:t>。</w:t>
      </w:r>
    </w:p>
    <w:p w:rsidR="0053567F" w:rsidRPr="009627D5" w:rsidRDefault="0053567F" w:rsidP="0053567F">
      <w:pPr>
        <w:pStyle w:val="a3"/>
        <w:numPr>
          <w:ilvl w:val="0"/>
          <w:numId w:val="39"/>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個別</w:t>
      </w:r>
      <w:r>
        <w:rPr>
          <w:rFonts w:ascii="Times New Roman" w:eastAsia="標楷體" w:hAnsi="標楷體"/>
          <w:color w:val="0D0D0D"/>
          <w:sz w:val="26"/>
          <w:szCs w:val="26"/>
        </w:rPr>
        <w:t>產品</w:t>
      </w:r>
      <w:r w:rsidRPr="00A61C5B">
        <w:rPr>
          <w:rFonts w:ascii="Times New Roman" w:eastAsia="標楷體" w:hAnsi="標楷體" w:hint="eastAsia"/>
          <w:color w:val="0D0D0D"/>
          <w:sz w:val="26"/>
          <w:szCs w:val="26"/>
          <w:u w:val="single"/>
        </w:rPr>
        <w:t>與</w:t>
      </w:r>
      <w:r w:rsidRPr="009627D5">
        <w:rPr>
          <w:rFonts w:ascii="Times New Roman" w:eastAsia="標楷體" w:hAnsi="標楷體"/>
          <w:color w:val="0D0D0D"/>
          <w:sz w:val="26"/>
          <w:szCs w:val="26"/>
        </w:rPr>
        <w:t>服務</w:t>
      </w:r>
      <w:r w:rsidRPr="00FA4824">
        <w:rPr>
          <w:rFonts w:ascii="Times New Roman" w:eastAsia="標楷體" w:hAnsi="標楷體" w:hint="eastAsia"/>
          <w:color w:val="0D0D0D"/>
          <w:sz w:val="26"/>
          <w:szCs w:val="26"/>
          <w:u w:val="single"/>
        </w:rPr>
        <w:t>、交易或支付管道</w:t>
      </w:r>
      <w:r w:rsidRPr="009627D5">
        <w:rPr>
          <w:rFonts w:ascii="Times New Roman" w:eastAsia="標楷體" w:hAnsi="標楷體" w:hint="eastAsia"/>
          <w:color w:val="0D0D0D"/>
          <w:sz w:val="26"/>
          <w:szCs w:val="26"/>
        </w:rPr>
        <w:t>之風險因素舉例如下：</w:t>
      </w:r>
    </w:p>
    <w:p w:rsidR="0053567F" w:rsidRPr="009627D5" w:rsidRDefault="0053567F" w:rsidP="0053567F">
      <w:pPr>
        <w:pStyle w:val="a3"/>
        <w:numPr>
          <w:ilvl w:val="0"/>
          <w:numId w:val="30"/>
        </w:numPr>
        <w:tabs>
          <w:tab w:val="clear" w:pos="1731"/>
          <w:tab w:val="num" w:pos="2002"/>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與現金之關聯程度</w:t>
      </w:r>
      <w:r w:rsidRPr="009627D5">
        <w:rPr>
          <w:rFonts w:ascii="Times New Roman" w:eastAsia="標楷體" w:hAnsi="標楷體"/>
          <w:color w:val="0D0D0D"/>
          <w:sz w:val="26"/>
          <w:szCs w:val="26"/>
        </w:rPr>
        <w:t>。</w:t>
      </w:r>
    </w:p>
    <w:p w:rsidR="0053567F" w:rsidRDefault="0053567F" w:rsidP="0053567F">
      <w:pPr>
        <w:pStyle w:val="a3"/>
        <w:numPr>
          <w:ilvl w:val="0"/>
          <w:numId w:val="30"/>
        </w:numPr>
        <w:tabs>
          <w:tab w:val="clear" w:pos="1731"/>
          <w:tab w:val="num" w:pos="2002"/>
        </w:tabs>
        <w:kinsoku w:val="0"/>
        <w:snapToGrid w:val="0"/>
        <w:ind w:left="1046" w:hanging="708"/>
        <w:rPr>
          <w:rFonts w:ascii="Times New Roman" w:eastAsia="標楷體" w:hAnsi="標楷體"/>
          <w:color w:val="0D0D0D"/>
          <w:sz w:val="26"/>
          <w:szCs w:val="26"/>
        </w:rPr>
      </w:pPr>
      <w:r w:rsidRPr="009627D5">
        <w:rPr>
          <w:rFonts w:ascii="Times New Roman" w:eastAsia="標楷體" w:hAnsi="標楷體" w:hint="eastAsia"/>
          <w:color w:val="0D0D0D"/>
          <w:sz w:val="26"/>
          <w:szCs w:val="26"/>
        </w:rPr>
        <w:t>是否為面對面業務往來關係或交易</w:t>
      </w:r>
      <w:r w:rsidRPr="009627D5">
        <w:rPr>
          <w:rFonts w:ascii="Times New Roman" w:eastAsia="標楷體" w:hAnsi="標楷體"/>
          <w:color w:val="0D0D0D"/>
          <w:sz w:val="26"/>
          <w:szCs w:val="26"/>
        </w:rPr>
        <w:t>。</w:t>
      </w:r>
    </w:p>
    <w:p w:rsidR="0053567F" w:rsidRDefault="0053567F" w:rsidP="0053567F">
      <w:pPr>
        <w:pStyle w:val="a3"/>
        <w:numPr>
          <w:ilvl w:val="0"/>
          <w:numId w:val="30"/>
        </w:numPr>
        <w:tabs>
          <w:tab w:val="clear" w:pos="1731"/>
          <w:tab w:val="num" w:pos="2002"/>
        </w:tabs>
        <w:kinsoku w:val="0"/>
        <w:snapToGrid w:val="0"/>
        <w:ind w:left="1046" w:hanging="708"/>
        <w:rPr>
          <w:rFonts w:ascii="Times New Roman" w:eastAsia="標楷體" w:hAnsi="標楷體"/>
          <w:color w:val="0D0D0D"/>
          <w:sz w:val="26"/>
          <w:szCs w:val="26"/>
        </w:rPr>
      </w:pPr>
      <w:r w:rsidRPr="00FA4824">
        <w:rPr>
          <w:rFonts w:ascii="Times New Roman" w:eastAsia="標楷體" w:hAnsi="標楷體" w:hint="eastAsia"/>
          <w:color w:val="0D0D0D"/>
          <w:sz w:val="26"/>
          <w:szCs w:val="26"/>
        </w:rPr>
        <w:t>是否為高金額之金錢或價值移轉業務</w:t>
      </w:r>
      <w:r w:rsidRPr="00FA4824">
        <w:rPr>
          <w:rFonts w:ascii="Times New Roman" w:eastAsia="標楷體" w:hAnsi="標楷體"/>
          <w:color w:val="0D0D0D"/>
          <w:sz w:val="26"/>
          <w:szCs w:val="26"/>
        </w:rPr>
        <w:t>。</w:t>
      </w:r>
    </w:p>
    <w:p w:rsidR="0053567F" w:rsidRDefault="0053567F" w:rsidP="0053567F">
      <w:pPr>
        <w:pStyle w:val="a3"/>
        <w:numPr>
          <w:ilvl w:val="0"/>
          <w:numId w:val="30"/>
        </w:numPr>
        <w:tabs>
          <w:tab w:val="clear" w:pos="1731"/>
          <w:tab w:val="num" w:pos="2002"/>
        </w:tabs>
        <w:kinsoku w:val="0"/>
        <w:snapToGrid w:val="0"/>
        <w:ind w:left="1046" w:hanging="708"/>
        <w:rPr>
          <w:rFonts w:ascii="Times New Roman" w:eastAsia="標楷體" w:hAnsi="標楷體"/>
          <w:color w:val="0D0D0D"/>
          <w:sz w:val="26"/>
          <w:szCs w:val="26"/>
          <w:u w:val="single"/>
        </w:rPr>
      </w:pPr>
      <w:r w:rsidRPr="000250B0">
        <w:rPr>
          <w:rFonts w:ascii="Times New Roman" w:eastAsia="標楷體" w:hAnsi="標楷體" w:hint="eastAsia"/>
          <w:color w:val="0D0D0D"/>
          <w:sz w:val="26"/>
          <w:szCs w:val="26"/>
          <w:u w:val="single"/>
        </w:rPr>
        <w:t>匿名交易。</w:t>
      </w:r>
    </w:p>
    <w:p w:rsidR="0053567F" w:rsidRPr="0053567F" w:rsidRDefault="0053567F" w:rsidP="0053567F">
      <w:pPr>
        <w:pStyle w:val="a3"/>
        <w:numPr>
          <w:ilvl w:val="0"/>
          <w:numId w:val="30"/>
        </w:numPr>
        <w:tabs>
          <w:tab w:val="clear" w:pos="1731"/>
          <w:tab w:val="num" w:pos="2002"/>
        </w:tabs>
        <w:kinsoku w:val="0"/>
        <w:snapToGrid w:val="0"/>
        <w:ind w:left="1046" w:hanging="708"/>
        <w:rPr>
          <w:rFonts w:ascii="Times New Roman" w:eastAsia="標楷體" w:hAnsi="標楷體"/>
          <w:color w:val="0D0D0D"/>
          <w:sz w:val="26"/>
          <w:szCs w:val="26"/>
          <w:u w:val="single"/>
        </w:rPr>
      </w:pPr>
      <w:r w:rsidRPr="0053567F">
        <w:rPr>
          <w:rFonts w:ascii="Times New Roman" w:eastAsia="標楷體" w:hAnsi="標楷體" w:hint="eastAsia"/>
          <w:color w:val="0D0D0D"/>
          <w:sz w:val="26"/>
          <w:szCs w:val="26"/>
          <w:u w:val="single"/>
        </w:rPr>
        <w:t>收到款項來自於未知或無關係之第三者。</w:t>
      </w:r>
      <w:r>
        <w:rPr>
          <w:rFonts w:ascii="Times New Roman" w:eastAsia="標楷體" w:hAnsi="標楷體"/>
          <w:color w:val="0D0D0D"/>
          <w:sz w:val="26"/>
          <w:szCs w:val="26"/>
          <w:u w:val="single"/>
        </w:rPr>
        <w:br/>
      </w:r>
    </w:p>
    <w:p w:rsidR="0053567F" w:rsidRPr="009627D5" w:rsidRDefault="0053567F" w:rsidP="0053567F">
      <w:pPr>
        <w:pStyle w:val="a3"/>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四、證券商應建立不同之客戶風險等級與分級規則。</w:t>
      </w:r>
    </w:p>
    <w:p w:rsidR="0053567F" w:rsidRDefault="0053567F" w:rsidP="0053567F">
      <w:pPr>
        <w:pStyle w:val="a3"/>
        <w:kinsoku w:val="0"/>
        <w:snapToGrid w:val="0"/>
        <w:ind w:leftChars="200" w:left="480"/>
        <w:rPr>
          <w:rFonts w:ascii="Times New Roman" w:eastAsia="標楷體" w:hAnsi="標楷體"/>
          <w:color w:val="0D0D0D"/>
          <w:sz w:val="26"/>
          <w:szCs w:val="26"/>
        </w:rPr>
      </w:pPr>
      <w:r w:rsidRPr="009627D5">
        <w:rPr>
          <w:rFonts w:ascii="Times New Roman" w:eastAsia="標楷體" w:hAnsi="標楷體" w:hint="eastAsia"/>
          <w:color w:val="0D0D0D"/>
          <w:sz w:val="26"/>
          <w:szCs w:val="26"/>
        </w:rPr>
        <w:t>就客戶之風險等級，至少應有兩級之風險級數，即「高風險」與「一般風險」兩種風險等級，作為加強客戶審查措施及持續監控機制執行強度之依據。若僅採行兩級風險級數之證券商，因「一般風險」等級仍高於本指引第五點與第七點所指之「低風險」等級，故不得對「一般風險」等級之客戶採取簡化措施。</w:t>
      </w:r>
      <w:r>
        <w:rPr>
          <w:rFonts w:ascii="Times New Roman" w:eastAsia="標楷體" w:hAnsi="標楷體"/>
          <w:color w:val="0D0D0D"/>
          <w:sz w:val="26"/>
          <w:szCs w:val="26"/>
        </w:rPr>
        <w:br/>
      </w:r>
      <w:r w:rsidRPr="009627D5">
        <w:rPr>
          <w:rFonts w:eastAsia="標楷體" w:hAnsi="標楷體" w:hint="eastAsia"/>
          <w:color w:val="0D0D0D"/>
          <w:sz w:val="26"/>
          <w:szCs w:val="26"/>
        </w:rPr>
        <w:t>證券商不得向客戶或與執行防制洗錢</w:t>
      </w:r>
      <w:r>
        <w:rPr>
          <w:rFonts w:eastAsia="標楷體" w:hAnsi="標楷體" w:hint="eastAsia"/>
          <w:color w:val="0D0D0D"/>
          <w:sz w:val="26"/>
          <w:szCs w:val="26"/>
        </w:rPr>
        <w:t>或</w:t>
      </w:r>
      <w:r w:rsidRPr="00822455">
        <w:rPr>
          <w:rFonts w:eastAsia="標楷體" w:hAnsi="標楷體" w:hint="eastAsia"/>
          <w:color w:val="0D0D0D"/>
          <w:sz w:val="26"/>
          <w:szCs w:val="26"/>
          <w:u w:val="single"/>
        </w:rPr>
        <w:t>打擊資恐</w:t>
      </w:r>
      <w:r w:rsidRPr="009627D5">
        <w:rPr>
          <w:rFonts w:eastAsia="標楷體" w:hAnsi="標楷體" w:hint="eastAsia"/>
          <w:color w:val="0D0D0D"/>
          <w:sz w:val="26"/>
          <w:szCs w:val="26"/>
        </w:rPr>
        <w:t>義務無關者，透露客戶之風險等級資訊。</w:t>
      </w:r>
      <w:r>
        <w:rPr>
          <w:rFonts w:eastAsia="標楷體" w:hAnsi="標楷體"/>
          <w:color w:val="0D0D0D"/>
          <w:sz w:val="26"/>
          <w:szCs w:val="26"/>
        </w:rPr>
        <w:br/>
      </w:r>
    </w:p>
    <w:p w:rsidR="0053567F" w:rsidRPr="005A474E" w:rsidRDefault="0053567F" w:rsidP="0053567F">
      <w:pPr>
        <w:pStyle w:val="a3"/>
        <w:kinsoku w:val="0"/>
        <w:snapToGrid w:val="0"/>
        <w:ind w:left="520" w:hangingChars="200" w:hanging="520"/>
        <w:rPr>
          <w:rFonts w:eastAsia="標楷體" w:hAnsi="標楷體"/>
          <w:color w:val="0D0D0D"/>
          <w:sz w:val="26"/>
          <w:szCs w:val="26"/>
          <w:u w:val="single"/>
        </w:rPr>
      </w:pPr>
      <w:r w:rsidRPr="000F35FF">
        <w:rPr>
          <w:rFonts w:ascii="Times New Roman" w:eastAsia="標楷體" w:hAnsi="標楷體" w:hint="eastAsia"/>
          <w:color w:val="0D0D0D"/>
          <w:sz w:val="26"/>
          <w:szCs w:val="26"/>
        </w:rPr>
        <w:t>五、</w:t>
      </w:r>
      <w:r w:rsidRPr="005A474E">
        <w:rPr>
          <w:rFonts w:eastAsia="標楷體" w:hAnsi="標楷體" w:hint="eastAsia"/>
          <w:color w:val="0D0D0D"/>
          <w:sz w:val="26"/>
          <w:szCs w:val="26"/>
        </w:rPr>
        <w:t>除</w:t>
      </w:r>
      <w:r w:rsidRPr="005A474E">
        <w:rPr>
          <w:rFonts w:eastAsia="標楷體" w:hAnsi="標楷體"/>
          <w:color w:val="0D0D0D"/>
          <w:sz w:val="26"/>
          <w:szCs w:val="26"/>
        </w:rPr>
        <w:t>外國</w:t>
      </w:r>
      <w:r w:rsidRPr="005A474E">
        <w:rPr>
          <w:rFonts w:eastAsia="標楷體" w:hAnsi="標楷體" w:hint="eastAsia"/>
          <w:color w:val="0D0D0D"/>
          <w:sz w:val="26"/>
          <w:szCs w:val="26"/>
          <w:u w:val="single"/>
        </w:rPr>
        <w:t>政府之</w:t>
      </w:r>
      <w:r w:rsidRPr="005A474E">
        <w:rPr>
          <w:rFonts w:eastAsia="標楷體" w:hAnsi="標楷體" w:hint="eastAsia"/>
          <w:color w:val="0D0D0D"/>
          <w:sz w:val="26"/>
          <w:szCs w:val="26"/>
        </w:rPr>
        <w:t>重要政治</w:t>
      </w:r>
      <w:r w:rsidRPr="005A474E">
        <w:rPr>
          <w:rFonts w:eastAsia="標楷體" w:hAnsi="標楷體" w:hint="eastAsia"/>
          <w:color w:val="0D0D0D"/>
          <w:sz w:val="26"/>
          <w:szCs w:val="26"/>
          <w:u w:val="single"/>
        </w:rPr>
        <w:t>性</w:t>
      </w:r>
      <w:r w:rsidRPr="005A474E">
        <w:rPr>
          <w:rFonts w:eastAsia="標楷體" w:hAnsi="標楷體" w:hint="eastAsia"/>
          <w:color w:val="0D0D0D"/>
          <w:sz w:val="26"/>
          <w:szCs w:val="26"/>
        </w:rPr>
        <w:t>職務人士與受經濟制裁、外國政府或國際洗錢防制組織認定或追查之恐怖分子或團體</w:t>
      </w:r>
      <w:r w:rsidRPr="005A474E">
        <w:rPr>
          <w:rFonts w:eastAsia="標楷體" w:hAnsi="標楷體" w:hint="eastAsia"/>
          <w:color w:val="0D0D0D"/>
          <w:sz w:val="26"/>
          <w:szCs w:val="26"/>
          <w:u w:val="single"/>
        </w:rPr>
        <w:t>，及依資恐防制法指定指定制裁之個人、法人或團體，應</w:t>
      </w:r>
      <w:r>
        <w:rPr>
          <w:rFonts w:eastAsia="標楷體" w:hAnsi="標楷體" w:hint="eastAsia"/>
          <w:color w:val="0D0D0D"/>
          <w:sz w:val="26"/>
          <w:szCs w:val="26"/>
        </w:rPr>
        <w:t>直接視為高風險客戶外，證券商</w:t>
      </w:r>
      <w:r w:rsidRPr="005A474E">
        <w:rPr>
          <w:rFonts w:eastAsia="標楷體" w:hAnsi="標楷體" w:hint="eastAsia"/>
          <w:color w:val="0D0D0D"/>
          <w:sz w:val="26"/>
          <w:szCs w:val="26"/>
        </w:rPr>
        <w:t>得依自身之業務型態及考量相關風險因素</w:t>
      </w:r>
      <w:r w:rsidRPr="005A474E">
        <w:rPr>
          <w:rFonts w:eastAsia="標楷體" w:hAnsi="標楷體"/>
          <w:color w:val="0D0D0D"/>
          <w:sz w:val="26"/>
          <w:szCs w:val="26"/>
        </w:rPr>
        <w:t>，</w:t>
      </w:r>
      <w:r w:rsidRPr="005A474E">
        <w:rPr>
          <w:rFonts w:eastAsia="標楷體" w:hAnsi="標楷體" w:hint="eastAsia"/>
          <w:color w:val="0D0D0D"/>
          <w:sz w:val="26"/>
          <w:szCs w:val="26"/>
        </w:rPr>
        <w:t>訂定應直接視為高風險客戶之類型。</w:t>
      </w:r>
    </w:p>
    <w:p w:rsidR="0053567F" w:rsidRDefault="0053567F" w:rsidP="0053567F">
      <w:pPr>
        <w:pStyle w:val="a3"/>
        <w:kinsoku w:val="0"/>
        <w:snapToGrid w:val="0"/>
        <w:ind w:leftChars="200" w:left="480"/>
        <w:rPr>
          <w:rFonts w:ascii="Times New Roman" w:eastAsia="標楷體" w:hAnsi="標楷體"/>
          <w:color w:val="0D0D0D"/>
          <w:sz w:val="26"/>
          <w:szCs w:val="26"/>
        </w:rPr>
      </w:pPr>
      <w:r w:rsidRPr="000F35FF">
        <w:rPr>
          <w:rFonts w:ascii="Times New Roman" w:eastAsia="標楷體" w:hAnsi="標楷體" w:hint="eastAsia"/>
          <w:color w:val="0D0D0D"/>
          <w:sz w:val="26"/>
          <w:szCs w:val="26"/>
        </w:rPr>
        <w:t>證券商得依據完整之書面</w:t>
      </w:r>
      <w:r w:rsidRPr="000F35FF">
        <w:rPr>
          <w:rFonts w:ascii="Times New Roman" w:eastAsia="標楷體" w:hAnsi="標楷體"/>
          <w:color w:val="0D0D0D"/>
          <w:sz w:val="26"/>
          <w:szCs w:val="26"/>
        </w:rPr>
        <w:t>風險分析</w:t>
      </w:r>
      <w:r w:rsidRPr="000F35FF">
        <w:rPr>
          <w:rFonts w:ascii="Times New Roman" w:eastAsia="標楷體" w:hAnsi="標楷體" w:hint="eastAsia"/>
          <w:color w:val="0D0D0D"/>
          <w:sz w:val="26"/>
          <w:szCs w:val="26"/>
        </w:rPr>
        <w:t>結果，自行定義可直接視為低風險客戶之類型，而書面</w:t>
      </w:r>
      <w:r w:rsidRPr="000F35FF">
        <w:rPr>
          <w:rFonts w:ascii="Times New Roman" w:eastAsia="標楷體" w:hAnsi="標楷體"/>
          <w:color w:val="0D0D0D"/>
          <w:sz w:val="26"/>
          <w:szCs w:val="26"/>
        </w:rPr>
        <w:t>風險分析</w:t>
      </w:r>
      <w:r w:rsidRPr="000F35FF">
        <w:rPr>
          <w:rFonts w:ascii="Times New Roman" w:eastAsia="標楷體" w:hAnsi="標楷體" w:hint="eastAsia"/>
          <w:color w:val="0D0D0D"/>
          <w:sz w:val="26"/>
          <w:szCs w:val="26"/>
        </w:rPr>
        <w:t>結果須能充分說明此類型客戶與較低之風險</w:t>
      </w:r>
      <w:r w:rsidRPr="000F35FF">
        <w:rPr>
          <w:rFonts w:ascii="Times New Roman" w:eastAsia="標楷體" w:hAnsi="標楷體" w:hint="eastAsia"/>
          <w:color w:val="0D0D0D"/>
          <w:sz w:val="26"/>
          <w:szCs w:val="26"/>
        </w:rPr>
        <w:lastRenderedPageBreak/>
        <w:t>因素相稱。</w:t>
      </w:r>
    </w:p>
    <w:p w:rsidR="0053567F" w:rsidRDefault="0053567F" w:rsidP="0053567F">
      <w:pPr>
        <w:pStyle w:val="a3"/>
        <w:kinsoku w:val="0"/>
        <w:snapToGrid w:val="0"/>
        <w:ind w:leftChars="200" w:left="480"/>
        <w:rPr>
          <w:rFonts w:ascii="Times New Roman" w:eastAsia="標楷體" w:hAnsi="標楷體"/>
          <w:color w:val="0D0D0D"/>
          <w:sz w:val="26"/>
          <w:szCs w:val="26"/>
        </w:rPr>
      </w:pPr>
    </w:p>
    <w:p w:rsidR="0053567F" w:rsidRPr="009627D5" w:rsidRDefault="0053567F" w:rsidP="0053567F">
      <w:pPr>
        <w:pStyle w:val="a3"/>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六、對於</w:t>
      </w:r>
      <w:r w:rsidRPr="009627D5">
        <w:rPr>
          <w:rFonts w:ascii="Times New Roman" w:eastAsia="標楷體" w:hAnsi="標楷體"/>
          <w:color w:val="0D0D0D"/>
          <w:sz w:val="26"/>
          <w:szCs w:val="26"/>
        </w:rPr>
        <w:t>新建立</w:t>
      </w:r>
      <w:r w:rsidRPr="009627D5">
        <w:rPr>
          <w:rFonts w:ascii="Times New Roman" w:eastAsia="標楷體" w:hAnsi="標楷體" w:hint="eastAsia"/>
          <w:color w:val="0D0D0D"/>
          <w:sz w:val="26"/>
          <w:szCs w:val="26"/>
        </w:rPr>
        <w:t>業務關係</w:t>
      </w:r>
      <w:r w:rsidRPr="009627D5">
        <w:rPr>
          <w:rFonts w:ascii="Times New Roman" w:eastAsia="標楷體" w:hAnsi="標楷體"/>
          <w:color w:val="0D0D0D"/>
          <w:sz w:val="26"/>
          <w:szCs w:val="26"/>
        </w:rPr>
        <w:t>的客戶，</w:t>
      </w:r>
      <w:r w:rsidRPr="009627D5">
        <w:rPr>
          <w:rFonts w:ascii="Times New Roman" w:eastAsia="標楷體" w:hAnsi="標楷體" w:hint="eastAsia"/>
          <w:color w:val="0D0D0D"/>
          <w:sz w:val="26"/>
          <w:szCs w:val="26"/>
        </w:rPr>
        <w:t>證券商應</w:t>
      </w:r>
      <w:r w:rsidRPr="009627D5">
        <w:rPr>
          <w:rFonts w:ascii="Times New Roman" w:eastAsia="標楷體" w:hAnsi="標楷體"/>
          <w:color w:val="0D0D0D"/>
          <w:sz w:val="26"/>
          <w:szCs w:val="26"/>
        </w:rPr>
        <w:t>在</w:t>
      </w:r>
      <w:r w:rsidRPr="009627D5">
        <w:rPr>
          <w:rFonts w:ascii="Times New Roman" w:eastAsia="標楷體" w:hAnsi="標楷體" w:hint="eastAsia"/>
          <w:color w:val="0D0D0D"/>
          <w:sz w:val="26"/>
          <w:szCs w:val="26"/>
        </w:rPr>
        <w:t>建立業務關係時，確定</w:t>
      </w:r>
      <w:r w:rsidRPr="009627D5">
        <w:rPr>
          <w:rFonts w:ascii="Times New Roman" w:eastAsia="標楷體" w:hAnsi="標楷體"/>
          <w:color w:val="0D0D0D"/>
          <w:sz w:val="26"/>
          <w:szCs w:val="26"/>
        </w:rPr>
        <w:t>其風險等級。</w:t>
      </w:r>
    </w:p>
    <w:p w:rsidR="0053567F" w:rsidRDefault="0053567F" w:rsidP="0053567F">
      <w:pPr>
        <w:pStyle w:val="a3"/>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對於已確定風險等級之既有客戶，證券商應依據其風險評估政策及程序，重新進行客戶風險評估。</w:t>
      </w:r>
    </w:p>
    <w:p w:rsidR="0053567F" w:rsidRPr="00A31D66" w:rsidRDefault="0053567F" w:rsidP="0053567F">
      <w:pPr>
        <w:pStyle w:val="a3"/>
        <w:kinsoku w:val="0"/>
        <w:snapToGrid w:val="0"/>
        <w:ind w:leftChars="200" w:left="480"/>
        <w:rPr>
          <w:rFonts w:ascii="Times New Roman" w:eastAsia="標楷體" w:hAnsi="Times New Roman"/>
          <w:color w:val="0D0D0D"/>
          <w:sz w:val="26"/>
          <w:szCs w:val="26"/>
          <w:u w:val="single"/>
        </w:rPr>
      </w:pPr>
      <w:r w:rsidRPr="009627D5">
        <w:rPr>
          <w:rFonts w:ascii="Times New Roman" w:eastAsia="標楷體" w:hAnsi="標楷體" w:hint="eastAsia"/>
          <w:color w:val="0D0D0D"/>
          <w:sz w:val="26"/>
          <w:szCs w:val="26"/>
        </w:rPr>
        <w:t>雖然證券商在建立業務關係時已對客戶進行風險評估，</w:t>
      </w:r>
      <w:r w:rsidRPr="00B767DA">
        <w:rPr>
          <w:rFonts w:ascii="Times New Roman" w:eastAsia="標楷體" w:hAnsi="標楷體" w:hint="eastAsia"/>
          <w:color w:val="0D0D0D"/>
          <w:sz w:val="26"/>
          <w:szCs w:val="26"/>
        </w:rPr>
        <w:t>但就某些客戶而言，必須待客戶透過帳戶進行交易，其全面風險狀況才會變得明確，</w:t>
      </w:r>
      <w:r w:rsidRPr="00B767DA">
        <w:rPr>
          <w:rFonts w:ascii="標楷體" w:eastAsia="標楷體" w:hAnsi="標楷體" w:hint="eastAsia"/>
          <w:color w:val="0D0D0D"/>
          <w:sz w:val="26"/>
          <w:szCs w:val="26"/>
          <w:u w:val="single"/>
        </w:rPr>
        <w:t>爰此，證券商</w:t>
      </w:r>
      <w:r w:rsidRPr="00B767DA">
        <w:rPr>
          <w:rFonts w:ascii="標楷體" w:eastAsia="標楷體" w:hAnsi="標楷體" w:hint="eastAsia"/>
          <w:sz w:val="26"/>
          <w:szCs w:val="26"/>
        </w:rPr>
        <w:t>應</w:t>
      </w:r>
      <w:r w:rsidRPr="00B767DA">
        <w:rPr>
          <w:rFonts w:ascii="標楷體" w:eastAsia="標楷體" w:hAnsi="標楷體" w:hint="eastAsia"/>
          <w:sz w:val="26"/>
          <w:szCs w:val="26"/>
          <w:u w:val="single"/>
        </w:rPr>
        <w:t>依重要性及風險程度，對現有客戶身分資料進行審查，並於考量前次執行審查之時點及所獲得資料之適足性後，在適當時機對已存在之往來關係進行審查及</w:t>
      </w:r>
      <w:r w:rsidRPr="00B767DA">
        <w:rPr>
          <w:rFonts w:ascii="標楷體" w:eastAsia="標楷體" w:hAnsi="標楷體" w:hint="eastAsia"/>
          <w:sz w:val="26"/>
          <w:szCs w:val="26"/>
        </w:rPr>
        <w:t>適時調整風險等級。</w:t>
      </w:r>
      <w:r w:rsidRPr="00B767DA">
        <w:rPr>
          <w:rFonts w:ascii="標楷體" w:eastAsia="標楷體" w:hAnsi="標楷體" w:hint="eastAsia"/>
          <w:sz w:val="26"/>
          <w:szCs w:val="26"/>
          <w:u w:val="single"/>
        </w:rPr>
        <w:t>上開適當時機至少應包</w:t>
      </w:r>
      <w:r w:rsidRPr="00A31D66">
        <w:rPr>
          <w:rFonts w:ascii="標楷體" w:eastAsia="標楷體" w:hAnsi="標楷體" w:hint="eastAsia"/>
          <w:sz w:val="26"/>
          <w:szCs w:val="26"/>
          <w:u w:val="single"/>
        </w:rPr>
        <w:t>括：</w:t>
      </w:r>
    </w:p>
    <w:p w:rsidR="0053567F" w:rsidRPr="00A31D66" w:rsidRDefault="0053567F" w:rsidP="0053567F">
      <w:pPr>
        <w:pStyle w:val="a3"/>
        <w:kinsoku w:val="0"/>
        <w:snapToGrid w:val="0"/>
        <w:ind w:leftChars="100" w:left="760" w:hangingChars="200" w:hanging="520"/>
        <w:rPr>
          <w:rFonts w:ascii="Times New Roman" w:eastAsia="標楷體" w:hAnsi="標楷體"/>
          <w:color w:val="0D0D0D"/>
          <w:sz w:val="26"/>
          <w:szCs w:val="26"/>
        </w:rPr>
      </w:pPr>
      <w:r w:rsidRPr="00A31D66">
        <w:rPr>
          <w:rFonts w:ascii="標楷體" w:eastAsia="標楷體" w:hAnsi="標楷體" w:hint="eastAsia"/>
          <w:sz w:val="26"/>
          <w:szCs w:val="26"/>
        </w:rPr>
        <w:t>(一)</w:t>
      </w:r>
      <w:r w:rsidRPr="00A31D66">
        <w:rPr>
          <w:rFonts w:ascii="Times New Roman" w:eastAsia="標楷體" w:hAnsi="標楷體" w:hint="eastAsia"/>
          <w:color w:val="0D0D0D"/>
          <w:sz w:val="26"/>
          <w:szCs w:val="26"/>
        </w:rPr>
        <w:t>客戶加開帳戶或新增業務往來關係時。</w:t>
      </w:r>
    </w:p>
    <w:p w:rsidR="0053567F" w:rsidRDefault="0053567F" w:rsidP="0053567F">
      <w:pPr>
        <w:pStyle w:val="a3"/>
        <w:kinsoku w:val="0"/>
        <w:snapToGrid w:val="0"/>
        <w:ind w:leftChars="100" w:left="760" w:hangingChars="200" w:hanging="520"/>
        <w:rPr>
          <w:rFonts w:ascii="標楷體" w:eastAsia="標楷體" w:hAnsi="標楷體"/>
          <w:color w:val="0D0D0D"/>
          <w:sz w:val="26"/>
          <w:szCs w:val="26"/>
        </w:rPr>
      </w:pPr>
      <w:r w:rsidRPr="00A31D66">
        <w:rPr>
          <w:rFonts w:ascii="標楷體" w:eastAsia="標楷體" w:hAnsi="標楷體" w:hint="eastAsia"/>
          <w:sz w:val="26"/>
          <w:szCs w:val="26"/>
        </w:rPr>
        <w:t>(二)</w:t>
      </w:r>
      <w:r w:rsidRPr="00A31D66">
        <w:rPr>
          <w:rFonts w:ascii="Times New Roman" w:eastAsia="標楷體" w:hAnsi="標楷體" w:hint="eastAsia"/>
          <w:color w:val="0D0D0D"/>
          <w:sz w:val="26"/>
          <w:szCs w:val="26"/>
        </w:rPr>
        <w:t>依據客戶風險</w:t>
      </w:r>
      <w:r w:rsidRPr="00A31D66">
        <w:rPr>
          <w:rFonts w:ascii="標楷體" w:eastAsia="標楷體" w:hAnsi="標楷體" w:hint="eastAsia"/>
          <w:color w:val="0D0D0D"/>
          <w:sz w:val="26"/>
          <w:szCs w:val="26"/>
          <w:u w:val="single"/>
        </w:rPr>
        <w:t>之重要性及</w:t>
      </w:r>
      <w:r w:rsidRPr="00A31D66">
        <w:rPr>
          <w:rFonts w:ascii="標楷體" w:eastAsia="標楷體" w:hAnsi="標楷體" w:hint="eastAsia"/>
          <w:color w:val="0D0D0D"/>
          <w:sz w:val="26"/>
          <w:szCs w:val="26"/>
        </w:rPr>
        <w:t>風險</w:t>
      </w:r>
      <w:r w:rsidRPr="00A31D66">
        <w:rPr>
          <w:rFonts w:ascii="標楷體" w:eastAsia="標楷體" w:hAnsi="標楷體" w:hint="eastAsia"/>
          <w:color w:val="0D0D0D"/>
          <w:sz w:val="26"/>
          <w:szCs w:val="26"/>
          <w:u w:val="single"/>
        </w:rPr>
        <w:t>程度所定之</w:t>
      </w:r>
      <w:r w:rsidRPr="00A31D66">
        <w:rPr>
          <w:rFonts w:ascii="標楷體" w:eastAsia="標楷體" w:hAnsi="標楷體" w:hint="eastAsia"/>
          <w:color w:val="0D0D0D"/>
          <w:sz w:val="26"/>
          <w:szCs w:val="26"/>
        </w:rPr>
        <w:t>定期審查</w:t>
      </w:r>
      <w:r w:rsidRPr="00A31D66">
        <w:rPr>
          <w:rFonts w:ascii="標楷體" w:eastAsia="標楷體" w:hAnsi="標楷體" w:hint="eastAsia"/>
          <w:color w:val="0D0D0D"/>
          <w:sz w:val="26"/>
          <w:szCs w:val="26"/>
          <w:u w:val="single"/>
        </w:rPr>
        <w:t>時點</w:t>
      </w:r>
      <w:r w:rsidRPr="00A31D66">
        <w:rPr>
          <w:rFonts w:ascii="標楷體" w:eastAsia="標楷體" w:hAnsi="標楷體" w:hint="eastAsia"/>
          <w:color w:val="0D0D0D"/>
          <w:sz w:val="26"/>
          <w:szCs w:val="26"/>
        </w:rPr>
        <w:t>。</w:t>
      </w:r>
    </w:p>
    <w:p w:rsidR="0053567F" w:rsidRDefault="0053567F" w:rsidP="0053567F">
      <w:pPr>
        <w:pStyle w:val="a3"/>
        <w:kinsoku w:val="0"/>
        <w:snapToGrid w:val="0"/>
        <w:ind w:leftChars="100" w:left="760" w:hangingChars="200" w:hanging="520"/>
        <w:rPr>
          <w:rFonts w:ascii="標楷體" w:eastAsia="標楷體" w:hAnsi="標楷體"/>
          <w:color w:val="0D0D0D"/>
          <w:sz w:val="26"/>
          <w:szCs w:val="26"/>
        </w:rPr>
      </w:pPr>
      <w:r w:rsidRPr="00A31D66">
        <w:rPr>
          <w:rFonts w:ascii="標楷體" w:eastAsia="標楷體" w:hAnsi="標楷體" w:hint="eastAsia"/>
          <w:sz w:val="26"/>
          <w:szCs w:val="26"/>
        </w:rPr>
        <w:t>(三)</w:t>
      </w:r>
      <w:r w:rsidRPr="00A31D66">
        <w:rPr>
          <w:rFonts w:ascii="標楷體" w:eastAsia="標楷體" w:hAnsi="標楷體" w:hint="eastAsia"/>
          <w:color w:val="0D0D0D"/>
          <w:sz w:val="26"/>
          <w:szCs w:val="26"/>
          <w:u w:val="single"/>
        </w:rPr>
        <w:t>得知客戶身分與背景資訊有重大變動時。</w:t>
      </w:r>
    </w:p>
    <w:p w:rsidR="0053567F" w:rsidRPr="00A31D66" w:rsidRDefault="0053567F" w:rsidP="0053567F">
      <w:pPr>
        <w:pStyle w:val="a3"/>
        <w:kinsoku w:val="0"/>
        <w:snapToGrid w:val="0"/>
        <w:ind w:leftChars="100" w:left="760" w:hangingChars="200" w:hanging="520"/>
        <w:rPr>
          <w:rFonts w:ascii="標楷體" w:eastAsia="標楷體" w:hAnsi="標楷體"/>
          <w:color w:val="0D0D0D"/>
          <w:sz w:val="26"/>
          <w:szCs w:val="26"/>
        </w:rPr>
      </w:pPr>
      <w:r w:rsidRPr="00A31D66">
        <w:rPr>
          <w:rFonts w:ascii="標楷體" w:eastAsia="標楷體" w:hAnsi="標楷體" w:hint="eastAsia"/>
          <w:sz w:val="26"/>
          <w:szCs w:val="26"/>
        </w:rPr>
        <w:t>(</w:t>
      </w:r>
      <w:r>
        <w:rPr>
          <w:rFonts w:ascii="標楷體" w:eastAsia="標楷體" w:hAnsi="標楷體" w:hint="eastAsia"/>
          <w:sz w:val="26"/>
          <w:szCs w:val="26"/>
        </w:rPr>
        <w:t>四</w:t>
      </w:r>
      <w:r w:rsidRPr="00A31D66">
        <w:rPr>
          <w:rFonts w:ascii="標楷體" w:eastAsia="標楷體" w:hAnsi="標楷體" w:hint="eastAsia"/>
          <w:sz w:val="26"/>
          <w:szCs w:val="26"/>
        </w:rPr>
        <w:t>)</w:t>
      </w:r>
      <w:r w:rsidRPr="00A31D66">
        <w:rPr>
          <w:rFonts w:ascii="Times New Roman" w:eastAsia="標楷體" w:hAnsi="標楷體" w:hint="eastAsia"/>
          <w:color w:val="0D0D0D"/>
          <w:sz w:val="26"/>
          <w:szCs w:val="26"/>
        </w:rPr>
        <w:t>經申報疑似洗錢</w:t>
      </w:r>
      <w:r w:rsidRPr="00A31D66">
        <w:rPr>
          <w:rFonts w:ascii="Times New Roman" w:eastAsia="標楷體" w:hAnsi="標楷體" w:hint="eastAsia"/>
          <w:color w:val="0D0D0D"/>
          <w:sz w:val="26"/>
          <w:szCs w:val="26"/>
          <w:u w:val="single"/>
        </w:rPr>
        <w:t>或資恐</w:t>
      </w:r>
      <w:r w:rsidRPr="00A31D66">
        <w:rPr>
          <w:rFonts w:ascii="Times New Roman" w:eastAsia="標楷體" w:hAnsi="標楷體" w:hint="eastAsia"/>
          <w:color w:val="0D0D0D"/>
          <w:sz w:val="26"/>
          <w:szCs w:val="26"/>
        </w:rPr>
        <w:t>交易等，</w:t>
      </w:r>
      <w:r w:rsidRPr="00A31D66">
        <w:rPr>
          <w:rFonts w:ascii="Times New Roman" w:eastAsia="標楷體" w:hAnsi="標楷體"/>
          <w:color w:val="0D0D0D"/>
          <w:sz w:val="26"/>
          <w:szCs w:val="26"/>
        </w:rPr>
        <w:t>可能導致</w:t>
      </w:r>
      <w:r w:rsidRPr="00A31D66">
        <w:rPr>
          <w:rFonts w:ascii="Times New Roman" w:eastAsia="標楷體" w:hAnsi="標楷體" w:hint="eastAsia"/>
          <w:color w:val="0D0D0D"/>
          <w:sz w:val="26"/>
          <w:szCs w:val="26"/>
        </w:rPr>
        <w:t>客戶</w:t>
      </w:r>
      <w:r w:rsidRPr="00A31D66">
        <w:rPr>
          <w:rFonts w:ascii="Times New Roman" w:eastAsia="標楷體" w:hAnsi="標楷體"/>
          <w:color w:val="0D0D0D"/>
          <w:sz w:val="26"/>
          <w:szCs w:val="26"/>
        </w:rPr>
        <w:t>風險狀況</w:t>
      </w:r>
      <w:r w:rsidRPr="00A31D66">
        <w:rPr>
          <w:rFonts w:ascii="Times New Roman" w:eastAsia="標楷體" w:hAnsi="標楷體" w:hint="eastAsia"/>
          <w:color w:val="0D0D0D"/>
          <w:sz w:val="26"/>
          <w:szCs w:val="26"/>
        </w:rPr>
        <w:t>發生實質</w:t>
      </w:r>
      <w:r w:rsidRPr="00A31D66">
        <w:rPr>
          <w:rFonts w:ascii="Times New Roman" w:eastAsia="標楷體" w:hAnsi="標楷體"/>
          <w:color w:val="0D0D0D"/>
          <w:sz w:val="26"/>
          <w:szCs w:val="26"/>
        </w:rPr>
        <w:t>性變化的事件</w:t>
      </w:r>
      <w:r w:rsidRPr="00A31D66">
        <w:rPr>
          <w:rFonts w:ascii="Times New Roman" w:eastAsia="標楷體" w:hAnsi="標楷體" w:hint="eastAsia"/>
          <w:color w:val="0D0D0D"/>
          <w:sz w:val="26"/>
          <w:szCs w:val="26"/>
        </w:rPr>
        <w:t>發</w:t>
      </w:r>
      <w:r w:rsidRPr="00A31D66">
        <w:rPr>
          <w:rFonts w:ascii="Times New Roman" w:eastAsia="標楷體" w:hAnsi="標楷體"/>
          <w:color w:val="0D0D0D"/>
          <w:sz w:val="26"/>
          <w:szCs w:val="26"/>
        </w:rPr>
        <w:t>生時</w:t>
      </w:r>
      <w:r w:rsidRPr="00A31D66">
        <w:rPr>
          <w:rFonts w:ascii="Times New Roman" w:eastAsia="標楷體" w:hAnsi="標楷體" w:hint="eastAsia"/>
          <w:color w:val="0D0D0D"/>
          <w:sz w:val="26"/>
          <w:szCs w:val="26"/>
        </w:rPr>
        <w:t>。</w:t>
      </w:r>
    </w:p>
    <w:p w:rsidR="00337CCB" w:rsidRPr="0053567F" w:rsidRDefault="0053567F" w:rsidP="0053567F">
      <w:pPr>
        <w:pStyle w:val="a3"/>
        <w:kinsoku w:val="0"/>
        <w:snapToGrid w:val="0"/>
        <w:ind w:leftChars="200" w:left="480"/>
        <w:rPr>
          <w:rFonts w:ascii="Times New Roman" w:eastAsia="標楷體" w:hAnsi="標楷體"/>
          <w:color w:val="0D0D0D"/>
          <w:sz w:val="26"/>
          <w:szCs w:val="26"/>
          <w:u w:val="single"/>
        </w:rPr>
      </w:pPr>
      <w:r w:rsidRPr="0053567F">
        <w:rPr>
          <w:rFonts w:ascii="Times New Roman" w:eastAsia="標楷體" w:hAnsi="標楷體" w:hint="eastAsia"/>
          <w:color w:val="0D0D0D"/>
          <w:sz w:val="26"/>
          <w:szCs w:val="26"/>
          <w:u w:val="single"/>
        </w:rPr>
        <w:t>證券商應定期檢視其辨識客戶及實質受益人身分所取得之資訊是否足夠，並確保該等資訊之更新，特別是高風險客戶，證券商應至少每年檢視一次。</w:t>
      </w:r>
      <w:r>
        <w:rPr>
          <w:rFonts w:ascii="Times New Roman" w:eastAsia="標楷體" w:hAnsi="標楷體"/>
          <w:color w:val="0D0D0D"/>
          <w:sz w:val="26"/>
          <w:szCs w:val="26"/>
          <w:u w:val="single"/>
        </w:rPr>
        <w:br/>
      </w:r>
    </w:p>
    <w:p w:rsidR="0053567F" w:rsidRPr="009627D5" w:rsidRDefault="0053567F" w:rsidP="0053567F">
      <w:pPr>
        <w:pStyle w:val="a3"/>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七、證券商應依據已識別之風險，建立相對應的管控措施，以降低或預防該洗錢風險；證券商應依據客戶的風險程度，決</w:t>
      </w:r>
      <w:r w:rsidRPr="00371F1B">
        <w:rPr>
          <w:rFonts w:ascii="Times New Roman" w:eastAsia="標楷體" w:hAnsi="標楷體" w:hint="eastAsia"/>
          <w:color w:val="0D0D0D"/>
          <w:sz w:val="26"/>
          <w:szCs w:val="26"/>
        </w:rPr>
        <w:t>定適用</w:t>
      </w:r>
      <w:r w:rsidRPr="009627D5">
        <w:rPr>
          <w:rFonts w:ascii="Times New Roman" w:eastAsia="標楷體" w:hAnsi="標楷體" w:hint="eastAsia"/>
          <w:color w:val="0D0D0D"/>
          <w:sz w:val="26"/>
          <w:szCs w:val="26"/>
        </w:rPr>
        <w:t>的管控措施。</w:t>
      </w:r>
    </w:p>
    <w:p w:rsidR="0053567F" w:rsidRPr="009627D5" w:rsidRDefault="0053567F" w:rsidP="0053567F">
      <w:pPr>
        <w:pStyle w:val="a3"/>
        <w:kinsoku w:val="0"/>
        <w:snapToGrid w:val="0"/>
        <w:ind w:leftChars="200" w:left="480"/>
        <w:rPr>
          <w:rFonts w:ascii="Times New Roman" w:eastAsia="標楷體" w:hAnsi="Times New Roman"/>
          <w:color w:val="0D0D0D"/>
          <w:sz w:val="26"/>
          <w:szCs w:val="26"/>
        </w:rPr>
      </w:pPr>
      <w:r w:rsidRPr="009627D5">
        <w:rPr>
          <w:rFonts w:ascii="Times New Roman" w:eastAsia="標楷體" w:hAnsi="標楷體" w:hint="eastAsia"/>
          <w:color w:val="0D0D0D"/>
          <w:sz w:val="26"/>
          <w:szCs w:val="26"/>
        </w:rPr>
        <w:t>對於風險之管控措施，應由證券商依據其風險防制政策及程序，針對</w:t>
      </w:r>
      <w:r w:rsidRPr="00E40440">
        <w:rPr>
          <w:rFonts w:ascii="Times New Roman" w:eastAsia="標楷體" w:hAnsi="標楷體" w:hint="eastAsia"/>
          <w:color w:val="0D0D0D"/>
          <w:sz w:val="26"/>
          <w:szCs w:val="26"/>
        </w:rPr>
        <w:t>高風險客戶</w:t>
      </w:r>
      <w:r w:rsidRPr="00E40440">
        <w:rPr>
          <w:rFonts w:ascii="Times New Roman" w:eastAsia="標楷體" w:hAnsi="標楷體" w:hint="eastAsia"/>
          <w:color w:val="0D0D0D"/>
          <w:sz w:val="26"/>
          <w:szCs w:val="26"/>
          <w:u w:val="single"/>
        </w:rPr>
        <w:t>與具特定高風險因子之客戶</w:t>
      </w:r>
      <w:r w:rsidRPr="00630E70">
        <w:rPr>
          <w:rFonts w:ascii="Times New Roman" w:eastAsia="標楷體" w:hAnsi="標楷體" w:hint="eastAsia"/>
          <w:color w:val="0D0D0D"/>
          <w:sz w:val="26"/>
          <w:szCs w:val="26"/>
        </w:rPr>
        <w:t>採取不</w:t>
      </w:r>
      <w:r w:rsidRPr="009627D5">
        <w:rPr>
          <w:rFonts w:ascii="Times New Roman" w:eastAsia="標楷體" w:hAnsi="標楷體" w:hint="eastAsia"/>
          <w:color w:val="0D0D0D"/>
          <w:sz w:val="26"/>
          <w:szCs w:val="26"/>
        </w:rPr>
        <w:t>同的管控措施，以</w:t>
      </w:r>
      <w:r w:rsidRPr="009627D5">
        <w:rPr>
          <w:rFonts w:ascii="Times New Roman" w:eastAsia="標楷體" w:hAnsi="標楷體"/>
          <w:color w:val="0D0D0D"/>
          <w:sz w:val="26"/>
          <w:szCs w:val="26"/>
        </w:rPr>
        <w:t>有效管理和降低已知風險</w:t>
      </w:r>
      <w:r w:rsidRPr="009627D5">
        <w:rPr>
          <w:rFonts w:ascii="Times New Roman" w:eastAsia="標楷體" w:hAnsi="標楷體" w:hint="eastAsia"/>
          <w:color w:val="0D0D0D"/>
          <w:sz w:val="26"/>
          <w:szCs w:val="26"/>
        </w:rPr>
        <w:t>，舉例說明如下：</w:t>
      </w:r>
    </w:p>
    <w:p w:rsidR="0053567F" w:rsidRPr="009C1AC8" w:rsidRDefault="0053567F" w:rsidP="0053567F">
      <w:pPr>
        <w:pStyle w:val="a3"/>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一</w:t>
      </w:r>
      <w:r w:rsidRPr="003D0DCE">
        <w:rPr>
          <w:rFonts w:ascii="標楷體" w:eastAsia="標楷體" w:hAnsi="標楷體" w:hint="eastAsia"/>
          <w:sz w:val="26"/>
          <w:szCs w:val="26"/>
        </w:rPr>
        <w:t>)</w:t>
      </w:r>
      <w:r w:rsidRPr="009C1AC8">
        <w:rPr>
          <w:rFonts w:ascii="標楷體" w:eastAsia="標楷體" w:hAnsi="標楷體" w:hint="eastAsia"/>
          <w:sz w:val="26"/>
          <w:szCs w:val="26"/>
        </w:rPr>
        <w:t>進行加強客戶審查措施(Enhanced Due Diligence)，例如：</w:t>
      </w:r>
    </w:p>
    <w:p w:rsidR="0053567F" w:rsidRPr="009627D5" w:rsidRDefault="0053567F" w:rsidP="0053567F">
      <w:pPr>
        <w:pStyle w:val="a3"/>
        <w:numPr>
          <w:ilvl w:val="0"/>
          <w:numId w:val="40"/>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取得開戶與往來目的之相關資料：</w:t>
      </w:r>
      <w:r w:rsidRPr="008726BA">
        <w:rPr>
          <w:rFonts w:ascii="Times New Roman" w:eastAsia="標楷體" w:hAnsi="標楷體" w:hint="eastAsia"/>
          <w:color w:val="0D0D0D"/>
          <w:sz w:val="26"/>
          <w:szCs w:val="26"/>
          <w:u w:val="single"/>
        </w:rPr>
        <w:t>預期帳戶使用狀況</w:t>
      </w:r>
      <w:r w:rsidRPr="008726BA">
        <w:rPr>
          <w:rFonts w:ascii="標楷體" w:eastAsia="標楷體" w:hAnsi="標楷體" w:hint="eastAsia"/>
          <w:sz w:val="26"/>
          <w:szCs w:val="26"/>
          <w:u w:val="single"/>
        </w:rPr>
        <w:t>(</w:t>
      </w:r>
      <w:r w:rsidRPr="008726BA">
        <w:rPr>
          <w:rFonts w:ascii="Times New Roman" w:eastAsia="標楷體" w:hAnsi="標楷體" w:hint="eastAsia"/>
          <w:color w:val="0D0D0D"/>
          <w:sz w:val="26"/>
          <w:szCs w:val="26"/>
          <w:u w:val="single"/>
        </w:rPr>
        <w:t>如預期交易之金額、目的及頻率</w:t>
      </w:r>
      <w:r w:rsidRPr="008726BA">
        <w:rPr>
          <w:rFonts w:ascii="標楷體" w:eastAsia="標楷體" w:hAnsi="標楷體" w:hint="eastAsia"/>
          <w:sz w:val="26"/>
          <w:szCs w:val="26"/>
          <w:u w:val="single"/>
        </w:rPr>
        <w:t>)</w:t>
      </w:r>
      <w:r w:rsidRPr="009627D5">
        <w:rPr>
          <w:rFonts w:ascii="Times New Roman" w:eastAsia="標楷體" w:hAnsi="標楷體"/>
          <w:color w:val="0D0D0D"/>
          <w:sz w:val="26"/>
          <w:szCs w:val="26"/>
        </w:rPr>
        <w:t>。</w:t>
      </w:r>
    </w:p>
    <w:p w:rsidR="0053567F" w:rsidRPr="009627D5" w:rsidRDefault="0053567F" w:rsidP="0053567F">
      <w:pPr>
        <w:pStyle w:val="a3"/>
        <w:numPr>
          <w:ilvl w:val="0"/>
          <w:numId w:val="40"/>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hint="eastAsia"/>
          <w:color w:val="0D0D0D"/>
          <w:sz w:val="26"/>
          <w:szCs w:val="26"/>
        </w:rPr>
        <w:t>取得</w:t>
      </w:r>
      <w:r w:rsidRPr="00490FEF">
        <w:rPr>
          <w:rFonts w:ascii="Times New Roman" w:eastAsia="標楷體" w:hAnsi="標楷體" w:hint="eastAsia"/>
          <w:color w:val="0D0D0D"/>
          <w:sz w:val="26"/>
          <w:szCs w:val="26"/>
          <w:u w:val="single"/>
        </w:rPr>
        <w:t>個人</w:t>
      </w:r>
      <w:r w:rsidRPr="009627D5">
        <w:rPr>
          <w:rFonts w:ascii="Times New Roman" w:eastAsia="標楷體" w:hAnsi="標楷體" w:hint="eastAsia"/>
          <w:color w:val="0D0D0D"/>
          <w:sz w:val="26"/>
          <w:szCs w:val="26"/>
        </w:rPr>
        <w:t>客戶</w:t>
      </w:r>
      <w:r w:rsidRPr="009627D5">
        <w:rPr>
          <w:rFonts w:ascii="Times New Roman" w:eastAsia="標楷體" w:hAnsi="標楷體"/>
          <w:color w:val="0D0D0D"/>
          <w:sz w:val="26"/>
          <w:szCs w:val="26"/>
        </w:rPr>
        <w:t>財富來源</w:t>
      </w:r>
      <w:r w:rsidRPr="009627D5">
        <w:rPr>
          <w:rFonts w:ascii="Times New Roman" w:eastAsia="標楷體" w:hAnsi="標楷體" w:hint="eastAsia"/>
          <w:color w:val="0D0D0D"/>
          <w:sz w:val="26"/>
          <w:szCs w:val="26"/>
        </w:rPr>
        <w:t>、往來</w:t>
      </w:r>
      <w:r w:rsidRPr="009627D5">
        <w:rPr>
          <w:rFonts w:ascii="Times New Roman" w:eastAsia="標楷體" w:hAnsi="標楷體"/>
          <w:color w:val="0D0D0D"/>
          <w:sz w:val="26"/>
          <w:szCs w:val="26"/>
        </w:rPr>
        <w:t>資金來源</w:t>
      </w:r>
      <w:r w:rsidRPr="00490FEF">
        <w:rPr>
          <w:rFonts w:ascii="Times New Roman" w:eastAsia="標楷體" w:hAnsi="標楷體" w:hint="eastAsia"/>
          <w:color w:val="0D0D0D"/>
          <w:sz w:val="26"/>
          <w:szCs w:val="26"/>
          <w:u w:val="single"/>
        </w:rPr>
        <w:t>及去向</w:t>
      </w:r>
      <w:r w:rsidRPr="009627D5">
        <w:rPr>
          <w:rFonts w:ascii="Times New Roman" w:eastAsia="標楷體" w:hAnsi="標楷體" w:hint="eastAsia"/>
          <w:color w:val="0D0D0D"/>
          <w:sz w:val="26"/>
          <w:szCs w:val="26"/>
        </w:rPr>
        <w:t>、資產種類與數量</w:t>
      </w:r>
      <w:r w:rsidRPr="00490FEF">
        <w:rPr>
          <w:rFonts w:ascii="Times New Roman" w:eastAsia="標楷體" w:hAnsi="標楷體" w:hint="eastAsia"/>
          <w:color w:val="0D0D0D"/>
          <w:sz w:val="26"/>
          <w:szCs w:val="26"/>
          <w:u w:val="single"/>
        </w:rPr>
        <w:t>等資訊</w:t>
      </w:r>
      <w:r w:rsidRPr="00490FEF">
        <w:rPr>
          <w:rFonts w:ascii="Times New Roman" w:eastAsia="標楷體" w:hAnsi="標楷體" w:hint="eastAsia"/>
          <w:color w:val="0D0D0D"/>
          <w:sz w:val="26"/>
          <w:szCs w:val="26"/>
        </w:rPr>
        <w:t>。</w:t>
      </w:r>
    </w:p>
    <w:p w:rsidR="0053567F" w:rsidRDefault="0053567F" w:rsidP="0053567F">
      <w:pPr>
        <w:pStyle w:val="a3"/>
        <w:numPr>
          <w:ilvl w:val="0"/>
          <w:numId w:val="40"/>
        </w:numPr>
        <w:kinsoku w:val="0"/>
        <w:snapToGrid w:val="0"/>
        <w:ind w:left="763" w:hanging="284"/>
        <w:rPr>
          <w:rFonts w:ascii="Times New Roman" w:eastAsia="標楷體" w:hAnsi="標楷體"/>
          <w:color w:val="0D0D0D"/>
          <w:sz w:val="26"/>
          <w:szCs w:val="26"/>
        </w:rPr>
      </w:pPr>
      <w:r w:rsidRPr="009627D5">
        <w:rPr>
          <w:rFonts w:ascii="Times New Roman" w:eastAsia="標楷體" w:hAnsi="標楷體"/>
          <w:color w:val="0D0D0D"/>
          <w:sz w:val="26"/>
          <w:szCs w:val="26"/>
        </w:rPr>
        <w:t>取得</w:t>
      </w:r>
      <w:r w:rsidRPr="00490FEF">
        <w:rPr>
          <w:rFonts w:ascii="Times New Roman" w:eastAsia="標楷體" w:hAnsi="標楷體" w:hint="eastAsia"/>
          <w:color w:val="0D0D0D"/>
          <w:sz w:val="26"/>
          <w:szCs w:val="26"/>
          <w:u w:val="single"/>
        </w:rPr>
        <w:t>法人</w:t>
      </w:r>
      <w:r>
        <w:rPr>
          <w:rFonts w:ascii="Times New Roman" w:eastAsia="標楷體" w:hAnsi="標楷體" w:hint="eastAsia"/>
          <w:color w:val="0D0D0D"/>
          <w:sz w:val="26"/>
          <w:szCs w:val="26"/>
          <w:u w:val="single"/>
        </w:rPr>
        <w:t>、團體</w:t>
      </w:r>
      <w:r w:rsidRPr="00490FEF">
        <w:rPr>
          <w:rFonts w:ascii="Times New Roman" w:eastAsia="標楷體" w:hAnsi="標楷體" w:hint="eastAsia"/>
          <w:color w:val="0D0D0D"/>
          <w:sz w:val="26"/>
          <w:szCs w:val="26"/>
          <w:u w:val="single"/>
        </w:rPr>
        <w:t>或信託</w:t>
      </w:r>
      <w:r>
        <w:rPr>
          <w:rFonts w:ascii="Times New Roman" w:eastAsia="標楷體" w:hAnsi="標楷體" w:hint="eastAsia"/>
          <w:color w:val="0D0D0D"/>
          <w:sz w:val="26"/>
          <w:szCs w:val="26"/>
          <w:u w:val="single"/>
        </w:rPr>
        <w:t>之</w:t>
      </w:r>
      <w:r w:rsidRPr="00490FEF">
        <w:rPr>
          <w:rFonts w:ascii="Times New Roman" w:eastAsia="標楷體" w:hAnsi="標楷體" w:hint="eastAsia"/>
          <w:color w:val="0D0D0D"/>
          <w:sz w:val="26"/>
          <w:szCs w:val="26"/>
          <w:u w:val="single"/>
        </w:rPr>
        <w:t>受託人</w:t>
      </w:r>
      <w:r w:rsidRPr="009627D5">
        <w:rPr>
          <w:rFonts w:ascii="Times New Roman" w:eastAsia="標楷體" w:hAnsi="標楷體"/>
          <w:color w:val="0D0D0D"/>
          <w:sz w:val="26"/>
          <w:szCs w:val="26"/>
        </w:rPr>
        <w:t>客戶</w:t>
      </w:r>
      <w:r w:rsidRPr="009627D5">
        <w:rPr>
          <w:rFonts w:ascii="Times New Roman" w:eastAsia="標楷體" w:hAnsi="標楷體" w:hint="eastAsia"/>
          <w:color w:val="0D0D0D"/>
          <w:sz w:val="26"/>
          <w:szCs w:val="26"/>
        </w:rPr>
        <w:t>進一步之</w:t>
      </w:r>
      <w:r w:rsidRPr="00020E44">
        <w:rPr>
          <w:rFonts w:ascii="Times New Roman" w:eastAsia="標楷體" w:hAnsi="標楷體" w:hint="eastAsia"/>
          <w:color w:val="0D0D0D"/>
          <w:sz w:val="26"/>
          <w:szCs w:val="26"/>
        </w:rPr>
        <w:t>商業</w:t>
      </w:r>
      <w:r w:rsidRPr="00020E44">
        <w:rPr>
          <w:rFonts w:ascii="Times New Roman" w:eastAsia="標楷體" w:hAnsi="標楷體"/>
          <w:color w:val="0D0D0D"/>
          <w:sz w:val="26"/>
          <w:szCs w:val="26"/>
        </w:rPr>
        <w:t>資</w:t>
      </w:r>
      <w:r w:rsidRPr="00020E44">
        <w:rPr>
          <w:rFonts w:ascii="Times New Roman" w:eastAsia="標楷體" w:hAnsi="標楷體" w:hint="eastAsia"/>
          <w:color w:val="0D0D0D"/>
          <w:sz w:val="26"/>
          <w:szCs w:val="26"/>
        </w:rPr>
        <w:t>訊</w:t>
      </w:r>
      <w:r w:rsidRPr="009627D5">
        <w:rPr>
          <w:rFonts w:ascii="Times New Roman" w:eastAsia="標楷體" w:hAnsi="標楷體" w:hint="eastAsia"/>
          <w:color w:val="0D0D0D"/>
          <w:sz w:val="26"/>
          <w:szCs w:val="26"/>
        </w:rPr>
        <w:t>：瞭解客戶</w:t>
      </w:r>
      <w:r w:rsidRPr="0074517A">
        <w:rPr>
          <w:rFonts w:ascii="Times New Roman" w:eastAsia="標楷體" w:hAnsi="標楷體" w:hint="eastAsia"/>
          <w:color w:val="0D0D0D"/>
          <w:sz w:val="26"/>
          <w:szCs w:val="26"/>
        </w:rPr>
        <w:t>最新</w:t>
      </w:r>
      <w:r w:rsidRPr="00032C40">
        <w:rPr>
          <w:rFonts w:ascii="Times New Roman" w:eastAsia="標楷體" w:hAnsi="標楷體" w:hint="eastAsia"/>
          <w:color w:val="0D0D0D"/>
          <w:sz w:val="26"/>
          <w:szCs w:val="26"/>
          <w:u w:val="single"/>
        </w:rPr>
        <w:t>財務狀況、</w:t>
      </w:r>
      <w:r w:rsidRPr="0074517A">
        <w:rPr>
          <w:rFonts w:ascii="Times New Roman" w:eastAsia="標楷體" w:hAnsi="標楷體" w:hint="eastAsia"/>
          <w:color w:val="0D0D0D"/>
          <w:sz w:val="26"/>
          <w:szCs w:val="26"/>
        </w:rPr>
        <w:t>商業活動與業務往</w:t>
      </w:r>
      <w:r w:rsidRPr="009627D5">
        <w:rPr>
          <w:rFonts w:ascii="Times New Roman" w:eastAsia="標楷體" w:hAnsi="標楷體" w:hint="eastAsia"/>
          <w:color w:val="0D0D0D"/>
          <w:sz w:val="26"/>
          <w:szCs w:val="26"/>
        </w:rPr>
        <w:t>來資訊</w:t>
      </w:r>
      <w:r>
        <w:rPr>
          <w:rFonts w:ascii="Times New Roman" w:eastAsia="標楷體" w:hAnsi="標楷體" w:hint="eastAsia"/>
          <w:color w:val="0D0D0D"/>
          <w:sz w:val="26"/>
          <w:szCs w:val="26"/>
        </w:rPr>
        <w:t>，</w:t>
      </w:r>
      <w:r w:rsidRPr="002C3FB9">
        <w:rPr>
          <w:rFonts w:ascii="Times New Roman" w:eastAsia="標楷體" w:hAnsi="標楷體" w:hint="eastAsia"/>
          <w:color w:val="0D0D0D"/>
          <w:sz w:val="26"/>
          <w:szCs w:val="26"/>
          <w:u w:val="single"/>
        </w:rPr>
        <w:t>以建立其</w:t>
      </w:r>
      <w:r w:rsidRPr="006972BD">
        <w:rPr>
          <w:rFonts w:ascii="Times New Roman" w:eastAsia="標楷體" w:hAnsi="標楷體" w:hint="eastAsia"/>
          <w:color w:val="0D0D0D"/>
          <w:sz w:val="26"/>
          <w:szCs w:val="26"/>
          <w:u w:val="single"/>
        </w:rPr>
        <w:t>資產、</w:t>
      </w:r>
      <w:r w:rsidRPr="002C3FB9">
        <w:rPr>
          <w:rFonts w:ascii="Times New Roman" w:eastAsia="標楷體" w:hAnsi="標楷體" w:hint="eastAsia"/>
          <w:color w:val="0D0D0D"/>
          <w:sz w:val="26"/>
          <w:szCs w:val="26"/>
          <w:u w:val="single"/>
        </w:rPr>
        <w:t>資金來源及資金去向</w:t>
      </w:r>
      <w:r w:rsidRPr="009627D5">
        <w:rPr>
          <w:rFonts w:ascii="Times New Roman" w:eastAsia="標楷體" w:hAnsi="標楷體" w:hint="eastAsia"/>
          <w:color w:val="0D0D0D"/>
          <w:sz w:val="26"/>
          <w:szCs w:val="26"/>
        </w:rPr>
        <w:t>。</w:t>
      </w:r>
    </w:p>
    <w:p w:rsidR="0053567F" w:rsidRDefault="0053567F" w:rsidP="0053567F">
      <w:pPr>
        <w:pStyle w:val="a3"/>
        <w:numPr>
          <w:ilvl w:val="0"/>
          <w:numId w:val="40"/>
        </w:numPr>
        <w:kinsoku w:val="0"/>
        <w:snapToGrid w:val="0"/>
        <w:ind w:left="763" w:hanging="284"/>
        <w:rPr>
          <w:rFonts w:ascii="Times New Roman" w:eastAsia="標楷體" w:hAnsi="標楷體"/>
          <w:color w:val="0D0D0D"/>
          <w:sz w:val="26"/>
          <w:szCs w:val="26"/>
        </w:rPr>
      </w:pPr>
      <w:r w:rsidRPr="0074517A">
        <w:rPr>
          <w:rFonts w:ascii="Times New Roman" w:eastAsia="標楷體" w:hAnsi="標楷體"/>
          <w:color w:val="0D0D0D"/>
          <w:sz w:val="26"/>
          <w:szCs w:val="26"/>
        </w:rPr>
        <w:t>取得</w:t>
      </w:r>
      <w:r w:rsidRPr="0074517A">
        <w:rPr>
          <w:rFonts w:ascii="Times New Roman" w:eastAsia="標楷體" w:hAnsi="標楷體" w:hint="eastAsia"/>
          <w:color w:val="0D0D0D"/>
          <w:sz w:val="26"/>
          <w:szCs w:val="26"/>
        </w:rPr>
        <w:t>將進行或已完成交易之說明與資訊。</w:t>
      </w:r>
    </w:p>
    <w:p w:rsidR="0053567F" w:rsidRPr="0074517A" w:rsidRDefault="0053567F" w:rsidP="0053567F">
      <w:pPr>
        <w:pStyle w:val="a3"/>
        <w:numPr>
          <w:ilvl w:val="0"/>
          <w:numId w:val="40"/>
        </w:numPr>
        <w:kinsoku w:val="0"/>
        <w:snapToGrid w:val="0"/>
        <w:ind w:left="763" w:hanging="284"/>
        <w:rPr>
          <w:rFonts w:ascii="Times New Roman" w:eastAsia="標楷體" w:hAnsi="標楷體"/>
          <w:color w:val="0D0D0D"/>
          <w:sz w:val="26"/>
          <w:szCs w:val="26"/>
        </w:rPr>
      </w:pPr>
      <w:r w:rsidRPr="0074517A">
        <w:rPr>
          <w:rFonts w:ascii="Times New Roman" w:eastAsia="標楷體" w:hAnsi="標楷體" w:hint="eastAsia"/>
          <w:color w:val="0D0D0D"/>
          <w:sz w:val="26"/>
          <w:szCs w:val="26"/>
        </w:rPr>
        <w:t>依據客戶型態進行實地或電話訪查，以確認客戶之實際營運情形</w:t>
      </w:r>
      <w:r w:rsidRPr="0074517A">
        <w:rPr>
          <w:rFonts w:ascii="Times New Roman" w:eastAsia="標楷體" w:hAnsi="標楷體"/>
          <w:color w:val="0D0D0D"/>
          <w:sz w:val="26"/>
          <w:szCs w:val="26"/>
        </w:rPr>
        <w:t>。</w:t>
      </w:r>
    </w:p>
    <w:p w:rsidR="0053567F" w:rsidRPr="009C1AC8" w:rsidRDefault="0053567F" w:rsidP="0053567F">
      <w:pPr>
        <w:pStyle w:val="a3"/>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490FEF">
        <w:rPr>
          <w:rFonts w:ascii="標楷體" w:eastAsia="標楷體" w:hAnsi="標楷體" w:hint="eastAsia"/>
          <w:sz w:val="26"/>
          <w:szCs w:val="26"/>
          <w:u w:val="single"/>
        </w:rPr>
        <w:t>在建立或新增業務往來關係前，</w:t>
      </w:r>
      <w:r w:rsidRPr="0012248E">
        <w:rPr>
          <w:rFonts w:ascii="標楷體" w:eastAsia="標楷體" w:hAnsi="標楷體" w:hint="eastAsia"/>
          <w:sz w:val="26"/>
          <w:szCs w:val="26"/>
          <w:u w:val="single"/>
        </w:rPr>
        <w:t>應依</w:t>
      </w:r>
      <w:r>
        <w:rPr>
          <w:rFonts w:ascii="標楷體" w:eastAsia="標楷體" w:hAnsi="標楷體" w:hint="eastAsia"/>
          <w:sz w:val="26"/>
          <w:szCs w:val="26"/>
          <w:u w:val="single"/>
        </w:rPr>
        <w:t>證券商</w:t>
      </w:r>
      <w:r w:rsidRPr="0012248E">
        <w:rPr>
          <w:rFonts w:ascii="標楷體" w:eastAsia="標楷體" w:hAnsi="標楷體" w:hint="eastAsia"/>
          <w:sz w:val="26"/>
          <w:szCs w:val="26"/>
          <w:u w:val="single"/>
        </w:rPr>
        <w:t>內部風險考量，所訂核准層級之</w:t>
      </w:r>
      <w:r w:rsidRPr="0012248E">
        <w:rPr>
          <w:rFonts w:ascii="標楷體" w:eastAsia="標楷體" w:hAnsi="標楷體" w:hint="eastAsia"/>
          <w:sz w:val="26"/>
          <w:szCs w:val="26"/>
        </w:rPr>
        <w:t>高階管</w:t>
      </w:r>
      <w:r w:rsidRPr="009C1AC8">
        <w:rPr>
          <w:rFonts w:ascii="標楷體" w:eastAsia="標楷體" w:hAnsi="標楷體" w:hint="eastAsia"/>
          <w:sz w:val="26"/>
          <w:szCs w:val="26"/>
        </w:rPr>
        <w:t>理</w:t>
      </w:r>
      <w:r w:rsidRPr="00215C9C">
        <w:rPr>
          <w:rFonts w:ascii="標楷體" w:eastAsia="標楷體" w:hAnsi="標楷體" w:hint="eastAsia"/>
          <w:sz w:val="26"/>
          <w:szCs w:val="26"/>
          <w:u w:val="single"/>
        </w:rPr>
        <w:t>人員</w:t>
      </w:r>
      <w:r>
        <w:rPr>
          <w:rFonts w:ascii="標楷體" w:eastAsia="標楷體" w:hAnsi="標楷體" w:hint="eastAsia"/>
          <w:sz w:val="26"/>
          <w:szCs w:val="26"/>
        </w:rPr>
        <w:t>同意</w:t>
      </w:r>
      <w:r w:rsidRPr="009C1AC8">
        <w:rPr>
          <w:rFonts w:ascii="標楷體" w:eastAsia="標楷體" w:hAnsi="標楷體"/>
          <w:sz w:val="26"/>
          <w:szCs w:val="26"/>
        </w:rPr>
        <w:t>。</w:t>
      </w:r>
    </w:p>
    <w:p w:rsidR="0053567F" w:rsidRPr="009C1AC8" w:rsidRDefault="0053567F" w:rsidP="0053567F">
      <w:pPr>
        <w:pStyle w:val="a3"/>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三</w:t>
      </w:r>
      <w:r w:rsidRPr="003D0DCE">
        <w:rPr>
          <w:rFonts w:ascii="標楷體" w:eastAsia="標楷體" w:hAnsi="標楷體" w:hint="eastAsia"/>
          <w:sz w:val="26"/>
          <w:szCs w:val="26"/>
        </w:rPr>
        <w:t>)</w:t>
      </w:r>
      <w:r w:rsidRPr="009C1AC8">
        <w:rPr>
          <w:rFonts w:ascii="標楷體" w:eastAsia="標楷體" w:hAnsi="標楷體" w:hint="eastAsia"/>
          <w:sz w:val="26"/>
          <w:szCs w:val="26"/>
        </w:rPr>
        <w:t>增加進行客戶審查之頻率</w:t>
      </w:r>
      <w:r w:rsidRPr="009C1AC8">
        <w:rPr>
          <w:rFonts w:ascii="標楷體" w:eastAsia="標楷體" w:hAnsi="標楷體"/>
          <w:sz w:val="26"/>
          <w:szCs w:val="26"/>
        </w:rPr>
        <w:t>。</w:t>
      </w:r>
    </w:p>
    <w:p w:rsidR="0053567F" w:rsidRPr="0013650B" w:rsidRDefault="0053567F" w:rsidP="0053567F">
      <w:pPr>
        <w:pStyle w:val="a3"/>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四</w:t>
      </w:r>
      <w:r w:rsidRPr="003D0DCE">
        <w:rPr>
          <w:rFonts w:ascii="標楷體" w:eastAsia="標楷體" w:hAnsi="標楷體" w:hint="eastAsia"/>
          <w:sz w:val="26"/>
          <w:szCs w:val="26"/>
        </w:rPr>
        <w:t>)</w:t>
      </w:r>
      <w:r w:rsidRPr="00490FEF">
        <w:rPr>
          <w:rFonts w:ascii="標楷體" w:eastAsia="標楷體" w:hAnsi="標楷體" w:hint="eastAsia"/>
          <w:sz w:val="26"/>
          <w:szCs w:val="26"/>
          <w:u w:val="single"/>
        </w:rPr>
        <w:t>對於業務往來關係應採</w:t>
      </w:r>
      <w:r w:rsidRPr="0013650B">
        <w:rPr>
          <w:rFonts w:ascii="標楷體" w:eastAsia="標楷體" w:hAnsi="標楷體" w:hint="eastAsia"/>
          <w:sz w:val="26"/>
          <w:szCs w:val="26"/>
          <w:u w:val="single"/>
        </w:rPr>
        <w:t>取強化之持續監督。</w:t>
      </w:r>
    </w:p>
    <w:p w:rsidR="0053567F" w:rsidRPr="00100192" w:rsidRDefault="0053567F" w:rsidP="0053567F">
      <w:pPr>
        <w:pStyle w:val="a3"/>
        <w:kinsoku w:val="0"/>
        <w:snapToGrid w:val="0"/>
        <w:ind w:leftChars="236" w:left="574" w:hangingChars="3" w:hanging="8"/>
        <w:rPr>
          <w:rFonts w:ascii="標楷體" w:eastAsia="標楷體" w:hAnsi="標楷體"/>
          <w:color w:val="0D0D0D"/>
          <w:sz w:val="26"/>
          <w:szCs w:val="26"/>
          <w:u w:val="single"/>
        </w:rPr>
      </w:pPr>
      <w:r>
        <w:rPr>
          <w:rFonts w:ascii="標楷體" w:eastAsia="標楷體" w:hAnsi="標楷體" w:hint="eastAsia"/>
          <w:color w:val="0D0D0D"/>
          <w:sz w:val="26"/>
          <w:szCs w:val="26"/>
          <w:u w:val="single"/>
        </w:rPr>
        <w:t>除有本範本第肆點第三</w:t>
      </w:r>
      <w:r w:rsidRPr="0013650B">
        <w:rPr>
          <w:rFonts w:ascii="標楷體" w:eastAsia="標楷體" w:hAnsi="標楷體" w:hint="eastAsia"/>
          <w:color w:val="0D0D0D"/>
          <w:sz w:val="26"/>
          <w:szCs w:val="26"/>
          <w:u w:val="single"/>
        </w:rPr>
        <w:t>款但書情形者，</w:t>
      </w:r>
      <w:r w:rsidRPr="0013650B">
        <w:rPr>
          <w:rFonts w:ascii="Times New Roman" w:eastAsia="標楷體" w:hAnsi="標楷體" w:hint="eastAsia"/>
          <w:color w:val="0D0D0D"/>
          <w:sz w:val="26"/>
          <w:szCs w:val="26"/>
        </w:rPr>
        <w:t>對於</w:t>
      </w:r>
      <w:r w:rsidRPr="00215C9C">
        <w:rPr>
          <w:rFonts w:ascii="Times New Roman" w:eastAsia="標楷體" w:hAnsi="標楷體" w:hint="eastAsia"/>
          <w:color w:val="0D0D0D"/>
          <w:sz w:val="26"/>
          <w:szCs w:val="26"/>
          <w:u w:val="single"/>
        </w:rPr>
        <w:t>較</w:t>
      </w:r>
      <w:r w:rsidRPr="0013650B">
        <w:rPr>
          <w:rFonts w:ascii="Times New Roman" w:eastAsia="標楷體" w:hAnsi="標楷體" w:hint="eastAsia"/>
          <w:color w:val="0D0D0D"/>
          <w:sz w:val="26"/>
          <w:szCs w:val="26"/>
        </w:rPr>
        <w:t>低風險情形，得由證券商</w:t>
      </w:r>
      <w:r w:rsidRPr="0013650B">
        <w:rPr>
          <w:rFonts w:ascii="Times New Roman" w:eastAsia="標楷體" w:hAnsi="標楷體" w:hint="eastAsia"/>
          <w:color w:val="0D0D0D"/>
          <w:sz w:val="26"/>
          <w:szCs w:val="26"/>
        </w:rPr>
        <w:lastRenderedPageBreak/>
        <w:t>依據其風險防</w:t>
      </w:r>
      <w:r w:rsidRPr="009627D5">
        <w:rPr>
          <w:rFonts w:ascii="Times New Roman" w:eastAsia="標楷體" w:hAnsi="標楷體" w:hint="eastAsia"/>
          <w:color w:val="0D0D0D"/>
          <w:sz w:val="26"/>
          <w:szCs w:val="26"/>
        </w:rPr>
        <w:t>制政策及程序，採取簡化措施。</w:t>
      </w:r>
      <w:r w:rsidRPr="00566619">
        <w:rPr>
          <w:rFonts w:ascii="標楷體" w:eastAsia="標楷體" w:hAnsi="標楷體" w:hint="eastAsia"/>
          <w:color w:val="0D0D0D"/>
          <w:sz w:val="28"/>
          <w:szCs w:val="28"/>
          <w:u w:val="single"/>
        </w:rPr>
        <w:t>該簡化措施應與其較低風險因素相</w:t>
      </w:r>
      <w:r>
        <w:rPr>
          <w:rFonts w:ascii="標楷體" w:eastAsia="標楷體" w:hAnsi="標楷體" w:hint="eastAsia"/>
          <w:color w:val="0D0D0D"/>
          <w:sz w:val="28"/>
          <w:szCs w:val="28"/>
          <w:u w:val="single"/>
        </w:rPr>
        <w:t>當</w:t>
      </w:r>
      <w:r w:rsidRPr="00566619">
        <w:rPr>
          <w:rFonts w:ascii="標楷體" w:eastAsia="標楷體" w:hAnsi="標楷體" w:hint="eastAsia"/>
          <w:color w:val="0D0D0D"/>
          <w:sz w:val="28"/>
          <w:szCs w:val="28"/>
          <w:u w:val="single"/>
        </w:rPr>
        <w:t>，</w:t>
      </w:r>
      <w:r w:rsidRPr="009627D5">
        <w:rPr>
          <w:rFonts w:ascii="Times New Roman" w:eastAsia="標楷體" w:hAnsi="標楷體" w:hint="eastAsia"/>
          <w:color w:val="0D0D0D"/>
          <w:sz w:val="26"/>
          <w:szCs w:val="26"/>
        </w:rPr>
        <w:t>簡化措施得採行如下：</w:t>
      </w:r>
    </w:p>
    <w:p w:rsidR="0053567F" w:rsidRPr="009C1AC8" w:rsidRDefault="0053567F" w:rsidP="0053567F">
      <w:pPr>
        <w:pStyle w:val="a3"/>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一</w:t>
      </w:r>
      <w:r w:rsidRPr="003D0DCE">
        <w:rPr>
          <w:rFonts w:ascii="標楷體" w:eastAsia="標楷體" w:hAnsi="標楷體" w:hint="eastAsia"/>
          <w:sz w:val="26"/>
          <w:szCs w:val="26"/>
        </w:rPr>
        <w:t>)</w:t>
      </w:r>
      <w:r w:rsidRPr="009C1AC8">
        <w:rPr>
          <w:rFonts w:ascii="標楷體" w:eastAsia="標楷體" w:hAnsi="標楷體" w:hint="eastAsia"/>
          <w:sz w:val="26"/>
          <w:szCs w:val="26"/>
        </w:rPr>
        <w:t>降低客戶身分資訊更新之頻率。</w:t>
      </w:r>
    </w:p>
    <w:p w:rsidR="0053567F" w:rsidRDefault="0053567F" w:rsidP="0053567F">
      <w:pPr>
        <w:pStyle w:val="a3"/>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二</w:t>
      </w:r>
      <w:r w:rsidRPr="003D0DCE">
        <w:rPr>
          <w:rFonts w:ascii="標楷體" w:eastAsia="標楷體" w:hAnsi="標楷體" w:hint="eastAsia"/>
          <w:sz w:val="26"/>
          <w:szCs w:val="26"/>
        </w:rPr>
        <w:t>)</w:t>
      </w:r>
      <w:r w:rsidRPr="009C1AC8">
        <w:rPr>
          <w:rFonts w:ascii="標楷體" w:eastAsia="標楷體" w:hAnsi="標楷體" w:hint="eastAsia"/>
          <w:sz w:val="26"/>
          <w:szCs w:val="26"/>
        </w:rPr>
        <w:t>降低持續性監控之等級，並以合理的金額門檻作為審查交易之基礎。</w:t>
      </w:r>
    </w:p>
    <w:p w:rsidR="00C3701D" w:rsidRPr="0053567F" w:rsidRDefault="0053567F" w:rsidP="0053567F">
      <w:pPr>
        <w:pStyle w:val="a3"/>
        <w:kinsoku w:val="0"/>
        <w:snapToGrid w:val="0"/>
        <w:ind w:leftChars="100" w:left="760" w:hangingChars="200" w:hanging="520"/>
        <w:rPr>
          <w:rFonts w:ascii="標楷體" w:eastAsia="標楷體" w:hAnsi="標楷體"/>
          <w:sz w:val="26"/>
          <w:szCs w:val="26"/>
        </w:rPr>
      </w:pPr>
      <w:r w:rsidRPr="003D0DCE">
        <w:rPr>
          <w:rFonts w:ascii="標楷體" w:eastAsia="標楷體" w:hAnsi="標楷體" w:hint="eastAsia"/>
          <w:sz w:val="26"/>
          <w:szCs w:val="26"/>
        </w:rPr>
        <w:t>(</w:t>
      </w:r>
      <w:r>
        <w:rPr>
          <w:rFonts w:ascii="標楷體" w:eastAsia="標楷體" w:hAnsi="標楷體" w:hint="eastAsia"/>
          <w:sz w:val="26"/>
          <w:szCs w:val="26"/>
        </w:rPr>
        <w:t>三</w:t>
      </w:r>
      <w:r w:rsidRPr="003D0DCE">
        <w:rPr>
          <w:rFonts w:ascii="標楷體" w:eastAsia="標楷體" w:hAnsi="標楷體" w:hint="eastAsia"/>
          <w:sz w:val="26"/>
          <w:szCs w:val="26"/>
        </w:rPr>
        <w:t>)</w:t>
      </w:r>
      <w:r w:rsidRPr="009C1AC8">
        <w:rPr>
          <w:rFonts w:ascii="標楷體" w:eastAsia="標楷體" w:hAnsi="標楷體" w:hint="eastAsia"/>
          <w:sz w:val="26"/>
          <w:szCs w:val="26"/>
        </w:rPr>
        <w:t>從交易類型或已建立業務往來關係可推斷其目的及性質者，得無須再針對瞭解業務往來關係之目的及其性質，蒐集特定資訊或執行特別措施。</w:t>
      </w:r>
      <w:r>
        <w:rPr>
          <w:rFonts w:ascii="標楷體" w:eastAsia="標楷體" w:hAnsi="標楷體"/>
          <w:sz w:val="26"/>
          <w:szCs w:val="26"/>
        </w:rPr>
        <w:br/>
      </w:r>
    </w:p>
    <w:p w:rsidR="0053567F" w:rsidRPr="009627D5" w:rsidRDefault="0053567F" w:rsidP="0053567F">
      <w:pPr>
        <w:pStyle w:val="a3"/>
        <w:kinsoku w:val="0"/>
        <w:snapToGrid w:val="0"/>
        <w:ind w:left="520" w:hangingChars="200" w:hanging="52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八、證券商應建立定期之全面性洗錢及資恐風險評估作業</w:t>
      </w:r>
      <w:r w:rsidRPr="006972BD">
        <w:rPr>
          <w:rFonts w:ascii="Times New Roman" w:eastAsia="標楷體" w:hAnsi="Times New Roman" w:hint="eastAsia"/>
          <w:color w:val="0D0D0D"/>
          <w:sz w:val="26"/>
          <w:szCs w:val="26"/>
          <w:u w:val="single"/>
        </w:rPr>
        <w:t>並製作</w:t>
      </w:r>
      <w:r w:rsidRPr="006972BD">
        <w:rPr>
          <w:rFonts w:ascii="Times New Roman" w:eastAsia="標楷體" w:hAnsi="Times New Roman"/>
          <w:color w:val="0D0D0D"/>
          <w:sz w:val="26"/>
          <w:szCs w:val="26"/>
          <w:u w:val="single"/>
        </w:rPr>
        <w:t>風險評估</w:t>
      </w:r>
      <w:r w:rsidRPr="006972BD">
        <w:rPr>
          <w:rFonts w:ascii="Times New Roman" w:eastAsia="標楷體" w:hAnsi="Times New Roman" w:hint="eastAsia"/>
          <w:color w:val="0D0D0D"/>
          <w:sz w:val="26"/>
          <w:szCs w:val="26"/>
          <w:u w:val="single"/>
        </w:rPr>
        <w:t>報告</w:t>
      </w:r>
      <w:r w:rsidRPr="009627D5">
        <w:rPr>
          <w:rFonts w:ascii="Times New Roman" w:eastAsia="標楷體" w:hAnsi="Times New Roman" w:hint="eastAsia"/>
          <w:color w:val="0D0D0D"/>
          <w:sz w:val="26"/>
          <w:szCs w:val="26"/>
        </w:rPr>
        <w:t>，使管理階層得以適時且有效地瞭解證券商所面對之整體洗錢與資恐風險、決定應建立之機制及發展合宜之抵減措施。</w:t>
      </w:r>
    </w:p>
    <w:p w:rsidR="0053567F" w:rsidRPr="009627D5" w:rsidRDefault="0053567F" w:rsidP="0053567F">
      <w:pPr>
        <w:pStyle w:val="a3"/>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證券商應依據下列指標，建立定期且全面性之洗錢及資恐風險評估作業：</w:t>
      </w:r>
    </w:p>
    <w:p w:rsidR="0053567F" w:rsidRPr="009627D5" w:rsidRDefault="0053567F" w:rsidP="0053567F">
      <w:pPr>
        <w:pStyle w:val="a3"/>
        <w:numPr>
          <w:ilvl w:val="0"/>
          <w:numId w:val="41"/>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業務之性質、規模、多元性及複雜度。</w:t>
      </w:r>
    </w:p>
    <w:p w:rsidR="0053567F" w:rsidRDefault="0053567F" w:rsidP="0053567F">
      <w:pPr>
        <w:pStyle w:val="a3"/>
        <w:numPr>
          <w:ilvl w:val="0"/>
          <w:numId w:val="41"/>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目標市場。</w:t>
      </w:r>
    </w:p>
    <w:p w:rsidR="0053567F" w:rsidRPr="009627D5" w:rsidRDefault="0053567F" w:rsidP="0053567F">
      <w:pPr>
        <w:pStyle w:val="a3"/>
        <w:numPr>
          <w:ilvl w:val="0"/>
          <w:numId w:val="41"/>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證券商交易數量與規模：考量證券商一般交易活動與其客戶之特性等。</w:t>
      </w:r>
    </w:p>
    <w:p w:rsidR="0053567F" w:rsidRPr="009627D5" w:rsidRDefault="0053567F" w:rsidP="0053567F">
      <w:pPr>
        <w:pStyle w:val="a3"/>
        <w:numPr>
          <w:ilvl w:val="0"/>
          <w:numId w:val="41"/>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高風險相關之管理數據與報告：如高風險客戶之數目與比例；高風險產品、服務或交易之金額、數量或比例；客戶之國籍、註冊地或營業地、或交易涉及高風險地域之金額或比例等。</w:t>
      </w:r>
    </w:p>
    <w:p w:rsidR="0053567F" w:rsidRPr="009627D5" w:rsidRDefault="0053567F" w:rsidP="0053567F">
      <w:pPr>
        <w:pStyle w:val="a3"/>
        <w:numPr>
          <w:ilvl w:val="0"/>
          <w:numId w:val="41"/>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業務與產品，包含提供業務與產品予客戶之管道及方式、執行客戶審查措施之方式，如資訊系統使用的程度以及是否委託第三人執行審查等。</w:t>
      </w:r>
    </w:p>
    <w:p w:rsidR="0053567F" w:rsidRPr="009627D5" w:rsidRDefault="0053567F" w:rsidP="0053567F">
      <w:pPr>
        <w:pStyle w:val="a3"/>
        <w:numPr>
          <w:ilvl w:val="0"/>
          <w:numId w:val="41"/>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內部稽核與監理機關之檢查結果。</w:t>
      </w:r>
    </w:p>
    <w:p w:rsidR="0053567F" w:rsidRPr="009627D5" w:rsidRDefault="0053567F" w:rsidP="0053567F">
      <w:pPr>
        <w:pStyle w:val="a3"/>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證券商於進行前項之全面性洗錢及資恐風險評估作業時，除考量上開指標外，建議輔以其他內部與外部來源取得之資訊，如：</w:t>
      </w:r>
    </w:p>
    <w:p w:rsidR="0053567F" w:rsidRPr="009627D5" w:rsidRDefault="0053567F" w:rsidP="0053567F">
      <w:pPr>
        <w:pStyle w:val="a3"/>
        <w:numPr>
          <w:ilvl w:val="0"/>
          <w:numId w:val="42"/>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證券商內部管理階層</w:t>
      </w:r>
      <w:r w:rsidRPr="009627D5">
        <w:rPr>
          <w:rFonts w:ascii="Times New Roman" w:eastAsia="標楷體" w:hAnsi="Times New Roman" w:hint="eastAsia"/>
          <w:color w:val="0D0D0D"/>
          <w:sz w:val="26"/>
          <w:szCs w:val="26"/>
        </w:rPr>
        <w:t>(</w:t>
      </w:r>
      <w:r w:rsidRPr="009627D5">
        <w:rPr>
          <w:rFonts w:ascii="Times New Roman" w:eastAsia="標楷體" w:hAnsi="Times New Roman" w:hint="eastAsia"/>
          <w:color w:val="0D0D0D"/>
          <w:sz w:val="26"/>
          <w:szCs w:val="26"/>
        </w:rPr>
        <w:t>如事業單位主管、客戶關係經理等</w:t>
      </w:r>
      <w:r w:rsidRPr="009627D5">
        <w:rPr>
          <w:rFonts w:ascii="Times New Roman" w:eastAsia="標楷體" w:hAnsi="Times New Roman" w:hint="eastAsia"/>
          <w:color w:val="0D0D0D"/>
          <w:sz w:val="26"/>
          <w:szCs w:val="26"/>
        </w:rPr>
        <w:t>)</w:t>
      </w:r>
      <w:r w:rsidRPr="009627D5">
        <w:rPr>
          <w:rFonts w:ascii="Times New Roman" w:eastAsia="標楷體" w:hAnsi="Times New Roman" w:hint="eastAsia"/>
          <w:color w:val="0D0D0D"/>
          <w:sz w:val="26"/>
          <w:szCs w:val="26"/>
        </w:rPr>
        <w:t>所提供的管理報告。</w:t>
      </w:r>
    </w:p>
    <w:p w:rsidR="0053567F" w:rsidRPr="009627D5" w:rsidRDefault="0053567F" w:rsidP="0053567F">
      <w:pPr>
        <w:pStyle w:val="a3"/>
        <w:numPr>
          <w:ilvl w:val="0"/>
          <w:numId w:val="42"/>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國際</w:t>
      </w:r>
      <w:r w:rsidRPr="00921E0F">
        <w:rPr>
          <w:rFonts w:ascii="Times New Roman" w:eastAsia="標楷體" w:hAnsi="Times New Roman" w:hint="eastAsia"/>
          <w:color w:val="0D0D0D"/>
          <w:sz w:val="26"/>
          <w:szCs w:val="26"/>
        </w:rPr>
        <w:t>防制洗錢</w:t>
      </w:r>
      <w:r w:rsidRPr="009627D5">
        <w:rPr>
          <w:rFonts w:ascii="Times New Roman" w:eastAsia="標楷體" w:hAnsi="Times New Roman" w:hint="eastAsia"/>
          <w:color w:val="0D0D0D"/>
          <w:sz w:val="26"/>
          <w:szCs w:val="26"/>
        </w:rPr>
        <w:t>組織與他國所發布之防制洗錢及打擊資恐相關報告。</w:t>
      </w:r>
    </w:p>
    <w:p w:rsidR="0053567F" w:rsidRPr="009627D5" w:rsidRDefault="0053567F" w:rsidP="0053567F">
      <w:pPr>
        <w:pStyle w:val="a3"/>
        <w:numPr>
          <w:ilvl w:val="0"/>
          <w:numId w:val="42"/>
        </w:numPr>
        <w:kinsoku w:val="0"/>
        <w:snapToGrid w:val="0"/>
        <w:ind w:left="988"/>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主管機關發布之洗錢及資恐風險資訊。</w:t>
      </w:r>
    </w:p>
    <w:p w:rsidR="0053567F" w:rsidRPr="009627D5" w:rsidRDefault="0053567F" w:rsidP="0053567F">
      <w:pPr>
        <w:pStyle w:val="a3"/>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證券商之全面性洗錢及資恐風險評估結果應做為發展防制洗錢及打擊資恐計畫之基礎；證券商應依據風險評估結果分配適當人力與資源，採取有效的反制措施，以預防或降低風險。</w:t>
      </w:r>
    </w:p>
    <w:p w:rsidR="0053567F" w:rsidRDefault="0053567F" w:rsidP="0053567F">
      <w:pPr>
        <w:pStyle w:val="a3"/>
        <w:kinsoku w:val="0"/>
        <w:snapToGrid w:val="0"/>
        <w:ind w:leftChars="200" w:left="480"/>
        <w:rPr>
          <w:rFonts w:ascii="Times New Roman" w:eastAsia="標楷體" w:hAnsi="Times New Roman"/>
          <w:color w:val="0D0D0D"/>
          <w:sz w:val="26"/>
          <w:szCs w:val="26"/>
        </w:rPr>
      </w:pPr>
      <w:r w:rsidRPr="009627D5">
        <w:rPr>
          <w:rFonts w:ascii="Times New Roman" w:eastAsia="標楷體" w:hAnsi="Times New Roman" w:hint="eastAsia"/>
          <w:color w:val="0D0D0D"/>
          <w:sz w:val="26"/>
          <w:szCs w:val="26"/>
        </w:rPr>
        <w:t>證券商有重大改變，如發生重大事件、管理及營運上有重大發展、或有相關新威脅產生時，應重新進行評估作業。</w:t>
      </w:r>
    </w:p>
    <w:p w:rsidR="0053567F" w:rsidRPr="0053567F" w:rsidRDefault="0053567F" w:rsidP="0053567F">
      <w:pPr>
        <w:pStyle w:val="a3"/>
        <w:kinsoku w:val="0"/>
        <w:snapToGrid w:val="0"/>
        <w:ind w:leftChars="200" w:left="480"/>
        <w:rPr>
          <w:rFonts w:ascii="Times New Roman" w:eastAsia="標楷體" w:hAnsi="Times New Roman"/>
          <w:color w:val="0D0D0D"/>
          <w:sz w:val="26"/>
          <w:szCs w:val="26"/>
        </w:rPr>
      </w:pPr>
      <w:r>
        <w:rPr>
          <w:rFonts w:ascii="標楷體" w:eastAsia="標楷體" w:hAnsi="標楷體" w:hint="eastAsia"/>
          <w:sz w:val="26"/>
          <w:szCs w:val="26"/>
          <w:u w:val="single"/>
        </w:rPr>
        <w:t>證券商</w:t>
      </w:r>
      <w:r w:rsidRPr="006972BD">
        <w:rPr>
          <w:rFonts w:ascii="標楷體" w:eastAsia="標楷體" w:hAnsi="標楷體"/>
          <w:sz w:val="26"/>
          <w:szCs w:val="26"/>
          <w:u w:val="single"/>
        </w:rPr>
        <w:t>應</w:t>
      </w:r>
      <w:r w:rsidRPr="006972BD">
        <w:rPr>
          <w:rFonts w:ascii="標楷體" w:eastAsia="標楷體" w:hAnsi="標楷體" w:hint="eastAsia"/>
          <w:sz w:val="26"/>
          <w:szCs w:val="26"/>
          <w:u w:val="single"/>
        </w:rPr>
        <w:t>於完成或更新風險評估報告時，將風險評估報告送</w:t>
      </w:r>
      <w:r>
        <w:rPr>
          <w:rFonts w:ascii="標楷體" w:eastAsia="標楷體" w:hAnsi="標楷體" w:hint="eastAsia"/>
          <w:sz w:val="26"/>
          <w:szCs w:val="26"/>
          <w:u w:val="single"/>
        </w:rPr>
        <w:t>主管機關</w:t>
      </w:r>
      <w:r w:rsidRPr="006972BD">
        <w:rPr>
          <w:rFonts w:ascii="標楷體" w:eastAsia="標楷體" w:hAnsi="標楷體" w:hint="eastAsia"/>
          <w:sz w:val="26"/>
          <w:szCs w:val="26"/>
          <w:u w:val="single"/>
        </w:rPr>
        <w:t>備查。</w:t>
      </w:r>
      <w:r>
        <w:rPr>
          <w:rFonts w:ascii="標楷體" w:eastAsia="標楷體" w:hAnsi="標楷體"/>
          <w:sz w:val="26"/>
          <w:szCs w:val="26"/>
          <w:u w:val="single"/>
        </w:rPr>
        <w:br/>
      </w:r>
    </w:p>
    <w:p w:rsidR="0053567F" w:rsidRPr="0053567F" w:rsidRDefault="0053567F" w:rsidP="0053567F">
      <w:pPr>
        <w:pStyle w:val="a3"/>
        <w:kinsoku w:val="0"/>
        <w:snapToGrid w:val="0"/>
        <w:ind w:left="520" w:hangingChars="200" w:hanging="520"/>
        <w:rPr>
          <w:rFonts w:ascii="Times New Roman" w:eastAsia="標楷體" w:hAnsi="Times New Roman"/>
          <w:color w:val="0D0D0D"/>
          <w:sz w:val="26"/>
          <w:szCs w:val="26"/>
        </w:rPr>
      </w:pPr>
      <w:r w:rsidRPr="0053567F">
        <w:rPr>
          <w:rFonts w:ascii="Times New Roman" w:eastAsia="標楷體" w:hAnsi="Times New Roman" w:hint="eastAsia"/>
          <w:color w:val="0D0D0D"/>
          <w:sz w:val="26"/>
          <w:szCs w:val="26"/>
        </w:rPr>
        <w:t>九、證券商依據本指引訂定之政策應</w:t>
      </w:r>
      <w:r w:rsidRPr="0053567F">
        <w:rPr>
          <w:rFonts w:ascii="Times New Roman" w:eastAsia="標楷體" w:hAnsi="Times New Roman"/>
          <w:color w:val="0D0D0D"/>
          <w:sz w:val="26"/>
          <w:szCs w:val="26"/>
        </w:rPr>
        <w:t>經董事會（或分層授權之權責單位）通過後實施，</w:t>
      </w:r>
      <w:r w:rsidRPr="0053567F">
        <w:rPr>
          <w:rFonts w:ascii="Times New Roman" w:eastAsia="標楷體" w:hAnsi="Times New Roman" w:hint="eastAsia"/>
          <w:color w:val="0D0D0D"/>
          <w:sz w:val="26"/>
          <w:szCs w:val="26"/>
        </w:rPr>
        <w:t>並與其「防制洗錢及打擊資恐注意事項」陳</w:t>
      </w:r>
      <w:r w:rsidRPr="0053567F">
        <w:rPr>
          <w:rFonts w:ascii="Times New Roman" w:eastAsia="標楷體" w:hAnsi="Times New Roman"/>
          <w:color w:val="0D0D0D"/>
          <w:sz w:val="26"/>
          <w:szCs w:val="26"/>
        </w:rPr>
        <w:t>報</w:t>
      </w:r>
      <w:r w:rsidRPr="0053567F">
        <w:rPr>
          <w:rFonts w:ascii="Times New Roman" w:eastAsia="標楷體" w:hAnsi="Times New Roman" w:hint="eastAsia"/>
          <w:color w:val="0D0D0D"/>
          <w:sz w:val="26"/>
          <w:szCs w:val="26"/>
        </w:rPr>
        <w:t>主管機關</w:t>
      </w:r>
      <w:r w:rsidRPr="0053567F">
        <w:rPr>
          <w:rFonts w:ascii="Times New Roman" w:eastAsia="標楷體" w:hAnsi="Times New Roman"/>
          <w:color w:val="0D0D0D"/>
          <w:sz w:val="26"/>
          <w:szCs w:val="26"/>
        </w:rPr>
        <w:t>備查</w:t>
      </w:r>
      <w:r w:rsidRPr="0053567F">
        <w:rPr>
          <w:rFonts w:ascii="Times New Roman" w:eastAsia="標楷體" w:hAnsi="Times New Roman" w:hint="eastAsia"/>
          <w:color w:val="0D0D0D"/>
          <w:sz w:val="26"/>
          <w:szCs w:val="26"/>
        </w:rPr>
        <w:t>；並應</w:t>
      </w:r>
      <w:r w:rsidRPr="0053567F">
        <w:rPr>
          <w:rFonts w:ascii="Times New Roman" w:eastAsia="標楷體" w:hAnsi="Times New Roman" w:hint="eastAsia"/>
          <w:color w:val="0D0D0D"/>
          <w:sz w:val="26"/>
          <w:szCs w:val="26"/>
          <w:u w:val="single"/>
        </w:rPr>
        <w:t>每年</w:t>
      </w:r>
      <w:r w:rsidRPr="0053567F">
        <w:rPr>
          <w:rFonts w:ascii="Times New Roman" w:eastAsia="標楷體" w:hAnsi="Times New Roman" w:hint="eastAsia"/>
          <w:color w:val="0D0D0D"/>
          <w:sz w:val="26"/>
          <w:szCs w:val="26"/>
        </w:rPr>
        <w:t>檢討</w:t>
      </w:r>
      <w:r w:rsidRPr="0053567F">
        <w:rPr>
          <w:rFonts w:ascii="Times New Roman" w:eastAsia="標楷體" w:hAnsi="Times New Roman" w:hint="eastAsia"/>
          <w:color w:val="0D0D0D"/>
          <w:sz w:val="26"/>
          <w:szCs w:val="26"/>
          <w:u w:val="single"/>
        </w:rPr>
        <w:t>；</w:t>
      </w:r>
      <w:r w:rsidRPr="0053567F">
        <w:rPr>
          <w:rFonts w:ascii="Times New Roman" w:eastAsia="標楷體" w:hAnsi="Times New Roman"/>
          <w:color w:val="0D0D0D"/>
          <w:sz w:val="26"/>
          <w:szCs w:val="26"/>
        </w:rPr>
        <w:t>修</w:t>
      </w:r>
      <w:r w:rsidRPr="0053567F">
        <w:rPr>
          <w:rFonts w:ascii="Times New Roman" w:eastAsia="標楷體" w:hAnsi="Times New Roman" w:hint="eastAsia"/>
          <w:color w:val="0D0D0D"/>
          <w:sz w:val="26"/>
          <w:szCs w:val="26"/>
        </w:rPr>
        <w:t>正</w:t>
      </w:r>
      <w:r w:rsidRPr="0053567F">
        <w:rPr>
          <w:rFonts w:ascii="Times New Roman" w:eastAsia="標楷體" w:hAnsi="Times New Roman"/>
          <w:color w:val="0D0D0D"/>
          <w:sz w:val="26"/>
          <w:szCs w:val="26"/>
        </w:rPr>
        <w:t>時</w:t>
      </w:r>
      <w:r w:rsidRPr="0053567F">
        <w:rPr>
          <w:rFonts w:ascii="Times New Roman" w:eastAsia="標楷體" w:hAnsi="Times New Roman" w:hint="eastAsia"/>
          <w:color w:val="0D0D0D"/>
          <w:sz w:val="26"/>
          <w:szCs w:val="26"/>
          <w:u w:val="single"/>
        </w:rPr>
        <w:t>，</w:t>
      </w:r>
      <w:r w:rsidRPr="0053567F">
        <w:rPr>
          <w:rFonts w:ascii="Times New Roman" w:eastAsia="標楷體" w:hAnsi="Times New Roman"/>
          <w:color w:val="0D0D0D"/>
          <w:sz w:val="26"/>
          <w:szCs w:val="26"/>
        </w:rPr>
        <w:t>亦同。</w:t>
      </w:r>
    </w:p>
    <w:sectPr w:rsidR="0053567F" w:rsidRPr="0053567F" w:rsidSect="00952FB8">
      <w:footerReference w:type="even" r:id="rId8"/>
      <w:footerReference w:type="default" r:id="rId9"/>
      <w:pgSz w:w="11907" w:h="16839" w:code="9"/>
      <w:pgMar w:top="1440" w:right="1588" w:bottom="1440" w:left="1588" w:header="0" w:footer="748" w:gutter="0"/>
      <w:pgNumType w:start="1"/>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56" w:rsidRDefault="00485456">
      <w:r>
        <w:separator/>
      </w:r>
    </w:p>
  </w:endnote>
  <w:endnote w:type="continuationSeparator" w:id="0">
    <w:p w:rsidR="00485456" w:rsidRDefault="0048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04" w:rsidRDefault="008F2847" w:rsidP="00743299">
    <w:pPr>
      <w:pStyle w:val="a5"/>
      <w:framePr w:wrap="around" w:vAnchor="text" w:hAnchor="margin" w:xAlign="center" w:y="1"/>
      <w:rPr>
        <w:rStyle w:val="a7"/>
      </w:rPr>
    </w:pPr>
    <w:r>
      <w:rPr>
        <w:rStyle w:val="a7"/>
      </w:rPr>
      <w:fldChar w:fldCharType="begin"/>
    </w:r>
    <w:r w:rsidR="00527404">
      <w:rPr>
        <w:rStyle w:val="a7"/>
      </w:rPr>
      <w:instrText xml:space="preserve">PAGE  </w:instrText>
    </w:r>
    <w:r>
      <w:rPr>
        <w:rStyle w:val="a7"/>
      </w:rPr>
      <w:fldChar w:fldCharType="end"/>
    </w:r>
  </w:p>
  <w:p w:rsidR="00527404" w:rsidRDefault="005274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9129"/>
      <w:docPartObj>
        <w:docPartGallery w:val="Page Numbers (Bottom of Page)"/>
        <w:docPartUnique/>
      </w:docPartObj>
    </w:sdtPr>
    <w:sdtEndPr/>
    <w:sdtContent>
      <w:p w:rsidR="00952AFE" w:rsidRDefault="003737A0">
        <w:pPr>
          <w:pStyle w:val="a5"/>
          <w:jc w:val="center"/>
        </w:pPr>
        <w:r>
          <w:fldChar w:fldCharType="begin"/>
        </w:r>
        <w:r>
          <w:instrText xml:space="preserve"> PAGE   \* MERGEFORMAT </w:instrText>
        </w:r>
        <w:r>
          <w:fldChar w:fldCharType="separate"/>
        </w:r>
        <w:r w:rsidR="002E5BDC" w:rsidRPr="002E5BDC">
          <w:rPr>
            <w:noProof/>
            <w:lang w:val="zh-TW"/>
          </w:rPr>
          <w:t>1</w:t>
        </w:r>
        <w:r>
          <w:rPr>
            <w:noProof/>
            <w:lang w:val="zh-TW"/>
          </w:rPr>
          <w:fldChar w:fldCharType="end"/>
        </w:r>
      </w:p>
    </w:sdtContent>
  </w:sdt>
  <w:p w:rsidR="00527404" w:rsidRDefault="005274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56" w:rsidRDefault="00485456">
      <w:r>
        <w:separator/>
      </w:r>
    </w:p>
  </w:footnote>
  <w:footnote w:type="continuationSeparator" w:id="0">
    <w:p w:rsidR="00485456" w:rsidRDefault="00485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F44"/>
    <w:multiLevelType w:val="hybridMultilevel"/>
    <w:tmpl w:val="1EF28A62"/>
    <w:lvl w:ilvl="0" w:tplc="E9DAF622">
      <w:start w:val="1"/>
      <w:numFmt w:val="ideographDigital"/>
      <w:lvlText w:val="（%1）"/>
      <w:lvlJc w:val="left"/>
      <w:pPr>
        <w:tabs>
          <w:tab w:val="num" w:pos="2520"/>
        </w:tabs>
        <w:ind w:left="25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EB000D"/>
    <w:multiLevelType w:val="hybridMultilevel"/>
    <w:tmpl w:val="0682F86A"/>
    <w:lvl w:ilvl="0" w:tplc="E9DAF622">
      <w:start w:val="1"/>
      <w:numFmt w:val="ideographDigital"/>
      <w:lvlText w:val="（%1）"/>
      <w:lvlJc w:val="left"/>
      <w:pPr>
        <w:tabs>
          <w:tab w:val="num" w:pos="1046"/>
        </w:tabs>
        <w:ind w:left="1046" w:hanging="480"/>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AE313E"/>
    <w:multiLevelType w:val="hybridMultilevel"/>
    <w:tmpl w:val="8B34EDDA"/>
    <w:lvl w:ilvl="0" w:tplc="F880E286">
      <w:start w:val="1"/>
      <w:numFmt w:val="decimal"/>
      <w:lvlText w:val="%1、"/>
      <w:lvlJc w:val="left"/>
      <w:pPr>
        <w:ind w:left="480" w:hanging="480"/>
      </w:pPr>
      <w:rPr>
        <w:rFonts w:eastAsia="標楷體"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240B0"/>
    <w:multiLevelType w:val="hybridMultilevel"/>
    <w:tmpl w:val="B6E4C6EC"/>
    <w:lvl w:ilvl="0" w:tplc="ECEA637C">
      <w:start w:val="1"/>
      <w:numFmt w:val="decimal"/>
      <w:lvlText w:val="（%1）"/>
      <w:lvlJc w:val="left"/>
      <w:pPr>
        <w:tabs>
          <w:tab w:val="num" w:pos="1727"/>
        </w:tabs>
        <w:ind w:left="1727" w:hanging="480"/>
      </w:pPr>
      <w:rPr>
        <w:rFonts w:hint="eastAsia"/>
        <w:b w:val="0"/>
        <w:i w:val="0"/>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8F3F32"/>
    <w:multiLevelType w:val="hybridMultilevel"/>
    <w:tmpl w:val="42AE7FDA"/>
    <w:lvl w:ilvl="0" w:tplc="E9DAF622">
      <w:start w:val="1"/>
      <w:numFmt w:val="ideographDigital"/>
      <w:lvlText w:val="（%1）"/>
      <w:lvlJc w:val="left"/>
      <w:pPr>
        <w:tabs>
          <w:tab w:val="num" w:pos="1046"/>
        </w:tabs>
        <w:ind w:left="1046" w:hanging="480"/>
      </w:pPr>
      <w:rPr>
        <w:rFonts w:hint="eastAsia"/>
      </w:rPr>
    </w:lvl>
    <w:lvl w:ilvl="1" w:tplc="04090019" w:tentative="1">
      <w:start w:val="1"/>
      <w:numFmt w:val="ideographTraditional"/>
      <w:lvlText w:val="%2、"/>
      <w:lvlJc w:val="left"/>
      <w:pPr>
        <w:tabs>
          <w:tab w:val="num" w:pos="279"/>
        </w:tabs>
        <w:ind w:left="279" w:hanging="480"/>
      </w:pPr>
    </w:lvl>
    <w:lvl w:ilvl="2" w:tplc="0409001B" w:tentative="1">
      <w:start w:val="1"/>
      <w:numFmt w:val="lowerRoman"/>
      <w:lvlText w:val="%3."/>
      <w:lvlJc w:val="right"/>
      <w:pPr>
        <w:tabs>
          <w:tab w:val="num" w:pos="759"/>
        </w:tabs>
        <w:ind w:left="759" w:hanging="480"/>
      </w:pPr>
    </w:lvl>
    <w:lvl w:ilvl="3" w:tplc="0409000F" w:tentative="1">
      <w:start w:val="1"/>
      <w:numFmt w:val="decimal"/>
      <w:lvlText w:val="%4."/>
      <w:lvlJc w:val="left"/>
      <w:pPr>
        <w:tabs>
          <w:tab w:val="num" w:pos="1239"/>
        </w:tabs>
        <w:ind w:left="1239" w:hanging="480"/>
      </w:pPr>
    </w:lvl>
    <w:lvl w:ilvl="4" w:tplc="04090019" w:tentative="1">
      <w:start w:val="1"/>
      <w:numFmt w:val="ideographTraditional"/>
      <w:lvlText w:val="%5、"/>
      <w:lvlJc w:val="left"/>
      <w:pPr>
        <w:tabs>
          <w:tab w:val="num" w:pos="1719"/>
        </w:tabs>
        <w:ind w:left="1719" w:hanging="480"/>
      </w:pPr>
    </w:lvl>
    <w:lvl w:ilvl="5" w:tplc="0409001B" w:tentative="1">
      <w:start w:val="1"/>
      <w:numFmt w:val="lowerRoman"/>
      <w:lvlText w:val="%6."/>
      <w:lvlJc w:val="right"/>
      <w:pPr>
        <w:tabs>
          <w:tab w:val="num" w:pos="2199"/>
        </w:tabs>
        <w:ind w:left="2199" w:hanging="480"/>
      </w:pPr>
    </w:lvl>
    <w:lvl w:ilvl="6" w:tplc="0409000F" w:tentative="1">
      <w:start w:val="1"/>
      <w:numFmt w:val="decimal"/>
      <w:lvlText w:val="%7."/>
      <w:lvlJc w:val="left"/>
      <w:pPr>
        <w:tabs>
          <w:tab w:val="num" w:pos="2679"/>
        </w:tabs>
        <w:ind w:left="2679" w:hanging="480"/>
      </w:pPr>
    </w:lvl>
    <w:lvl w:ilvl="7" w:tplc="04090019" w:tentative="1">
      <w:start w:val="1"/>
      <w:numFmt w:val="ideographTraditional"/>
      <w:lvlText w:val="%8、"/>
      <w:lvlJc w:val="left"/>
      <w:pPr>
        <w:tabs>
          <w:tab w:val="num" w:pos="3159"/>
        </w:tabs>
        <w:ind w:left="3159" w:hanging="480"/>
      </w:pPr>
    </w:lvl>
    <w:lvl w:ilvl="8" w:tplc="0409001B" w:tentative="1">
      <w:start w:val="1"/>
      <w:numFmt w:val="lowerRoman"/>
      <w:lvlText w:val="%9."/>
      <w:lvlJc w:val="right"/>
      <w:pPr>
        <w:tabs>
          <w:tab w:val="num" w:pos="3639"/>
        </w:tabs>
        <w:ind w:left="3639" w:hanging="480"/>
      </w:pPr>
    </w:lvl>
  </w:abstractNum>
  <w:abstractNum w:abstractNumId="5" w15:restartNumberingAfterBreak="0">
    <w:nsid w:val="0EF9215E"/>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0FEA2E2F"/>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7" w15:restartNumberingAfterBreak="0">
    <w:nsid w:val="102A550E"/>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15A80B4B"/>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9" w15:restartNumberingAfterBreak="0">
    <w:nsid w:val="1F4D74CD"/>
    <w:multiLevelType w:val="hybridMultilevel"/>
    <w:tmpl w:val="91CCB518"/>
    <w:lvl w:ilvl="0" w:tplc="9B0A459C">
      <w:start w:val="1"/>
      <w:numFmt w:val="decimal"/>
      <w:lvlText w:val="（%1）"/>
      <w:lvlJc w:val="left"/>
      <w:pPr>
        <w:tabs>
          <w:tab w:val="num" w:pos="1731"/>
        </w:tabs>
        <w:ind w:left="1731" w:hanging="480"/>
      </w:pPr>
      <w:rPr>
        <w:rFonts w:hint="eastAsia"/>
        <w:b w:val="0"/>
        <w:i w:val="0"/>
        <w:color w:val="auto"/>
        <w:sz w:val="28"/>
        <w:szCs w:val="28"/>
        <w:u w:val="none"/>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10" w15:restartNumberingAfterBreak="0">
    <w:nsid w:val="28CF5937"/>
    <w:multiLevelType w:val="hybridMultilevel"/>
    <w:tmpl w:val="91CCB518"/>
    <w:lvl w:ilvl="0" w:tplc="9B0A459C">
      <w:start w:val="1"/>
      <w:numFmt w:val="decimal"/>
      <w:lvlText w:val="（%1）"/>
      <w:lvlJc w:val="left"/>
      <w:pPr>
        <w:tabs>
          <w:tab w:val="num" w:pos="1731"/>
        </w:tabs>
        <w:ind w:left="1731" w:hanging="480"/>
      </w:pPr>
      <w:rPr>
        <w:rFonts w:hint="eastAsia"/>
        <w:b w:val="0"/>
        <w:i w:val="0"/>
        <w:color w:val="auto"/>
        <w:sz w:val="28"/>
        <w:szCs w:val="28"/>
        <w:u w:val="none"/>
      </w:rPr>
    </w:lvl>
    <w:lvl w:ilvl="1" w:tplc="04090019">
      <w:start w:val="1"/>
      <w:numFmt w:val="ideographTraditional"/>
      <w:lvlText w:val="%2、"/>
      <w:lvlJc w:val="left"/>
      <w:pPr>
        <w:tabs>
          <w:tab w:val="num" w:pos="964"/>
        </w:tabs>
        <w:ind w:left="964" w:hanging="480"/>
      </w:pPr>
    </w:lvl>
    <w:lvl w:ilvl="2" w:tplc="0409001B" w:tentative="1">
      <w:start w:val="1"/>
      <w:numFmt w:val="lowerRoman"/>
      <w:lvlText w:val="%3."/>
      <w:lvlJc w:val="right"/>
      <w:pPr>
        <w:tabs>
          <w:tab w:val="num" w:pos="1444"/>
        </w:tabs>
        <w:ind w:left="1444" w:hanging="480"/>
      </w:pPr>
    </w:lvl>
    <w:lvl w:ilvl="3" w:tplc="0409000F" w:tentative="1">
      <w:start w:val="1"/>
      <w:numFmt w:val="decimal"/>
      <w:lvlText w:val="%4."/>
      <w:lvlJc w:val="left"/>
      <w:pPr>
        <w:tabs>
          <w:tab w:val="num" w:pos="1924"/>
        </w:tabs>
        <w:ind w:left="1924" w:hanging="480"/>
      </w:pPr>
    </w:lvl>
    <w:lvl w:ilvl="4" w:tplc="04090019" w:tentative="1">
      <w:start w:val="1"/>
      <w:numFmt w:val="ideographTraditional"/>
      <w:lvlText w:val="%5、"/>
      <w:lvlJc w:val="left"/>
      <w:pPr>
        <w:tabs>
          <w:tab w:val="num" w:pos="2404"/>
        </w:tabs>
        <w:ind w:left="2404" w:hanging="480"/>
      </w:pPr>
    </w:lvl>
    <w:lvl w:ilvl="5" w:tplc="0409001B" w:tentative="1">
      <w:start w:val="1"/>
      <w:numFmt w:val="lowerRoman"/>
      <w:lvlText w:val="%6."/>
      <w:lvlJc w:val="right"/>
      <w:pPr>
        <w:tabs>
          <w:tab w:val="num" w:pos="2884"/>
        </w:tabs>
        <w:ind w:left="2884" w:hanging="480"/>
      </w:pPr>
    </w:lvl>
    <w:lvl w:ilvl="6" w:tplc="0409000F" w:tentative="1">
      <w:start w:val="1"/>
      <w:numFmt w:val="decimal"/>
      <w:lvlText w:val="%7."/>
      <w:lvlJc w:val="left"/>
      <w:pPr>
        <w:tabs>
          <w:tab w:val="num" w:pos="3364"/>
        </w:tabs>
        <w:ind w:left="3364" w:hanging="480"/>
      </w:pPr>
    </w:lvl>
    <w:lvl w:ilvl="7" w:tplc="04090019" w:tentative="1">
      <w:start w:val="1"/>
      <w:numFmt w:val="ideographTraditional"/>
      <w:lvlText w:val="%8、"/>
      <w:lvlJc w:val="left"/>
      <w:pPr>
        <w:tabs>
          <w:tab w:val="num" w:pos="3844"/>
        </w:tabs>
        <w:ind w:left="3844" w:hanging="480"/>
      </w:pPr>
    </w:lvl>
    <w:lvl w:ilvl="8" w:tplc="0409001B" w:tentative="1">
      <w:start w:val="1"/>
      <w:numFmt w:val="lowerRoman"/>
      <w:lvlText w:val="%9."/>
      <w:lvlJc w:val="right"/>
      <w:pPr>
        <w:tabs>
          <w:tab w:val="num" w:pos="4324"/>
        </w:tabs>
        <w:ind w:left="4324" w:hanging="480"/>
      </w:pPr>
    </w:lvl>
  </w:abstractNum>
  <w:abstractNum w:abstractNumId="11" w15:restartNumberingAfterBreak="0">
    <w:nsid w:val="28FE5F7B"/>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002B3C"/>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13" w15:restartNumberingAfterBreak="0">
    <w:nsid w:val="376F501B"/>
    <w:multiLevelType w:val="hybridMultilevel"/>
    <w:tmpl w:val="8AE63226"/>
    <w:lvl w:ilvl="0" w:tplc="6EE01428">
      <w:start w:val="1"/>
      <w:numFmt w:val="taiwaneseCountingThousand"/>
      <w:lvlText w:val="(%1)"/>
      <w:lvlJc w:val="left"/>
      <w:pPr>
        <w:ind w:left="1134" w:hanging="567"/>
      </w:pPr>
      <w:rPr>
        <w:rFonts w:hint="eastAsia"/>
      </w:rPr>
    </w:lvl>
    <w:lvl w:ilvl="1" w:tplc="04090019">
      <w:start w:val="1"/>
      <w:numFmt w:val="ideographTraditional"/>
      <w:lvlText w:val="%2、"/>
      <w:lvlJc w:val="left"/>
      <w:pPr>
        <w:ind w:left="960" w:hanging="480"/>
      </w:pPr>
    </w:lvl>
    <w:lvl w:ilvl="2" w:tplc="DD54954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E32C5B"/>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38F0059C"/>
    <w:multiLevelType w:val="hybridMultilevel"/>
    <w:tmpl w:val="CB062408"/>
    <w:lvl w:ilvl="0" w:tplc="E9DAF622">
      <w:start w:val="1"/>
      <w:numFmt w:val="ideographDigital"/>
      <w:lvlText w:val="（%1）"/>
      <w:lvlJc w:val="left"/>
      <w:pPr>
        <w:tabs>
          <w:tab w:val="num" w:pos="906"/>
        </w:tabs>
        <w:ind w:left="906" w:hanging="480"/>
      </w:pPr>
      <w:rPr>
        <w:rFonts w:hint="eastAsia"/>
      </w:rPr>
    </w:lvl>
    <w:lvl w:ilvl="1" w:tplc="04090019" w:tentative="1">
      <w:start w:val="1"/>
      <w:numFmt w:val="ideographTraditional"/>
      <w:lvlText w:val="%2、"/>
      <w:lvlJc w:val="left"/>
      <w:pPr>
        <w:tabs>
          <w:tab w:val="num" w:pos="279"/>
        </w:tabs>
        <w:ind w:left="279" w:hanging="480"/>
      </w:pPr>
    </w:lvl>
    <w:lvl w:ilvl="2" w:tplc="0409001B" w:tentative="1">
      <w:start w:val="1"/>
      <w:numFmt w:val="lowerRoman"/>
      <w:lvlText w:val="%3."/>
      <w:lvlJc w:val="right"/>
      <w:pPr>
        <w:tabs>
          <w:tab w:val="num" w:pos="759"/>
        </w:tabs>
        <w:ind w:left="759" w:hanging="480"/>
      </w:pPr>
    </w:lvl>
    <w:lvl w:ilvl="3" w:tplc="0409000F" w:tentative="1">
      <w:start w:val="1"/>
      <w:numFmt w:val="decimal"/>
      <w:lvlText w:val="%4."/>
      <w:lvlJc w:val="left"/>
      <w:pPr>
        <w:tabs>
          <w:tab w:val="num" w:pos="1239"/>
        </w:tabs>
        <w:ind w:left="1239" w:hanging="480"/>
      </w:pPr>
    </w:lvl>
    <w:lvl w:ilvl="4" w:tplc="04090019" w:tentative="1">
      <w:start w:val="1"/>
      <w:numFmt w:val="ideographTraditional"/>
      <w:lvlText w:val="%5、"/>
      <w:lvlJc w:val="left"/>
      <w:pPr>
        <w:tabs>
          <w:tab w:val="num" w:pos="1719"/>
        </w:tabs>
        <w:ind w:left="1719" w:hanging="480"/>
      </w:pPr>
    </w:lvl>
    <w:lvl w:ilvl="5" w:tplc="0409001B" w:tentative="1">
      <w:start w:val="1"/>
      <w:numFmt w:val="lowerRoman"/>
      <w:lvlText w:val="%6."/>
      <w:lvlJc w:val="right"/>
      <w:pPr>
        <w:tabs>
          <w:tab w:val="num" w:pos="2199"/>
        </w:tabs>
        <w:ind w:left="2199" w:hanging="480"/>
      </w:pPr>
    </w:lvl>
    <w:lvl w:ilvl="6" w:tplc="0409000F" w:tentative="1">
      <w:start w:val="1"/>
      <w:numFmt w:val="decimal"/>
      <w:lvlText w:val="%7."/>
      <w:lvlJc w:val="left"/>
      <w:pPr>
        <w:tabs>
          <w:tab w:val="num" w:pos="2679"/>
        </w:tabs>
        <w:ind w:left="2679" w:hanging="480"/>
      </w:pPr>
    </w:lvl>
    <w:lvl w:ilvl="7" w:tplc="04090019" w:tentative="1">
      <w:start w:val="1"/>
      <w:numFmt w:val="ideographTraditional"/>
      <w:lvlText w:val="%8、"/>
      <w:lvlJc w:val="left"/>
      <w:pPr>
        <w:tabs>
          <w:tab w:val="num" w:pos="3159"/>
        </w:tabs>
        <w:ind w:left="3159" w:hanging="480"/>
      </w:pPr>
    </w:lvl>
    <w:lvl w:ilvl="8" w:tplc="0409001B" w:tentative="1">
      <w:start w:val="1"/>
      <w:numFmt w:val="lowerRoman"/>
      <w:lvlText w:val="%9."/>
      <w:lvlJc w:val="right"/>
      <w:pPr>
        <w:tabs>
          <w:tab w:val="num" w:pos="3639"/>
        </w:tabs>
        <w:ind w:left="3639" w:hanging="480"/>
      </w:pPr>
    </w:lvl>
  </w:abstractNum>
  <w:abstractNum w:abstractNumId="16" w15:restartNumberingAfterBreak="0">
    <w:nsid w:val="39CB611E"/>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17" w15:restartNumberingAfterBreak="0">
    <w:nsid w:val="3C0A042C"/>
    <w:multiLevelType w:val="hybridMultilevel"/>
    <w:tmpl w:val="9A866B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BF00AF"/>
    <w:multiLevelType w:val="hybridMultilevel"/>
    <w:tmpl w:val="2F648312"/>
    <w:lvl w:ilvl="0" w:tplc="DF5452D6">
      <w:start w:val="1"/>
      <w:numFmt w:val="ideographDigital"/>
      <w:lvlText w:val="（%1）"/>
      <w:lvlJc w:val="left"/>
      <w:pPr>
        <w:tabs>
          <w:tab w:val="num" w:pos="640"/>
        </w:tabs>
        <w:ind w:left="640" w:hanging="480"/>
      </w:pPr>
      <w:rPr>
        <w:rFonts w:hint="eastAsia"/>
        <w:u w:val="none"/>
      </w:rPr>
    </w:lvl>
    <w:lvl w:ilvl="1" w:tplc="04090019">
      <w:start w:val="1"/>
      <w:numFmt w:val="ideographTraditional"/>
      <w:lvlText w:val="%2、"/>
      <w:lvlJc w:val="left"/>
      <w:pPr>
        <w:tabs>
          <w:tab w:val="num" w:pos="1120"/>
        </w:tabs>
        <w:ind w:left="1120" w:hanging="480"/>
      </w:pPr>
    </w:lvl>
    <w:lvl w:ilvl="2" w:tplc="0409001B">
      <w:start w:val="1"/>
      <w:numFmt w:val="lowerRoman"/>
      <w:lvlText w:val="%3."/>
      <w:lvlJc w:val="right"/>
      <w:pPr>
        <w:tabs>
          <w:tab w:val="num" w:pos="1600"/>
        </w:tabs>
        <w:ind w:left="1600" w:hanging="480"/>
      </w:pPr>
    </w:lvl>
    <w:lvl w:ilvl="3" w:tplc="0409000F">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19" w15:restartNumberingAfterBreak="0">
    <w:nsid w:val="46EF13FF"/>
    <w:multiLevelType w:val="hybridMultilevel"/>
    <w:tmpl w:val="9788BDD0"/>
    <w:lvl w:ilvl="0" w:tplc="04B276B4">
      <w:start w:val="1"/>
      <w:numFmt w:val="decimal"/>
      <w:lvlText w:val="%1、"/>
      <w:lvlJc w:val="left"/>
      <w:pPr>
        <w:tabs>
          <w:tab w:val="num" w:pos="1474"/>
        </w:tabs>
        <w:ind w:left="1474"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4A560308"/>
    <w:multiLevelType w:val="hybridMultilevel"/>
    <w:tmpl w:val="FD368D10"/>
    <w:lvl w:ilvl="0" w:tplc="04B276B4">
      <w:start w:val="1"/>
      <w:numFmt w:val="decimal"/>
      <w:lvlText w:val="%1、"/>
      <w:lvlJc w:val="left"/>
      <w:pPr>
        <w:tabs>
          <w:tab w:val="num" w:pos="1474"/>
        </w:tabs>
        <w:ind w:left="1474"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1" w15:restartNumberingAfterBreak="0">
    <w:nsid w:val="4B0C6331"/>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15:restartNumberingAfterBreak="0">
    <w:nsid w:val="4F6519B0"/>
    <w:multiLevelType w:val="hybridMultilevel"/>
    <w:tmpl w:val="779C2646"/>
    <w:lvl w:ilvl="0" w:tplc="9B0A459C">
      <w:start w:val="1"/>
      <w:numFmt w:val="decimal"/>
      <w:lvlText w:val="（%1）"/>
      <w:lvlJc w:val="left"/>
      <w:pPr>
        <w:tabs>
          <w:tab w:val="num" w:pos="1727"/>
        </w:tabs>
        <w:ind w:left="1727" w:hanging="480"/>
      </w:pPr>
      <w:rPr>
        <w:rFonts w:hint="eastAsia"/>
        <w:b w:val="0"/>
        <w:i w:val="0"/>
        <w:color w:val="auto"/>
        <w:sz w:val="28"/>
        <w:szCs w:val="28"/>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F941D84"/>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BE2D49"/>
    <w:multiLevelType w:val="hybridMultilevel"/>
    <w:tmpl w:val="B896DBFA"/>
    <w:lvl w:ilvl="0" w:tplc="89701F8C">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59EA38B8"/>
    <w:multiLevelType w:val="hybridMultilevel"/>
    <w:tmpl w:val="59BCE726"/>
    <w:lvl w:ilvl="0" w:tplc="1C7AE7BE">
      <w:start w:val="1"/>
      <w:numFmt w:val="taiwaneseCountingThousand"/>
      <w:lvlText w:val="（%1）"/>
      <w:lvlJc w:val="left"/>
      <w:pPr>
        <w:ind w:left="2062" w:hanging="864"/>
      </w:pPr>
      <w:rPr>
        <w:rFonts w:hint="default"/>
        <w:lang w:val="en-US"/>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26" w15:restartNumberingAfterBreak="0">
    <w:nsid w:val="5AB520EB"/>
    <w:multiLevelType w:val="hybridMultilevel"/>
    <w:tmpl w:val="1EF28A62"/>
    <w:lvl w:ilvl="0" w:tplc="E9DAF622">
      <w:start w:val="1"/>
      <w:numFmt w:val="ideographDigital"/>
      <w:lvlText w:val="（%1）"/>
      <w:lvlJc w:val="left"/>
      <w:pPr>
        <w:tabs>
          <w:tab w:val="num" w:pos="2520"/>
        </w:tabs>
        <w:ind w:left="25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B4A6C89"/>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5B068E9"/>
    <w:multiLevelType w:val="hybridMultilevel"/>
    <w:tmpl w:val="FFB67DD0"/>
    <w:lvl w:ilvl="0" w:tplc="E9DAF622">
      <w:start w:val="1"/>
      <w:numFmt w:val="ideographDigital"/>
      <w:lvlText w:val="（%1）"/>
      <w:lvlJc w:val="left"/>
      <w:pPr>
        <w:tabs>
          <w:tab w:val="num" w:pos="1727"/>
        </w:tabs>
        <w:ind w:left="172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1164B3"/>
    <w:multiLevelType w:val="hybridMultilevel"/>
    <w:tmpl w:val="0854C74A"/>
    <w:lvl w:ilvl="0" w:tplc="0F34819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15:restartNumberingAfterBreak="0">
    <w:nsid w:val="6A2F5763"/>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1" w15:restartNumberingAfterBreak="0">
    <w:nsid w:val="6B404D26"/>
    <w:multiLevelType w:val="hybridMultilevel"/>
    <w:tmpl w:val="F014C5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BA15C9C"/>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33" w15:restartNumberingAfterBreak="0">
    <w:nsid w:val="6C594E76"/>
    <w:multiLevelType w:val="hybridMultilevel"/>
    <w:tmpl w:val="7038A504"/>
    <w:lvl w:ilvl="0" w:tplc="0668171C">
      <w:start w:val="1"/>
      <w:numFmt w:val="taiwaneseCountingThousand"/>
      <w:lvlText w:val="%1、"/>
      <w:lvlJc w:val="left"/>
      <w:pPr>
        <w:ind w:left="1286" w:hanging="720"/>
      </w:pPr>
      <w:rPr>
        <w:rFonts w:ascii="Times New Roman" w:hint="default"/>
        <w:u w:val="single"/>
      </w:rPr>
    </w:lvl>
    <w:lvl w:ilvl="1" w:tplc="28FE0BBA">
      <w:start w:val="1"/>
      <w:numFmt w:val="decimal"/>
      <w:lvlText w:val="%2、"/>
      <w:lvlJc w:val="left"/>
      <w:pPr>
        <w:tabs>
          <w:tab w:val="num" w:pos="1474"/>
        </w:tabs>
        <w:ind w:left="1474" w:hanging="623"/>
      </w:pPr>
      <w:rPr>
        <w:rFonts w:ascii="Times New Roman" w:eastAsia="新細明體" w:hAnsi="Times New Roman" w:cs="Times New Roman" w:hint="eastAsia"/>
        <w:sz w:val="28"/>
        <w:szCs w:val="28"/>
        <w:u w:val="none"/>
      </w:rPr>
    </w:lvl>
    <w:lvl w:ilvl="2" w:tplc="D570CC64">
      <w:start w:val="1"/>
      <w:numFmt w:val="decimal"/>
      <w:lvlText w:val="%3、"/>
      <w:lvlJc w:val="left"/>
      <w:pPr>
        <w:ind w:left="2006" w:hanging="480"/>
      </w:pPr>
      <w:rPr>
        <w:rFonts w:eastAsia="標楷體" w:hint="eastAsia"/>
        <w:b w:val="0"/>
        <w:i w:val="0"/>
        <w:color w:val="auto"/>
        <w:sz w:val="28"/>
        <w:szCs w:val="28"/>
        <w:u w:val="none"/>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6CE25BB7"/>
    <w:multiLevelType w:val="hybridMultilevel"/>
    <w:tmpl w:val="9788BDD0"/>
    <w:lvl w:ilvl="0" w:tplc="04B276B4">
      <w:start w:val="1"/>
      <w:numFmt w:val="decimal"/>
      <w:lvlText w:val="%1、"/>
      <w:lvlJc w:val="left"/>
      <w:pPr>
        <w:tabs>
          <w:tab w:val="num" w:pos="1780"/>
        </w:tabs>
        <w:ind w:left="1780"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2117" w:hanging="480"/>
      </w:pPr>
    </w:lvl>
    <w:lvl w:ilvl="2" w:tplc="0409001B" w:tentative="1">
      <w:start w:val="1"/>
      <w:numFmt w:val="lowerRoman"/>
      <w:lvlText w:val="%3."/>
      <w:lvlJc w:val="right"/>
      <w:pPr>
        <w:ind w:left="2597" w:hanging="480"/>
      </w:pPr>
    </w:lvl>
    <w:lvl w:ilvl="3" w:tplc="0409000F" w:tentative="1">
      <w:start w:val="1"/>
      <w:numFmt w:val="decimal"/>
      <w:lvlText w:val="%4."/>
      <w:lvlJc w:val="left"/>
      <w:pPr>
        <w:ind w:left="3077" w:hanging="480"/>
      </w:pPr>
    </w:lvl>
    <w:lvl w:ilvl="4" w:tplc="04090019" w:tentative="1">
      <w:start w:val="1"/>
      <w:numFmt w:val="ideographTraditional"/>
      <w:lvlText w:val="%5、"/>
      <w:lvlJc w:val="left"/>
      <w:pPr>
        <w:ind w:left="3557" w:hanging="480"/>
      </w:pPr>
    </w:lvl>
    <w:lvl w:ilvl="5" w:tplc="0409001B" w:tentative="1">
      <w:start w:val="1"/>
      <w:numFmt w:val="lowerRoman"/>
      <w:lvlText w:val="%6."/>
      <w:lvlJc w:val="right"/>
      <w:pPr>
        <w:ind w:left="4037" w:hanging="480"/>
      </w:pPr>
    </w:lvl>
    <w:lvl w:ilvl="6" w:tplc="0409000F" w:tentative="1">
      <w:start w:val="1"/>
      <w:numFmt w:val="decimal"/>
      <w:lvlText w:val="%7."/>
      <w:lvlJc w:val="left"/>
      <w:pPr>
        <w:ind w:left="4517" w:hanging="480"/>
      </w:pPr>
    </w:lvl>
    <w:lvl w:ilvl="7" w:tplc="04090019" w:tentative="1">
      <w:start w:val="1"/>
      <w:numFmt w:val="ideographTraditional"/>
      <w:lvlText w:val="%8、"/>
      <w:lvlJc w:val="left"/>
      <w:pPr>
        <w:ind w:left="4997" w:hanging="480"/>
      </w:pPr>
    </w:lvl>
    <w:lvl w:ilvl="8" w:tplc="0409001B" w:tentative="1">
      <w:start w:val="1"/>
      <w:numFmt w:val="lowerRoman"/>
      <w:lvlText w:val="%9."/>
      <w:lvlJc w:val="right"/>
      <w:pPr>
        <w:ind w:left="5477" w:hanging="480"/>
      </w:pPr>
    </w:lvl>
  </w:abstractNum>
  <w:abstractNum w:abstractNumId="35" w15:restartNumberingAfterBreak="0">
    <w:nsid w:val="70F66C7D"/>
    <w:multiLevelType w:val="hybridMultilevel"/>
    <w:tmpl w:val="8AE63226"/>
    <w:lvl w:ilvl="0" w:tplc="6EE01428">
      <w:start w:val="1"/>
      <w:numFmt w:val="taiwaneseCountingThousand"/>
      <w:lvlText w:val="(%1)"/>
      <w:lvlJc w:val="left"/>
      <w:pPr>
        <w:ind w:left="1134" w:hanging="567"/>
      </w:pPr>
      <w:rPr>
        <w:rFonts w:hint="eastAsia"/>
      </w:rPr>
    </w:lvl>
    <w:lvl w:ilvl="1" w:tplc="04090019">
      <w:start w:val="1"/>
      <w:numFmt w:val="ideographTraditional"/>
      <w:lvlText w:val="%2、"/>
      <w:lvlJc w:val="left"/>
      <w:pPr>
        <w:ind w:left="960" w:hanging="480"/>
      </w:pPr>
    </w:lvl>
    <w:lvl w:ilvl="2" w:tplc="DD54954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2E45BFC"/>
    <w:multiLevelType w:val="hybridMultilevel"/>
    <w:tmpl w:val="851AB286"/>
    <w:lvl w:ilvl="0" w:tplc="5ACE0670">
      <w:start w:val="1"/>
      <w:numFmt w:val="taiwaneseCountingThousand"/>
      <w:lvlText w:val="（%1）"/>
      <w:lvlJc w:val="left"/>
      <w:pPr>
        <w:ind w:left="1080" w:hanging="480"/>
      </w:pPr>
      <w:rPr>
        <w:rFonts w:hint="eastAsia"/>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44B27D0"/>
    <w:multiLevelType w:val="hybridMultilevel"/>
    <w:tmpl w:val="32D44A4C"/>
    <w:lvl w:ilvl="0" w:tplc="97565C44">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8" w15:restartNumberingAfterBreak="0">
    <w:nsid w:val="75C55D3D"/>
    <w:multiLevelType w:val="hybridMultilevel"/>
    <w:tmpl w:val="851AB286"/>
    <w:lvl w:ilvl="0" w:tplc="5ACE0670">
      <w:start w:val="1"/>
      <w:numFmt w:val="taiwaneseCountingThousand"/>
      <w:lvlText w:val="（%1）"/>
      <w:lvlJc w:val="left"/>
      <w:pPr>
        <w:ind w:left="1080" w:hanging="480"/>
      </w:pPr>
      <w:rPr>
        <w:rFonts w:hint="eastAsia"/>
        <w:u w:val="non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9" w15:restartNumberingAfterBreak="0">
    <w:nsid w:val="7C080E48"/>
    <w:multiLevelType w:val="hybridMultilevel"/>
    <w:tmpl w:val="65108B54"/>
    <w:lvl w:ilvl="0" w:tplc="04B276B4">
      <w:start w:val="1"/>
      <w:numFmt w:val="decimal"/>
      <w:lvlText w:val="%1、"/>
      <w:lvlJc w:val="left"/>
      <w:pPr>
        <w:tabs>
          <w:tab w:val="num" w:pos="1474"/>
        </w:tabs>
        <w:ind w:left="1474" w:hanging="623"/>
      </w:pPr>
      <w:rPr>
        <w:rFonts w:ascii="Times New Roman" w:eastAsia="新細明體" w:hAnsi="Times New Roman" w:cs="Times New Roman" w:hint="eastAsia"/>
        <w:sz w:val="28"/>
        <w:szCs w:val="28"/>
        <w:u w:val="none"/>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15:restartNumberingAfterBreak="0">
    <w:nsid w:val="7C726DF4"/>
    <w:multiLevelType w:val="hybridMultilevel"/>
    <w:tmpl w:val="B896DBFA"/>
    <w:lvl w:ilvl="0" w:tplc="89701F8C">
      <w:start w:val="1"/>
      <w:numFmt w:val="taiwaneseCountingThousand"/>
      <w:lvlText w:val="（%1）"/>
      <w:lvlJc w:val="left"/>
      <w:pPr>
        <w:ind w:left="3458" w:hanging="480"/>
      </w:pPr>
      <w:rPr>
        <w:rFonts w:hint="eastAsia"/>
        <w:u w:val="none"/>
      </w:rPr>
    </w:lvl>
    <w:lvl w:ilvl="1" w:tplc="04090019" w:tentative="1">
      <w:start w:val="1"/>
      <w:numFmt w:val="ideographTraditional"/>
      <w:lvlText w:val="%2、"/>
      <w:lvlJc w:val="left"/>
      <w:pPr>
        <w:ind w:left="3938" w:hanging="480"/>
      </w:pPr>
    </w:lvl>
    <w:lvl w:ilvl="2" w:tplc="0409001B" w:tentative="1">
      <w:start w:val="1"/>
      <w:numFmt w:val="lowerRoman"/>
      <w:lvlText w:val="%3."/>
      <w:lvlJc w:val="right"/>
      <w:pPr>
        <w:ind w:left="4418" w:hanging="480"/>
      </w:pPr>
    </w:lvl>
    <w:lvl w:ilvl="3" w:tplc="0409000F" w:tentative="1">
      <w:start w:val="1"/>
      <w:numFmt w:val="decimal"/>
      <w:lvlText w:val="%4."/>
      <w:lvlJc w:val="left"/>
      <w:pPr>
        <w:ind w:left="4898" w:hanging="480"/>
      </w:pPr>
    </w:lvl>
    <w:lvl w:ilvl="4" w:tplc="04090019" w:tentative="1">
      <w:start w:val="1"/>
      <w:numFmt w:val="ideographTraditional"/>
      <w:lvlText w:val="%5、"/>
      <w:lvlJc w:val="left"/>
      <w:pPr>
        <w:ind w:left="5378" w:hanging="480"/>
      </w:pPr>
    </w:lvl>
    <w:lvl w:ilvl="5" w:tplc="0409001B" w:tentative="1">
      <w:start w:val="1"/>
      <w:numFmt w:val="lowerRoman"/>
      <w:lvlText w:val="%6."/>
      <w:lvlJc w:val="right"/>
      <w:pPr>
        <w:ind w:left="5858" w:hanging="480"/>
      </w:pPr>
    </w:lvl>
    <w:lvl w:ilvl="6" w:tplc="0409000F" w:tentative="1">
      <w:start w:val="1"/>
      <w:numFmt w:val="decimal"/>
      <w:lvlText w:val="%7."/>
      <w:lvlJc w:val="left"/>
      <w:pPr>
        <w:ind w:left="6338" w:hanging="480"/>
      </w:pPr>
    </w:lvl>
    <w:lvl w:ilvl="7" w:tplc="04090019" w:tentative="1">
      <w:start w:val="1"/>
      <w:numFmt w:val="ideographTraditional"/>
      <w:lvlText w:val="%8、"/>
      <w:lvlJc w:val="left"/>
      <w:pPr>
        <w:ind w:left="6818" w:hanging="480"/>
      </w:pPr>
    </w:lvl>
    <w:lvl w:ilvl="8" w:tplc="0409001B" w:tentative="1">
      <w:start w:val="1"/>
      <w:numFmt w:val="lowerRoman"/>
      <w:lvlText w:val="%9."/>
      <w:lvlJc w:val="right"/>
      <w:pPr>
        <w:ind w:left="7298" w:hanging="480"/>
      </w:pPr>
    </w:lvl>
  </w:abstractNum>
  <w:abstractNum w:abstractNumId="41" w15:restartNumberingAfterBreak="0">
    <w:nsid w:val="7F2B7B1F"/>
    <w:multiLevelType w:val="hybridMultilevel"/>
    <w:tmpl w:val="B896DBFA"/>
    <w:lvl w:ilvl="0" w:tplc="89701F8C">
      <w:start w:val="1"/>
      <w:numFmt w:val="taiwaneseCountingThousand"/>
      <w:lvlText w:val="（%1）"/>
      <w:lvlJc w:val="left"/>
      <w:pPr>
        <w:ind w:left="1046" w:hanging="480"/>
      </w:pPr>
      <w:rPr>
        <w:rFonts w:hint="eastAsia"/>
        <w:u w:val="none"/>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33"/>
  </w:num>
  <w:num w:numId="2">
    <w:abstractNumId w:val="1"/>
  </w:num>
  <w:num w:numId="3">
    <w:abstractNumId w:val="18"/>
  </w:num>
  <w:num w:numId="4">
    <w:abstractNumId w:val="32"/>
  </w:num>
  <w:num w:numId="5">
    <w:abstractNumId w:val="22"/>
  </w:num>
  <w:num w:numId="6">
    <w:abstractNumId w:val="20"/>
  </w:num>
  <w:num w:numId="7">
    <w:abstractNumId w:val="9"/>
  </w:num>
  <w:num w:numId="8">
    <w:abstractNumId w:val="39"/>
  </w:num>
  <w:num w:numId="9">
    <w:abstractNumId w:val="2"/>
  </w:num>
  <w:num w:numId="10">
    <w:abstractNumId w:val="28"/>
  </w:num>
  <w:num w:numId="11">
    <w:abstractNumId w:val="26"/>
  </w:num>
  <w:num w:numId="12">
    <w:abstractNumId w:val="4"/>
  </w:num>
  <w:num w:numId="13">
    <w:abstractNumId w:val="15"/>
  </w:num>
  <w:num w:numId="14">
    <w:abstractNumId w:val="0"/>
  </w:num>
  <w:num w:numId="15">
    <w:abstractNumId w:val="19"/>
  </w:num>
  <w:num w:numId="16">
    <w:abstractNumId w:val="38"/>
  </w:num>
  <w:num w:numId="17">
    <w:abstractNumId w:val="24"/>
  </w:num>
  <w:num w:numId="18">
    <w:abstractNumId w:val="3"/>
  </w:num>
  <w:num w:numId="19">
    <w:abstractNumId w:val="29"/>
  </w:num>
  <w:num w:numId="20">
    <w:abstractNumId w:val="37"/>
  </w:num>
  <w:num w:numId="21">
    <w:abstractNumId w:val="30"/>
  </w:num>
  <w:num w:numId="22">
    <w:abstractNumId w:val="21"/>
  </w:num>
  <w:num w:numId="23">
    <w:abstractNumId w:val="5"/>
  </w:num>
  <w:num w:numId="24">
    <w:abstractNumId w:val="7"/>
  </w:num>
  <w:num w:numId="25">
    <w:abstractNumId w:val="14"/>
  </w:num>
  <w:num w:numId="26">
    <w:abstractNumId w:val="16"/>
  </w:num>
  <w:num w:numId="27">
    <w:abstractNumId w:val="8"/>
  </w:num>
  <w:num w:numId="28">
    <w:abstractNumId w:val="6"/>
  </w:num>
  <w:num w:numId="29">
    <w:abstractNumId w:val="34"/>
  </w:num>
  <w:num w:numId="30">
    <w:abstractNumId w:val="10"/>
  </w:num>
  <w:num w:numId="31">
    <w:abstractNumId w:val="12"/>
  </w:num>
  <w:num w:numId="32">
    <w:abstractNumId w:val="40"/>
  </w:num>
  <w:num w:numId="33">
    <w:abstractNumId w:val="36"/>
  </w:num>
  <w:num w:numId="34">
    <w:abstractNumId w:val="41"/>
  </w:num>
  <w:num w:numId="35">
    <w:abstractNumId w:val="25"/>
  </w:num>
  <w:num w:numId="36">
    <w:abstractNumId w:val="17"/>
  </w:num>
  <w:num w:numId="37">
    <w:abstractNumId w:val="31"/>
  </w:num>
  <w:num w:numId="38">
    <w:abstractNumId w:val="23"/>
  </w:num>
  <w:num w:numId="39">
    <w:abstractNumId w:val="11"/>
  </w:num>
  <w:num w:numId="40">
    <w:abstractNumId w:val="27"/>
  </w:num>
  <w:num w:numId="41">
    <w:abstractNumId w:val="35"/>
  </w:num>
  <w:num w:numId="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361"/>
  <w:displayHorizontalDrawingGridEvery w:val="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30A5"/>
    <w:rsid w:val="00004488"/>
    <w:rsid w:val="00011349"/>
    <w:rsid w:val="000114D1"/>
    <w:rsid w:val="00014D26"/>
    <w:rsid w:val="00015A5C"/>
    <w:rsid w:val="00017563"/>
    <w:rsid w:val="00020FFA"/>
    <w:rsid w:val="00025615"/>
    <w:rsid w:val="00030CB7"/>
    <w:rsid w:val="00030F2A"/>
    <w:rsid w:val="0003196A"/>
    <w:rsid w:val="00032FDF"/>
    <w:rsid w:val="00033359"/>
    <w:rsid w:val="00034A80"/>
    <w:rsid w:val="000364EE"/>
    <w:rsid w:val="0003710C"/>
    <w:rsid w:val="00040CAB"/>
    <w:rsid w:val="00040ED3"/>
    <w:rsid w:val="00041ED6"/>
    <w:rsid w:val="00042BF6"/>
    <w:rsid w:val="00043060"/>
    <w:rsid w:val="000462EB"/>
    <w:rsid w:val="0004680E"/>
    <w:rsid w:val="0004796F"/>
    <w:rsid w:val="00050AFD"/>
    <w:rsid w:val="000537A9"/>
    <w:rsid w:val="00057E0B"/>
    <w:rsid w:val="00060637"/>
    <w:rsid w:val="00063AD5"/>
    <w:rsid w:val="0006643E"/>
    <w:rsid w:val="00070DA5"/>
    <w:rsid w:val="00071152"/>
    <w:rsid w:val="000713D9"/>
    <w:rsid w:val="00071998"/>
    <w:rsid w:val="00071D7A"/>
    <w:rsid w:val="00074B07"/>
    <w:rsid w:val="00074E79"/>
    <w:rsid w:val="000764C0"/>
    <w:rsid w:val="00077A0B"/>
    <w:rsid w:val="00081AFF"/>
    <w:rsid w:val="000820E8"/>
    <w:rsid w:val="00082FFA"/>
    <w:rsid w:val="00084CFC"/>
    <w:rsid w:val="00086E30"/>
    <w:rsid w:val="000905A5"/>
    <w:rsid w:val="000955DF"/>
    <w:rsid w:val="00096C69"/>
    <w:rsid w:val="00096E38"/>
    <w:rsid w:val="000A1515"/>
    <w:rsid w:val="000A2B1E"/>
    <w:rsid w:val="000A3440"/>
    <w:rsid w:val="000A35A6"/>
    <w:rsid w:val="000A3E23"/>
    <w:rsid w:val="000A4329"/>
    <w:rsid w:val="000A4332"/>
    <w:rsid w:val="000A55BC"/>
    <w:rsid w:val="000A6647"/>
    <w:rsid w:val="000B14CA"/>
    <w:rsid w:val="000B330B"/>
    <w:rsid w:val="000B63CD"/>
    <w:rsid w:val="000B7E11"/>
    <w:rsid w:val="000C1A47"/>
    <w:rsid w:val="000C2E11"/>
    <w:rsid w:val="000C2F6F"/>
    <w:rsid w:val="000C3E21"/>
    <w:rsid w:val="000C5A07"/>
    <w:rsid w:val="000D023E"/>
    <w:rsid w:val="000D3DD2"/>
    <w:rsid w:val="000D52D6"/>
    <w:rsid w:val="000D745C"/>
    <w:rsid w:val="000E10B0"/>
    <w:rsid w:val="000E3004"/>
    <w:rsid w:val="000E53A7"/>
    <w:rsid w:val="000F3E01"/>
    <w:rsid w:val="000F4353"/>
    <w:rsid w:val="000F593A"/>
    <w:rsid w:val="000F607E"/>
    <w:rsid w:val="000F6A7F"/>
    <w:rsid w:val="001045E3"/>
    <w:rsid w:val="00105A78"/>
    <w:rsid w:val="00110699"/>
    <w:rsid w:val="001122C1"/>
    <w:rsid w:val="00112591"/>
    <w:rsid w:val="0011310E"/>
    <w:rsid w:val="00114BF5"/>
    <w:rsid w:val="0012045D"/>
    <w:rsid w:val="00122116"/>
    <w:rsid w:val="00122831"/>
    <w:rsid w:val="00127AD8"/>
    <w:rsid w:val="001329EC"/>
    <w:rsid w:val="00133316"/>
    <w:rsid w:val="00136F76"/>
    <w:rsid w:val="00137765"/>
    <w:rsid w:val="001410B1"/>
    <w:rsid w:val="001412D1"/>
    <w:rsid w:val="00143CBC"/>
    <w:rsid w:val="00144D43"/>
    <w:rsid w:val="00145342"/>
    <w:rsid w:val="00145C2C"/>
    <w:rsid w:val="00146BC5"/>
    <w:rsid w:val="0014763F"/>
    <w:rsid w:val="00147C43"/>
    <w:rsid w:val="001516F8"/>
    <w:rsid w:val="00157231"/>
    <w:rsid w:val="0015766E"/>
    <w:rsid w:val="001616C4"/>
    <w:rsid w:val="0016192B"/>
    <w:rsid w:val="00161B50"/>
    <w:rsid w:val="0016203B"/>
    <w:rsid w:val="0016224E"/>
    <w:rsid w:val="0016405C"/>
    <w:rsid w:val="001649A9"/>
    <w:rsid w:val="00165BA9"/>
    <w:rsid w:val="00165C74"/>
    <w:rsid w:val="001665A9"/>
    <w:rsid w:val="001677BE"/>
    <w:rsid w:val="00171653"/>
    <w:rsid w:val="00175686"/>
    <w:rsid w:val="00175C4C"/>
    <w:rsid w:val="001760AC"/>
    <w:rsid w:val="00181DBF"/>
    <w:rsid w:val="00182323"/>
    <w:rsid w:val="0018398A"/>
    <w:rsid w:val="001851E8"/>
    <w:rsid w:val="00187549"/>
    <w:rsid w:val="0018763E"/>
    <w:rsid w:val="00191DAF"/>
    <w:rsid w:val="00191E63"/>
    <w:rsid w:val="0019520B"/>
    <w:rsid w:val="00195B73"/>
    <w:rsid w:val="001A1284"/>
    <w:rsid w:val="001A1B0F"/>
    <w:rsid w:val="001A20B2"/>
    <w:rsid w:val="001A4825"/>
    <w:rsid w:val="001A5087"/>
    <w:rsid w:val="001A5A32"/>
    <w:rsid w:val="001A627F"/>
    <w:rsid w:val="001B02BD"/>
    <w:rsid w:val="001B25C7"/>
    <w:rsid w:val="001B575C"/>
    <w:rsid w:val="001B60B5"/>
    <w:rsid w:val="001C14B0"/>
    <w:rsid w:val="001C1926"/>
    <w:rsid w:val="001C5236"/>
    <w:rsid w:val="001C6495"/>
    <w:rsid w:val="001C64B2"/>
    <w:rsid w:val="001C759B"/>
    <w:rsid w:val="001D09EF"/>
    <w:rsid w:val="001D1AF3"/>
    <w:rsid w:val="001D2EE9"/>
    <w:rsid w:val="001D5500"/>
    <w:rsid w:val="001D5556"/>
    <w:rsid w:val="001D7680"/>
    <w:rsid w:val="001E0E65"/>
    <w:rsid w:val="001E0EA8"/>
    <w:rsid w:val="001E2781"/>
    <w:rsid w:val="001E3A42"/>
    <w:rsid w:val="001E6913"/>
    <w:rsid w:val="001F065D"/>
    <w:rsid w:val="001F1FCA"/>
    <w:rsid w:val="001F487A"/>
    <w:rsid w:val="001F4D03"/>
    <w:rsid w:val="001F6747"/>
    <w:rsid w:val="0020097A"/>
    <w:rsid w:val="00201A17"/>
    <w:rsid w:val="00211304"/>
    <w:rsid w:val="00212177"/>
    <w:rsid w:val="002147EC"/>
    <w:rsid w:val="00216057"/>
    <w:rsid w:val="00216A26"/>
    <w:rsid w:val="00216B59"/>
    <w:rsid w:val="00222619"/>
    <w:rsid w:val="00225B0B"/>
    <w:rsid w:val="0022606F"/>
    <w:rsid w:val="00226566"/>
    <w:rsid w:val="0022683B"/>
    <w:rsid w:val="00227430"/>
    <w:rsid w:val="00231D02"/>
    <w:rsid w:val="0023238E"/>
    <w:rsid w:val="00237342"/>
    <w:rsid w:val="00242C03"/>
    <w:rsid w:val="002528DA"/>
    <w:rsid w:val="00252FB8"/>
    <w:rsid w:val="00253479"/>
    <w:rsid w:val="00253FFE"/>
    <w:rsid w:val="00255CA4"/>
    <w:rsid w:val="00257B05"/>
    <w:rsid w:val="00260B46"/>
    <w:rsid w:val="00261C0A"/>
    <w:rsid w:val="002636A2"/>
    <w:rsid w:val="00265C3E"/>
    <w:rsid w:val="00266225"/>
    <w:rsid w:val="002679B2"/>
    <w:rsid w:val="00271329"/>
    <w:rsid w:val="00272332"/>
    <w:rsid w:val="0027566E"/>
    <w:rsid w:val="002815BC"/>
    <w:rsid w:val="00281790"/>
    <w:rsid w:val="00281966"/>
    <w:rsid w:val="00284E8D"/>
    <w:rsid w:val="002855D6"/>
    <w:rsid w:val="00287F58"/>
    <w:rsid w:val="002919D6"/>
    <w:rsid w:val="00292858"/>
    <w:rsid w:val="002951BE"/>
    <w:rsid w:val="00296757"/>
    <w:rsid w:val="0029678F"/>
    <w:rsid w:val="00296F9B"/>
    <w:rsid w:val="002970F2"/>
    <w:rsid w:val="002A03D9"/>
    <w:rsid w:val="002A3B25"/>
    <w:rsid w:val="002A4501"/>
    <w:rsid w:val="002A5167"/>
    <w:rsid w:val="002A5624"/>
    <w:rsid w:val="002A5E62"/>
    <w:rsid w:val="002A6114"/>
    <w:rsid w:val="002A6DAD"/>
    <w:rsid w:val="002A7814"/>
    <w:rsid w:val="002B138F"/>
    <w:rsid w:val="002B24CF"/>
    <w:rsid w:val="002B3D30"/>
    <w:rsid w:val="002B42FA"/>
    <w:rsid w:val="002B573C"/>
    <w:rsid w:val="002B5A25"/>
    <w:rsid w:val="002C101D"/>
    <w:rsid w:val="002C18AA"/>
    <w:rsid w:val="002C6360"/>
    <w:rsid w:val="002C63F5"/>
    <w:rsid w:val="002C7210"/>
    <w:rsid w:val="002D1CB5"/>
    <w:rsid w:val="002D1E59"/>
    <w:rsid w:val="002D22B8"/>
    <w:rsid w:val="002D480D"/>
    <w:rsid w:val="002D4E39"/>
    <w:rsid w:val="002D565C"/>
    <w:rsid w:val="002D7557"/>
    <w:rsid w:val="002E3E41"/>
    <w:rsid w:val="002E423B"/>
    <w:rsid w:val="002E435F"/>
    <w:rsid w:val="002E5AB2"/>
    <w:rsid w:val="002E5BDC"/>
    <w:rsid w:val="002E6F0E"/>
    <w:rsid w:val="002F05A3"/>
    <w:rsid w:val="002F0A9F"/>
    <w:rsid w:val="002F42EE"/>
    <w:rsid w:val="00300D90"/>
    <w:rsid w:val="00301E86"/>
    <w:rsid w:val="003024F9"/>
    <w:rsid w:val="003028AB"/>
    <w:rsid w:val="00303A4E"/>
    <w:rsid w:val="00305EC6"/>
    <w:rsid w:val="0030762D"/>
    <w:rsid w:val="003126A3"/>
    <w:rsid w:val="00312ED3"/>
    <w:rsid w:val="003152E9"/>
    <w:rsid w:val="00315712"/>
    <w:rsid w:val="003167AD"/>
    <w:rsid w:val="0031739A"/>
    <w:rsid w:val="00317A9A"/>
    <w:rsid w:val="00322F63"/>
    <w:rsid w:val="0032305A"/>
    <w:rsid w:val="00324352"/>
    <w:rsid w:val="0032572E"/>
    <w:rsid w:val="00325C0F"/>
    <w:rsid w:val="003270DB"/>
    <w:rsid w:val="00331229"/>
    <w:rsid w:val="00334246"/>
    <w:rsid w:val="00334263"/>
    <w:rsid w:val="0033449E"/>
    <w:rsid w:val="003349E9"/>
    <w:rsid w:val="003349F9"/>
    <w:rsid w:val="00334DF6"/>
    <w:rsid w:val="00337CCB"/>
    <w:rsid w:val="003430D6"/>
    <w:rsid w:val="00343444"/>
    <w:rsid w:val="003436D4"/>
    <w:rsid w:val="00346AE9"/>
    <w:rsid w:val="0035273C"/>
    <w:rsid w:val="00352CDE"/>
    <w:rsid w:val="0035386F"/>
    <w:rsid w:val="003572BF"/>
    <w:rsid w:val="003572E4"/>
    <w:rsid w:val="003609EE"/>
    <w:rsid w:val="0036278C"/>
    <w:rsid w:val="00362E1B"/>
    <w:rsid w:val="00363A56"/>
    <w:rsid w:val="0036638E"/>
    <w:rsid w:val="0036717A"/>
    <w:rsid w:val="003673B3"/>
    <w:rsid w:val="003737A0"/>
    <w:rsid w:val="00373800"/>
    <w:rsid w:val="00374C75"/>
    <w:rsid w:val="00377430"/>
    <w:rsid w:val="00383B7E"/>
    <w:rsid w:val="003870E9"/>
    <w:rsid w:val="0039432D"/>
    <w:rsid w:val="003970C7"/>
    <w:rsid w:val="003978D6"/>
    <w:rsid w:val="003A2983"/>
    <w:rsid w:val="003B6029"/>
    <w:rsid w:val="003B73DF"/>
    <w:rsid w:val="003B75F5"/>
    <w:rsid w:val="003C022F"/>
    <w:rsid w:val="003C21C7"/>
    <w:rsid w:val="003C3376"/>
    <w:rsid w:val="003C3D83"/>
    <w:rsid w:val="003C4159"/>
    <w:rsid w:val="003C667C"/>
    <w:rsid w:val="003C69B9"/>
    <w:rsid w:val="003C7461"/>
    <w:rsid w:val="003D0CAC"/>
    <w:rsid w:val="003D364F"/>
    <w:rsid w:val="003D5420"/>
    <w:rsid w:val="003D57EE"/>
    <w:rsid w:val="003D736C"/>
    <w:rsid w:val="003D7EB8"/>
    <w:rsid w:val="003E1D19"/>
    <w:rsid w:val="003E239E"/>
    <w:rsid w:val="003E2DC4"/>
    <w:rsid w:val="003E46BF"/>
    <w:rsid w:val="003F080D"/>
    <w:rsid w:val="003F277C"/>
    <w:rsid w:val="003F6318"/>
    <w:rsid w:val="0040049D"/>
    <w:rsid w:val="004015BE"/>
    <w:rsid w:val="004024A5"/>
    <w:rsid w:val="0040354C"/>
    <w:rsid w:val="004036CB"/>
    <w:rsid w:val="004049A5"/>
    <w:rsid w:val="0040602C"/>
    <w:rsid w:val="004106BA"/>
    <w:rsid w:val="00410C2D"/>
    <w:rsid w:val="00414107"/>
    <w:rsid w:val="00414166"/>
    <w:rsid w:val="00414641"/>
    <w:rsid w:val="00416E55"/>
    <w:rsid w:val="004213FA"/>
    <w:rsid w:val="0042232E"/>
    <w:rsid w:val="00423794"/>
    <w:rsid w:val="00424B4B"/>
    <w:rsid w:val="004279A4"/>
    <w:rsid w:val="00430FB9"/>
    <w:rsid w:val="00432758"/>
    <w:rsid w:val="004342BD"/>
    <w:rsid w:val="00434857"/>
    <w:rsid w:val="00434D17"/>
    <w:rsid w:val="004368EE"/>
    <w:rsid w:val="0044175F"/>
    <w:rsid w:val="0044185A"/>
    <w:rsid w:val="00452133"/>
    <w:rsid w:val="00462567"/>
    <w:rsid w:val="004641F6"/>
    <w:rsid w:val="00466D7C"/>
    <w:rsid w:val="00466EF3"/>
    <w:rsid w:val="004673EE"/>
    <w:rsid w:val="00471933"/>
    <w:rsid w:val="00473C4B"/>
    <w:rsid w:val="00474549"/>
    <w:rsid w:val="00480174"/>
    <w:rsid w:val="00484BD7"/>
    <w:rsid w:val="00485456"/>
    <w:rsid w:val="004866B3"/>
    <w:rsid w:val="004869C4"/>
    <w:rsid w:val="00487E96"/>
    <w:rsid w:val="004911E1"/>
    <w:rsid w:val="00496348"/>
    <w:rsid w:val="00497E8A"/>
    <w:rsid w:val="004A0A7C"/>
    <w:rsid w:val="004A16EE"/>
    <w:rsid w:val="004A3BA5"/>
    <w:rsid w:val="004B183F"/>
    <w:rsid w:val="004B2575"/>
    <w:rsid w:val="004B35BE"/>
    <w:rsid w:val="004B779D"/>
    <w:rsid w:val="004C006F"/>
    <w:rsid w:val="004C2CCF"/>
    <w:rsid w:val="004C4029"/>
    <w:rsid w:val="004C56B9"/>
    <w:rsid w:val="004C7246"/>
    <w:rsid w:val="004D228A"/>
    <w:rsid w:val="004E08F1"/>
    <w:rsid w:val="004E3670"/>
    <w:rsid w:val="004E36C0"/>
    <w:rsid w:val="004E3FA4"/>
    <w:rsid w:val="004E4753"/>
    <w:rsid w:val="004E4C36"/>
    <w:rsid w:val="004E64CA"/>
    <w:rsid w:val="004E7B82"/>
    <w:rsid w:val="004F0588"/>
    <w:rsid w:val="004F074A"/>
    <w:rsid w:val="004F0779"/>
    <w:rsid w:val="004F3D5C"/>
    <w:rsid w:val="004F5472"/>
    <w:rsid w:val="004F6113"/>
    <w:rsid w:val="005011F4"/>
    <w:rsid w:val="0050510C"/>
    <w:rsid w:val="00511302"/>
    <w:rsid w:val="00511A57"/>
    <w:rsid w:val="00512534"/>
    <w:rsid w:val="00515DDD"/>
    <w:rsid w:val="00516ED3"/>
    <w:rsid w:val="005209B9"/>
    <w:rsid w:val="00523BAB"/>
    <w:rsid w:val="00523D5B"/>
    <w:rsid w:val="00523F8E"/>
    <w:rsid w:val="00524DFB"/>
    <w:rsid w:val="00527404"/>
    <w:rsid w:val="00531F96"/>
    <w:rsid w:val="00531FE7"/>
    <w:rsid w:val="00532809"/>
    <w:rsid w:val="005339CA"/>
    <w:rsid w:val="00533D91"/>
    <w:rsid w:val="0053567F"/>
    <w:rsid w:val="00536B3E"/>
    <w:rsid w:val="005370AF"/>
    <w:rsid w:val="00540CB6"/>
    <w:rsid w:val="00541A71"/>
    <w:rsid w:val="00541FCE"/>
    <w:rsid w:val="00542CC2"/>
    <w:rsid w:val="00546997"/>
    <w:rsid w:val="0054759C"/>
    <w:rsid w:val="005501A6"/>
    <w:rsid w:val="0055072C"/>
    <w:rsid w:val="005511CE"/>
    <w:rsid w:val="00553A50"/>
    <w:rsid w:val="00555916"/>
    <w:rsid w:val="00561B32"/>
    <w:rsid w:val="0056295D"/>
    <w:rsid w:val="00567537"/>
    <w:rsid w:val="00570536"/>
    <w:rsid w:val="00575ED1"/>
    <w:rsid w:val="00576307"/>
    <w:rsid w:val="00576CE3"/>
    <w:rsid w:val="00581FB2"/>
    <w:rsid w:val="00582D91"/>
    <w:rsid w:val="00584F73"/>
    <w:rsid w:val="00585B97"/>
    <w:rsid w:val="00585F4B"/>
    <w:rsid w:val="00587352"/>
    <w:rsid w:val="0059017A"/>
    <w:rsid w:val="00595D4C"/>
    <w:rsid w:val="00597472"/>
    <w:rsid w:val="00597F35"/>
    <w:rsid w:val="005A10C1"/>
    <w:rsid w:val="005A2188"/>
    <w:rsid w:val="005A26E5"/>
    <w:rsid w:val="005A391A"/>
    <w:rsid w:val="005A3D0D"/>
    <w:rsid w:val="005A42FF"/>
    <w:rsid w:val="005A4768"/>
    <w:rsid w:val="005A5454"/>
    <w:rsid w:val="005A5E7D"/>
    <w:rsid w:val="005A6255"/>
    <w:rsid w:val="005A69A6"/>
    <w:rsid w:val="005A7397"/>
    <w:rsid w:val="005B2C3E"/>
    <w:rsid w:val="005B7AB8"/>
    <w:rsid w:val="005C00AF"/>
    <w:rsid w:val="005C2943"/>
    <w:rsid w:val="005C330F"/>
    <w:rsid w:val="005C4172"/>
    <w:rsid w:val="005C699D"/>
    <w:rsid w:val="005C754B"/>
    <w:rsid w:val="005C7807"/>
    <w:rsid w:val="005C7D24"/>
    <w:rsid w:val="005D389D"/>
    <w:rsid w:val="005D49AA"/>
    <w:rsid w:val="005D5AEC"/>
    <w:rsid w:val="005D60D5"/>
    <w:rsid w:val="005E05CB"/>
    <w:rsid w:val="005E1312"/>
    <w:rsid w:val="005E5680"/>
    <w:rsid w:val="005E6270"/>
    <w:rsid w:val="005F2F87"/>
    <w:rsid w:val="005F573F"/>
    <w:rsid w:val="005F59A4"/>
    <w:rsid w:val="0060126C"/>
    <w:rsid w:val="00607C31"/>
    <w:rsid w:val="00621752"/>
    <w:rsid w:val="00621870"/>
    <w:rsid w:val="00621CD9"/>
    <w:rsid w:val="00622A91"/>
    <w:rsid w:val="00623D6D"/>
    <w:rsid w:val="00626145"/>
    <w:rsid w:val="00630E88"/>
    <w:rsid w:val="00631036"/>
    <w:rsid w:val="00633398"/>
    <w:rsid w:val="00634B9D"/>
    <w:rsid w:val="00635FB2"/>
    <w:rsid w:val="0063609B"/>
    <w:rsid w:val="00640286"/>
    <w:rsid w:val="00640BFE"/>
    <w:rsid w:val="00642D32"/>
    <w:rsid w:val="00643000"/>
    <w:rsid w:val="006553A3"/>
    <w:rsid w:val="006570DA"/>
    <w:rsid w:val="00657D3A"/>
    <w:rsid w:val="00660B12"/>
    <w:rsid w:val="00660D65"/>
    <w:rsid w:val="00661531"/>
    <w:rsid w:val="00661689"/>
    <w:rsid w:val="00661810"/>
    <w:rsid w:val="006644D4"/>
    <w:rsid w:val="00666380"/>
    <w:rsid w:val="00667785"/>
    <w:rsid w:val="00672C40"/>
    <w:rsid w:val="00674BEE"/>
    <w:rsid w:val="00675C70"/>
    <w:rsid w:val="006769F7"/>
    <w:rsid w:val="00677D7C"/>
    <w:rsid w:val="00683C89"/>
    <w:rsid w:val="00684367"/>
    <w:rsid w:val="00686422"/>
    <w:rsid w:val="00687615"/>
    <w:rsid w:val="00687837"/>
    <w:rsid w:val="00691662"/>
    <w:rsid w:val="006A6E67"/>
    <w:rsid w:val="006B1280"/>
    <w:rsid w:val="006B19F9"/>
    <w:rsid w:val="006B2CF0"/>
    <w:rsid w:val="006B344D"/>
    <w:rsid w:val="006C03F1"/>
    <w:rsid w:val="006C06C1"/>
    <w:rsid w:val="006C23BA"/>
    <w:rsid w:val="006C2861"/>
    <w:rsid w:val="006C4A90"/>
    <w:rsid w:val="006C4D06"/>
    <w:rsid w:val="006C6B5D"/>
    <w:rsid w:val="006C6FB9"/>
    <w:rsid w:val="006C7E1E"/>
    <w:rsid w:val="006D243A"/>
    <w:rsid w:val="006D262E"/>
    <w:rsid w:val="006D2891"/>
    <w:rsid w:val="006D4B42"/>
    <w:rsid w:val="006D4C6C"/>
    <w:rsid w:val="006D6502"/>
    <w:rsid w:val="006D76EE"/>
    <w:rsid w:val="006D7E07"/>
    <w:rsid w:val="006E048D"/>
    <w:rsid w:val="006E17BB"/>
    <w:rsid w:val="006E1DFA"/>
    <w:rsid w:val="006E35FA"/>
    <w:rsid w:val="006E520C"/>
    <w:rsid w:val="006E603A"/>
    <w:rsid w:val="006E6B4B"/>
    <w:rsid w:val="006E6FE8"/>
    <w:rsid w:val="006E7667"/>
    <w:rsid w:val="006F15EE"/>
    <w:rsid w:val="006F1E0F"/>
    <w:rsid w:val="006F1EED"/>
    <w:rsid w:val="006F43B2"/>
    <w:rsid w:val="006F4B4A"/>
    <w:rsid w:val="006F50C5"/>
    <w:rsid w:val="006F7573"/>
    <w:rsid w:val="006F7A3A"/>
    <w:rsid w:val="0070081C"/>
    <w:rsid w:val="00701093"/>
    <w:rsid w:val="00701849"/>
    <w:rsid w:val="0070234E"/>
    <w:rsid w:val="00703984"/>
    <w:rsid w:val="00704758"/>
    <w:rsid w:val="00704AD4"/>
    <w:rsid w:val="00706A98"/>
    <w:rsid w:val="00713D3D"/>
    <w:rsid w:val="00714A28"/>
    <w:rsid w:val="00715A3F"/>
    <w:rsid w:val="007203F0"/>
    <w:rsid w:val="007228E1"/>
    <w:rsid w:val="00723F41"/>
    <w:rsid w:val="007241AC"/>
    <w:rsid w:val="007266DD"/>
    <w:rsid w:val="00726B96"/>
    <w:rsid w:val="00727E2F"/>
    <w:rsid w:val="00730F87"/>
    <w:rsid w:val="007318F4"/>
    <w:rsid w:val="007349D1"/>
    <w:rsid w:val="007350DF"/>
    <w:rsid w:val="007375B8"/>
    <w:rsid w:val="0074232F"/>
    <w:rsid w:val="00743299"/>
    <w:rsid w:val="00743C1D"/>
    <w:rsid w:val="00744230"/>
    <w:rsid w:val="00746DE6"/>
    <w:rsid w:val="0074764D"/>
    <w:rsid w:val="0075127D"/>
    <w:rsid w:val="00751442"/>
    <w:rsid w:val="0075300D"/>
    <w:rsid w:val="0075379E"/>
    <w:rsid w:val="00754EA4"/>
    <w:rsid w:val="00755299"/>
    <w:rsid w:val="00755EB4"/>
    <w:rsid w:val="0075647B"/>
    <w:rsid w:val="00757517"/>
    <w:rsid w:val="0075798B"/>
    <w:rsid w:val="00760515"/>
    <w:rsid w:val="00760BBB"/>
    <w:rsid w:val="0076368A"/>
    <w:rsid w:val="0076762E"/>
    <w:rsid w:val="007677BF"/>
    <w:rsid w:val="00774331"/>
    <w:rsid w:val="00775459"/>
    <w:rsid w:val="0077601E"/>
    <w:rsid w:val="00776BFE"/>
    <w:rsid w:val="00777D8B"/>
    <w:rsid w:val="00781597"/>
    <w:rsid w:val="00781D46"/>
    <w:rsid w:val="00790420"/>
    <w:rsid w:val="00791FF0"/>
    <w:rsid w:val="00791FF8"/>
    <w:rsid w:val="00792050"/>
    <w:rsid w:val="0079257B"/>
    <w:rsid w:val="007934B5"/>
    <w:rsid w:val="00793952"/>
    <w:rsid w:val="00794251"/>
    <w:rsid w:val="00796F90"/>
    <w:rsid w:val="00797E3C"/>
    <w:rsid w:val="007A141F"/>
    <w:rsid w:val="007A1709"/>
    <w:rsid w:val="007A1CD8"/>
    <w:rsid w:val="007A3F69"/>
    <w:rsid w:val="007A6ED7"/>
    <w:rsid w:val="007B2134"/>
    <w:rsid w:val="007B518C"/>
    <w:rsid w:val="007B61F6"/>
    <w:rsid w:val="007B623E"/>
    <w:rsid w:val="007C1801"/>
    <w:rsid w:val="007C1DBF"/>
    <w:rsid w:val="007C20FF"/>
    <w:rsid w:val="007C23ED"/>
    <w:rsid w:val="007C4B6E"/>
    <w:rsid w:val="007C4E83"/>
    <w:rsid w:val="007C5D86"/>
    <w:rsid w:val="007C7D1D"/>
    <w:rsid w:val="007D314A"/>
    <w:rsid w:val="007D4806"/>
    <w:rsid w:val="007D6097"/>
    <w:rsid w:val="007D72C7"/>
    <w:rsid w:val="007E0645"/>
    <w:rsid w:val="007E219D"/>
    <w:rsid w:val="007E29AF"/>
    <w:rsid w:val="007E39AE"/>
    <w:rsid w:val="007F024C"/>
    <w:rsid w:val="007F0A5B"/>
    <w:rsid w:val="007F0A90"/>
    <w:rsid w:val="007F1305"/>
    <w:rsid w:val="007F464D"/>
    <w:rsid w:val="007F63E5"/>
    <w:rsid w:val="007F6B67"/>
    <w:rsid w:val="008007F4"/>
    <w:rsid w:val="008022B9"/>
    <w:rsid w:val="00806183"/>
    <w:rsid w:val="00807CE2"/>
    <w:rsid w:val="008129B8"/>
    <w:rsid w:val="00816E0F"/>
    <w:rsid w:val="008173A9"/>
    <w:rsid w:val="00817914"/>
    <w:rsid w:val="00820C54"/>
    <w:rsid w:val="00822682"/>
    <w:rsid w:val="00823EB6"/>
    <w:rsid w:val="00825BDD"/>
    <w:rsid w:val="008264AF"/>
    <w:rsid w:val="0083329F"/>
    <w:rsid w:val="00833C3F"/>
    <w:rsid w:val="008342E0"/>
    <w:rsid w:val="00837F39"/>
    <w:rsid w:val="008451A0"/>
    <w:rsid w:val="00845A69"/>
    <w:rsid w:val="00846075"/>
    <w:rsid w:val="00851263"/>
    <w:rsid w:val="00852DAD"/>
    <w:rsid w:val="00854866"/>
    <w:rsid w:val="00854AE5"/>
    <w:rsid w:val="00854CA4"/>
    <w:rsid w:val="00855173"/>
    <w:rsid w:val="008577D1"/>
    <w:rsid w:val="00857D45"/>
    <w:rsid w:val="00862FF0"/>
    <w:rsid w:val="00863F74"/>
    <w:rsid w:val="00871408"/>
    <w:rsid w:val="00873FF5"/>
    <w:rsid w:val="00875257"/>
    <w:rsid w:val="00876011"/>
    <w:rsid w:val="00876C8D"/>
    <w:rsid w:val="00877AC2"/>
    <w:rsid w:val="00882659"/>
    <w:rsid w:val="008843FE"/>
    <w:rsid w:val="00885176"/>
    <w:rsid w:val="00886B78"/>
    <w:rsid w:val="00893042"/>
    <w:rsid w:val="00894798"/>
    <w:rsid w:val="00894A82"/>
    <w:rsid w:val="008955DA"/>
    <w:rsid w:val="00897A47"/>
    <w:rsid w:val="008A290F"/>
    <w:rsid w:val="008A33BE"/>
    <w:rsid w:val="008A4284"/>
    <w:rsid w:val="008A45B5"/>
    <w:rsid w:val="008B0923"/>
    <w:rsid w:val="008B525A"/>
    <w:rsid w:val="008C03A5"/>
    <w:rsid w:val="008C3191"/>
    <w:rsid w:val="008C4E91"/>
    <w:rsid w:val="008C68DB"/>
    <w:rsid w:val="008C6D0B"/>
    <w:rsid w:val="008D5522"/>
    <w:rsid w:val="008D5B94"/>
    <w:rsid w:val="008D6BD4"/>
    <w:rsid w:val="008E15BC"/>
    <w:rsid w:val="008E18C0"/>
    <w:rsid w:val="008E18D2"/>
    <w:rsid w:val="008E2828"/>
    <w:rsid w:val="008E3801"/>
    <w:rsid w:val="008E4AC1"/>
    <w:rsid w:val="008E7FAE"/>
    <w:rsid w:val="008F0CCC"/>
    <w:rsid w:val="008F1DA7"/>
    <w:rsid w:val="008F2847"/>
    <w:rsid w:val="008F3067"/>
    <w:rsid w:val="008F3636"/>
    <w:rsid w:val="008F372A"/>
    <w:rsid w:val="008F45ED"/>
    <w:rsid w:val="008F76EB"/>
    <w:rsid w:val="0090063E"/>
    <w:rsid w:val="00903147"/>
    <w:rsid w:val="0090370D"/>
    <w:rsid w:val="00905F5E"/>
    <w:rsid w:val="0091034A"/>
    <w:rsid w:val="00910ED6"/>
    <w:rsid w:val="00911E09"/>
    <w:rsid w:val="00912196"/>
    <w:rsid w:val="0091410B"/>
    <w:rsid w:val="00917003"/>
    <w:rsid w:val="00921092"/>
    <w:rsid w:val="0092267A"/>
    <w:rsid w:val="00925220"/>
    <w:rsid w:val="00926F64"/>
    <w:rsid w:val="009276EB"/>
    <w:rsid w:val="0092773C"/>
    <w:rsid w:val="00930E5D"/>
    <w:rsid w:val="00931963"/>
    <w:rsid w:val="00936656"/>
    <w:rsid w:val="00937DAE"/>
    <w:rsid w:val="00941B8D"/>
    <w:rsid w:val="0094561D"/>
    <w:rsid w:val="00946483"/>
    <w:rsid w:val="009472F4"/>
    <w:rsid w:val="00947E38"/>
    <w:rsid w:val="00951334"/>
    <w:rsid w:val="00951A01"/>
    <w:rsid w:val="00952AFE"/>
    <w:rsid w:val="00952FB8"/>
    <w:rsid w:val="00954D58"/>
    <w:rsid w:val="00955D44"/>
    <w:rsid w:val="0095762A"/>
    <w:rsid w:val="00960B44"/>
    <w:rsid w:val="00961C76"/>
    <w:rsid w:val="009664C6"/>
    <w:rsid w:val="0097127C"/>
    <w:rsid w:val="00972C9C"/>
    <w:rsid w:val="00973BE6"/>
    <w:rsid w:val="00980D69"/>
    <w:rsid w:val="00983D75"/>
    <w:rsid w:val="00984BAC"/>
    <w:rsid w:val="00985609"/>
    <w:rsid w:val="00986C3F"/>
    <w:rsid w:val="00990DC5"/>
    <w:rsid w:val="00991540"/>
    <w:rsid w:val="00991B04"/>
    <w:rsid w:val="00991FB3"/>
    <w:rsid w:val="009927C9"/>
    <w:rsid w:val="00996BA1"/>
    <w:rsid w:val="009A1005"/>
    <w:rsid w:val="009A2208"/>
    <w:rsid w:val="009A3C43"/>
    <w:rsid w:val="009A3DCD"/>
    <w:rsid w:val="009A3F4F"/>
    <w:rsid w:val="009A64E8"/>
    <w:rsid w:val="009B0890"/>
    <w:rsid w:val="009B1007"/>
    <w:rsid w:val="009B1C14"/>
    <w:rsid w:val="009B4FDC"/>
    <w:rsid w:val="009B6058"/>
    <w:rsid w:val="009B701F"/>
    <w:rsid w:val="009C2AF3"/>
    <w:rsid w:val="009C5A43"/>
    <w:rsid w:val="009C6FA8"/>
    <w:rsid w:val="009C7A51"/>
    <w:rsid w:val="009D03CF"/>
    <w:rsid w:val="009D0DB7"/>
    <w:rsid w:val="009D11D2"/>
    <w:rsid w:val="009D4CE3"/>
    <w:rsid w:val="009D6844"/>
    <w:rsid w:val="009D6AC6"/>
    <w:rsid w:val="009E2430"/>
    <w:rsid w:val="009E37B2"/>
    <w:rsid w:val="009E4869"/>
    <w:rsid w:val="009E73E5"/>
    <w:rsid w:val="009E7A4A"/>
    <w:rsid w:val="009F04BC"/>
    <w:rsid w:val="009F0E56"/>
    <w:rsid w:val="009F1B34"/>
    <w:rsid w:val="009F369E"/>
    <w:rsid w:val="009F3B13"/>
    <w:rsid w:val="009F56D7"/>
    <w:rsid w:val="00A04585"/>
    <w:rsid w:val="00A070EF"/>
    <w:rsid w:val="00A1035F"/>
    <w:rsid w:val="00A10D57"/>
    <w:rsid w:val="00A11823"/>
    <w:rsid w:val="00A1225C"/>
    <w:rsid w:val="00A12553"/>
    <w:rsid w:val="00A13D4E"/>
    <w:rsid w:val="00A21789"/>
    <w:rsid w:val="00A23F8A"/>
    <w:rsid w:val="00A2465B"/>
    <w:rsid w:val="00A2650C"/>
    <w:rsid w:val="00A26E29"/>
    <w:rsid w:val="00A30EED"/>
    <w:rsid w:val="00A32038"/>
    <w:rsid w:val="00A34B97"/>
    <w:rsid w:val="00A355E7"/>
    <w:rsid w:val="00A41F8A"/>
    <w:rsid w:val="00A4234D"/>
    <w:rsid w:val="00A42ABB"/>
    <w:rsid w:val="00A43029"/>
    <w:rsid w:val="00A43439"/>
    <w:rsid w:val="00A50FD1"/>
    <w:rsid w:val="00A53EF8"/>
    <w:rsid w:val="00A55940"/>
    <w:rsid w:val="00A5641C"/>
    <w:rsid w:val="00A5672C"/>
    <w:rsid w:val="00A57C99"/>
    <w:rsid w:val="00A61421"/>
    <w:rsid w:val="00A64542"/>
    <w:rsid w:val="00A66099"/>
    <w:rsid w:val="00A700B6"/>
    <w:rsid w:val="00A7174E"/>
    <w:rsid w:val="00A71C7D"/>
    <w:rsid w:val="00A73502"/>
    <w:rsid w:val="00A758E3"/>
    <w:rsid w:val="00A812B8"/>
    <w:rsid w:val="00A81548"/>
    <w:rsid w:val="00A82B0D"/>
    <w:rsid w:val="00A832B4"/>
    <w:rsid w:val="00A84370"/>
    <w:rsid w:val="00A84F25"/>
    <w:rsid w:val="00A929AA"/>
    <w:rsid w:val="00A93160"/>
    <w:rsid w:val="00A94805"/>
    <w:rsid w:val="00A94D3D"/>
    <w:rsid w:val="00A95AA0"/>
    <w:rsid w:val="00A96A40"/>
    <w:rsid w:val="00A96EEB"/>
    <w:rsid w:val="00A9783B"/>
    <w:rsid w:val="00AA3798"/>
    <w:rsid w:val="00AA424E"/>
    <w:rsid w:val="00AA59D0"/>
    <w:rsid w:val="00AA78A6"/>
    <w:rsid w:val="00AB12FB"/>
    <w:rsid w:val="00AB5081"/>
    <w:rsid w:val="00AB525C"/>
    <w:rsid w:val="00AB6BA8"/>
    <w:rsid w:val="00AC0172"/>
    <w:rsid w:val="00AC1395"/>
    <w:rsid w:val="00AC1923"/>
    <w:rsid w:val="00AC195F"/>
    <w:rsid w:val="00AC43D5"/>
    <w:rsid w:val="00AC6E75"/>
    <w:rsid w:val="00AD0121"/>
    <w:rsid w:val="00AD0999"/>
    <w:rsid w:val="00AD216E"/>
    <w:rsid w:val="00AD4B04"/>
    <w:rsid w:val="00AD5ECE"/>
    <w:rsid w:val="00AD6867"/>
    <w:rsid w:val="00AD79B9"/>
    <w:rsid w:val="00AF1F29"/>
    <w:rsid w:val="00AF5FA0"/>
    <w:rsid w:val="00AF638D"/>
    <w:rsid w:val="00AF70FD"/>
    <w:rsid w:val="00AF789D"/>
    <w:rsid w:val="00B05AC3"/>
    <w:rsid w:val="00B05BFD"/>
    <w:rsid w:val="00B07785"/>
    <w:rsid w:val="00B108CD"/>
    <w:rsid w:val="00B10C84"/>
    <w:rsid w:val="00B118D2"/>
    <w:rsid w:val="00B13053"/>
    <w:rsid w:val="00B1334F"/>
    <w:rsid w:val="00B17808"/>
    <w:rsid w:val="00B20099"/>
    <w:rsid w:val="00B20134"/>
    <w:rsid w:val="00B21D94"/>
    <w:rsid w:val="00B22B10"/>
    <w:rsid w:val="00B27F72"/>
    <w:rsid w:val="00B327A6"/>
    <w:rsid w:val="00B327B1"/>
    <w:rsid w:val="00B32F13"/>
    <w:rsid w:val="00B33533"/>
    <w:rsid w:val="00B35A86"/>
    <w:rsid w:val="00B366B4"/>
    <w:rsid w:val="00B40DA0"/>
    <w:rsid w:val="00B41B57"/>
    <w:rsid w:val="00B41CE3"/>
    <w:rsid w:val="00B43AF4"/>
    <w:rsid w:val="00B44B49"/>
    <w:rsid w:val="00B47F99"/>
    <w:rsid w:val="00B53BDF"/>
    <w:rsid w:val="00B568D5"/>
    <w:rsid w:val="00B56D0C"/>
    <w:rsid w:val="00B60B2C"/>
    <w:rsid w:val="00B60FF6"/>
    <w:rsid w:val="00B61D91"/>
    <w:rsid w:val="00B630BC"/>
    <w:rsid w:val="00B638AE"/>
    <w:rsid w:val="00B66289"/>
    <w:rsid w:val="00B677DF"/>
    <w:rsid w:val="00B67EBC"/>
    <w:rsid w:val="00B705CC"/>
    <w:rsid w:val="00B7245B"/>
    <w:rsid w:val="00B730A5"/>
    <w:rsid w:val="00B73222"/>
    <w:rsid w:val="00B75765"/>
    <w:rsid w:val="00B75CEC"/>
    <w:rsid w:val="00B764E2"/>
    <w:rsid w:val="00B76F68"/>
    <w:rsid w:val="00B809CF"/>
    <w:rsid w:val="00B83F0F"/>
    <w:rsid w:val="00B86153"/>
    <w:rsid w:val="00B87065"/>
    <w:rsid w:val="00B8731F"/>
    <w:rsid w:val="00B90EF7"/>
    <w:rsid w:val="00B91328"/>
    <w:rsid w:val="00B91CF3"/>
    <w:rsid w:val="00B92A38"/>
    <w:rsid w:val="00B93411"/>
    <w:rsid w:val="00B93ECE"/>
    <w:rsid w:val="00B97C3C"/>
    <w:rsid w:val="00BA2080"/>
    <w:rsid w:val="00BA3D23"/>
    <w:rsid w:val="00BA536F"/>
    <w:rsid w:val="00BA7D9F"/>
    <w:rsid w:val="00BB1BA2"/>
    <w:rsid w:val="00BB2443"/>
    <w:rsid w:val="00BB625F"/>
    <w:rsid w:val="00BB6B95"/>
    <w:rsid w:val="00BB709E"/>
    <w:rsid w:val="00BB7199"/>
    <w:rsid w:val="00BC2FD2"/>
    <w:rsid w:val="00BC4AD3"/>
    <w:rsid w:val="00BC603C"/>
    <w:rsid w:val="00BC76F6"/>
    <w:rsid w:val="00BD0471"/>
    <w:rsid w:val="00BD0E03"/>
    <w:rsid w:val="00BD0F0A"/>
    <w:rsid w:val="00BD1194"/>
    <w:rsid w:val="00BD3204"/>
    <w:rsid w:val="00BD3386"/>
    <w:rsid w:val="00BD7503"/>
    <w:rsid w:val="00BE1BDD"/>
    <w:rsid w:val="00BE4AD2"/>
    <w:rsid w:val="00BE585F"/>
    <w:rsid w:val="00BE6F8C"/>
    <w:rsid w:val="00BE705B"/>
    <w:rsid w:val="00BE7D08"/>
    <w:rsid w:val="00BE7EBE"/>
    <w:rsid w:val="00BF0323"/>
    <w:rsid w:val="00BF0D89"/>
    <w:rsid w:val="00BF2517"/>
    <w:rsid w:val="00BF451B"/>
    <w:rsid w:val="00BF62D0"/>
    <w:rsid w:val="00BF6D53"/>
    <w:rsid w:val="00BF7902"/>
    <w:rsid w:val="00C00024"/>
    <w:rsid w:val="00C021FB"/>
    <w:rsid w:val="00C04F73"/>
    <w:rsid w:val="00C17739"/>
    <w:rsid w:val="00C21910"/>
    <w:rsid w:val="00C2222B"/>
    <w:rsid w:val="00C24044"/>
    <w:rsid w:val="00C2432E"/>
    <w:rsid w:val="00C25553"/>
    <w:rsid w:val="00C25E1E"/>
    <w:rsid w:val="00C2735A"/>
    <w:rsid w:val="00C306B9"/>
    <w:rsid w:val="00C3122A"/>
    <w:rsid w:val="00C33A79"/>
    <w:rsid w:val="00C36119"/>
    <w:rsid w:val="00C3701D"/>
    <w:rsid w:val="00C3796E"/>
    <w:rsid w:val="00C41560"/>
    <w:rsid w:val="00C437AC"/>
    <w:rsid w:val="00C44418"/>
    <w:rsid w:val="00C4641B"/>
    <w:rsid w:val="00C52016"/>
    <w:rsid w:val="00C52759"/>
    <w:rsid w:val="00C52CA0"/>
    <w:rsid w:val="00C60913"/>
    <w:rsid w:val="00C614BB"/>
    <w:rsid w:val="00C634FE"/>
    <w:rsid w:val="00C66A1E"/>
    <w:rsid w:val="00C66B69"/>
    <w:rsid w:val="00C67128"/>
    <w:rsid w:val="00C71309"/>
    <w:rsid w:val="00C73366"/>
    <w:rsid w:val="00C76894"/>
    <w:rsid w:val="00C77090"/>
    <w:rsid w:val="00C836BC"/>
    <w:rsid w:val="00C862C1"/>
    <w:rsid w:val="00C90758"/>
    <w:rsid w:val="00C90F1A"/>
    <w:rsid w:val="00C94A1D"/>
    <w:rsid w:val="00C9562E"/>
    <w:rsid w:val="00C96B57"/>
    <w:rsid w:val="00CA02FA"/>
    <w:rsid w:val="00CA0544"/>
    <w:rsid w:val="00CA35CF"/>
    <w:rsid w:val="00CA4520"/>
    <w:rsid w:val="00CA6739"/>
    <w:rsid w:val="00CA6ED8"/>
    <w:rsid w:val="00CB0205"/>
    <w:rsid w:val="00CB0FC2"/>
    <w:rsid w:val="00CB1D55"/>
    <w:rsid w:val="00CB28E6"/>
    <w:rsid w:val="00CB3AAF"/>
    <w:rsid w:val="00CB5A6B"/>
    <w:rsid w:val="00CB5F0B"/>
    <w:rsid w:val="00CB7293"/>
    <w:rsid w:val="00CC0157"/>
    <w:rsid w:val="00CC02D8"/>
    <w:rsid w:val="00CC20CB"/>
    <w:rsid w:val="00CC2704"/>
    <w:rsid w:val="00CC28BD"/>
    <w:rsid w:val="00CC35EE"/>
    <w:rsid w:val="00CC5888"/>
    <w:rsid w:val="00CC65FE"/>
    <w:rsid w:val="00CC6909"/>
    <w:rsid w:val="00CD03D5"/>
    <w:rsid w:val="00CD04DA"/>
    <w:rsid w:val="00CD3C0B"/>
    <w:rsid w:val="00CD4AAE"/>
    <w:rsid w:val="00CE002E"/>
    <w:rsid w:val="00CE19B0"/>
    <w:rsid w:val="00CE2BA7"/>
    <w:rsid w:val="00CE63ED"/>
    <w:rsid w:val="00CE6D34"/>
    <w:rsid w:val="00CF3CD6"/>
    <w:rsid w:val="00CF64C4"/>
    <w:rsid w:val="00CF73E3"/>
    <w:rsid w:val="00D00BC0"/>
    <w:rsid w:val="00D02011"/>
    <w:rsid w:val="00D0322B"/>
    <w:rsid w:val="00D10CB0"/>
    <w:rsid w:val="00D120FD"/>
    <w:rsid w:val="00D1439C"/>
    <w:rsid w:val="00D21164"/>
    <w:rsid w:val="00D24A78"/>
    <w:rsid w:val="00D27F94"/>
    <w:rsid w:val="00D31D8E"/>
    <w:rsid w:val="00D31F8A"/>
    <w:rsid w:val="00D3337B"/>
    <w:rsid w:val="00D3341F"/>
    <w:rsid w:val="00D356ED"/>
    <w:rsid w:val="00D4452B"/>
    <w:rsid w:val="00D5024E"/>
    <w:rsid w:val="00D5039B"/>
    <w:rsid w:val="00D52B50"/>
    <w:rsid w:val="00D53D57"/>
    <w:rsid w:val="00D5413F"/>
    <w:rsid w:val="00D61F96"/>
    <w:rsid w:val="00D63F87"/>
    <w:rsid w:val="00D71524"/>
    <w:rsid w:val="00D73C5F"/>
    <w:rsid w:val="00D76E77"/>
    <w:rsid w:val="00D82D77"/>
    <w:rsid w:val="00D83484"/>
    <w:rsid w:val="00D83A23"/>
    <w:rsid w:val="00D848CE"/>
    <w:rsid w:val="00D85CB9"/>
    <w:rsid w:val="00D860F0"/>
    <w:rsid w:val="00D879AA"/>
    <w:rsid w:val="00D90A0B"/>
    <w:rsid w:val="00D94C91"/>
    <w:rsid w:val="00D96068"/>
    <w:rsid w:val="00D97DFC"/>
    <w:rsid w:val="00DA2F91"/>
    <w:rsid w:val="00DA44C1"/>
    <w:rsid w:val="00DA7BEB"/>
    <w:rsid w:val="00DB1D0F"/>
    <w:rsid w:val="00DB4B60"/>
    <w:rsid w:val="00DB7F12"/>
    <w:rsid w:val="00DC025E"/>
    <w:rsid w:val="00DC0DAF"/>
    <w:rsid w:val="00DC2F45"/>
    <w:rsid w:val="00DC6F8C"/>
    <w:rsid w:val="00DC7985"/>
    <w:rsid w:val="00DD13EC"/>
    <w:rsid w:val="00DD194B"/>
    <w:rsid w:val="00DD3DEC"/>
    <w:rsid w:val="00DD48B5"/>
    <w:rsid w:val="00DD6097"/>
    <w:rsid w:val="00DD7E88"/>
    <w:rsid w:val="00DE200A"/>
    <w:rsid w:val="00DE21A1"/>
    <w:rsid w:val="00DE5C91"/>
    <w:rsid w:val="00DF0491"/>
    <w:rsid w:val="00DF3639"/>
    <w:rsid w:val="00DF50AC"/>
    <w:rsid w:val="00DF6F6F"/>
    <w:rsid w:val="00E02190"/>
    <w:rsid w:val="00E064B3"/>
    <w:rsid w:val="00E06F71"/>
    <w:rsid w:val="00E06F7F"/>
    <w:rsid w:val="00E10652"/>
    <w:rsid w:val="00E135B3"/>
    <w:rsid w:val="00E141ED"/>
    <w:rsid w:val="00E142AF"/>
    <w:rsid w:val="00E1550D"/>
    <w:rsid w:val="00E23E16"/>
    <w:rsid w:val="00E2409D"/>
    <w:rsid w:val="00E272EF"/>
    <w:rsid w:val="00E27C9B"/>
    <w:rsid w:val="00E308D1"/>
    <w:rsid w:val="00E3159D"/>
    <w:rsid w:val="00E35CC1"/>
    <w:rsid w:val="00E37826"/>
    <w:rsid w:val="00E43382"/>
    <w:rsid w:val="00E4628A"/>
    <w:rsid w:val="00E46CC0"/>
    <w:rsid w:val="00E51EEA"/>
    <w:rsid w:val="00E52E30"/>
    <w:rsid w:val="00E54212"/>
    <w:rsid w:val="00E54B5D"/>
    <w:rsid w:val="00E577F4"/>
    <w:rsid w:val="00E6196A"/>
    <w:rsid w:val="00E62AB4"/>
    <w:rsid w:val="00E62AB6"/>
    <w:rsid w:val="00E62DD6"/>
    <w:rsid w:val="00E648A9"/>
    <w:rsid w:val="00E64CE0"/>
    <w:rsid w:val="00E6513C"/>
    <w:rsid w:val="00E65C38"/>
    <w:rsid w:val="00E65EE0"/>
    <w:rsid w:val="00E67631"/>
    <w:rsid w:val="00E74607"/>
    <w:rsid w:val="00E80941"/>
    <w:rsid w:val="00E810D5"/>
    <w:rsid w:val="00E81FE9"/>
    <w:rsid w:val="00E87A14"/>
    <w:rsid w:val="00E90E7B"/>
    <w:rsid w:val="00E913BF"/>
    <w:rsid w:val="00E94E43"/>
    <w:rsid w:val="00EA167C"/>
    <w:rsid w:val="00EA28F3"/>
    <w:rsid w:val="00EA2904"/>
    <w:rsid w:val="00EA3A19"/>
    <w:rsid w:val="00EA3C30"/>
    <w:rsid w:val="00EA43D6"/>
    <w:rsid w:val="00EA4887"/>
    <w:rsid w:val="00EA4C59"/>
    <w:rsid w:val="00EA62EC"/>
    <w:rsid w:val="00EB0063"/>
    <w:rsid w:val="00EB0079"/>
    <w:rsid w:val="00EB01E3"/>
    <w:rsid w:val="00EB2217"/>
    <w:rsid w:val="00EB3864"/>
    <w:rsid w:val="00EB393A"/>
    <w:rsid w:val="00EB6AEE"/>
    <w:rsid w:val="00EC0AE9"/>
    <w:rsid w:val="00EC0B13"/>
    <w:rsid w:val="00EC2FD4"/>
    <w:rsid w:val="00EC624F"/>
    <w:rsid w:val="00ED00E9"/>
    <w:rsid w:val="00ED1536"/>
    <w:rsid w:val="00ED3EBE"/>
    <w:rsid w:val="00ED43B1"/>
    <w:rsid w:val="00ED49B2"/>
    <w:rsid w:val="00ED62D2"/>
    <w:rsid w:val="00EE0466"/>
    <w:rsid w:val="00EE1AC4"/>
    <w:rsid w:val="00EE2252"/>
    <w:rsid w:val="00EE288C"/>
    <w:rsid w:val="00EE2E22"/>
    <w:rsid w:val="00EE6376"/>
    <w:rsid w:val="00EF06DE"/>
    <w:rsid w:val="00EF1997"/>
    <w:rsid w:val="00EF2505"/>
    <w:rsid w:val="00EF35F7"/>
    <w:rsid w:val="00EF3A06"/>
    <w:rsid w:val="00EF3DA2"/>
    <w:rsid w:val="00EF76DF"/>
    <w:rsid w:val="00EF7F28"/>
    <w:rsid w:val="00F00AD1"/>
    <w:rsid w:val="00F053A4"/>
    <w:rsid w:val="00F072A7"/>
    <w:rsid w:val="00F121AD"/>
    <w:rsid w:val="00F12D15"/>
    <w:rsid w:val="00F149A9"/>
    <w:rsid w:val="00F1682C"/>
    <w:rsid w:val="00F204BE"/>
    <w:rsid w:val="00F23440"/>
    <w:rsid w:val="00F246DD"/>
    <w:rsid w:val="00F25C6B"/>
    <w:rsid w:val="00F33015"/>
    <w:rsid w:val="00F337A2"/>
    <w:rsid w:val="00F33C24"/>
    <w:rsid w:val="00F36EF3"/>
    <w:rsid w:val="00F37EEF"/>
    <w:rsid w:val="00F40C87"/>
    <w:rsid w:val="00F41317"/>
    <w:rsid w:val="00F4464E"/>
    <w:rsid w:val="00F50E01"/>
    <w:rsid w:val="00F54A8E"/>
    <w:rsid w:val="00F559AC"/>
    <w:rsid w:val="00F637AA"/>
    <w:rsid w:val="00F63996"/>
    <w:rsid w:val="00F63A6F"/>
    <w:rsid w:val="00F677D3"/>
    <w:rsid w:val="00F67AE8"/>
    <w:rsid w:val="00F704BA"/>
    <w:rsid w:val="00F70848"/>
    <w:rsid w:val="00F708A0"/>
    <w:rsid w:val="00F70AD4"/>
    <w:rsid w:val="00F70AF5"/>
    <w:rsid w:val="00F728C7"/>
    <w:rsid w:val="00F7385E"/>
    <w:rsid w:val="00F73ACD"/>
    <w:rsid w:val="00F7773E"/>
    <w:rsid w:val="00F77D69"/>
    <w:rsid w:val="00F8147B"/>
    <w:rsid w:val="00F837A9"/>
    <w:rsid w:val="00F84016"/>
    <w:rsid w:val="00F90811"/>
    <w:rsid w:val="00F90B5F"/>
    <w:rsid w:val="00F91612"/>
    <w:rsid w:val="00F9377E"/>
    <w:rsid w:val="00F940D0"/>
    <w:rsid w:val="00F95795"/>
    <w:rsid w:val="00F95DE9"/>
    <w:rsid w:val="00F96963"/>
    <w:rsid w:val="00F969BE"/>
    <w:rsid w:val="00FA06D8"/>
    <w:rsid w:val="00FA0E1E"/>
    <w:rsid w:val="00FA2908"/>
    <w:rsid w:val="00FA2E0D"/>
    <w:rsid w:val="00FA53C3"/>
    <w:rsid w:val="00FA54E0"/>
    <w:rsid w:val="00FA6155"/>
    <w:rsid w:val="00FA6E5A"/>
    <w:rsid w:val="00FB039D"/>
    <w:rsid w:val="00FB04BD"/>
    <w:rsid w:val="00FB097F"/>
    <w:rsid w:val="00FB2E33"/>
    <w:rsid w:val="00FB304F"/>
    <w:rsid w:val="00FB3BA4"/>
    <w:rsid w:val="00FB5422"/>
    <w:rsid w:val="00FB6265"/>
    <w:rsid w:val="00FC157A"/>
    <w:rsid w:val="00FC317E"/>
    <w:rsid w:val="00FC5780"/>
    <w:rsid w:val="00FC58D9"/>
    <w:rsid w:val="00FC6C3F"/>
    <w:rsid w:val="00FD1EA8"/>
    <w:rsid w:val="00FD6642"/>
    <w:rsid w:val="00FD6706"/>
    <w:rsid w:val="00FE0D3C"/>
    <w:rsid w:val="00FE1ACC"/>
    <w:rsid w:val="00FE2C27"/>
    <w:rsid w:val="00FE30D5"/>
    <w:rsid w:val="00FE34B3"/>
    <w:rsid w:val="00FE5619"/>
    <w:rsid w:val="00FE62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85CAE8-644F-4E55-BE40-7C9103F2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C24"/>
    <w:pPr>
      <w:widowControl w:val="0"/>
    </w:pPr>
    <w:rPr>
      <w:kern w:val="2"/>
      <w:sz w:val="24"/>
      <w:szCs w:val="24"/>
    </w:rPr>
  </w:style>
  <w:style w:type="paragraph" w:styleId="2">
    <w:name w:val="heading 2"/>
    <w:basedOn w:val="a"/>
    <w:link w:val="20"/>
    <w:uiPriority w:val="9"/>
    <w:qFormat/>
    <w:rsid w:val="005209B9"/>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33C24"/>
    <w:rPr>
      <w:rFonts w:ascii="細明體" w:eastAsia="細明體" w:hAnsi="Courier New"/>
    </w:rPr>
  </w:style>
  <w:style w:type="paragraph" w:styleId="a5">
    <w:name w:val="footer"/>
    <w:basedOn w:val="a"/>
    <w:link w:val="a6"/>
    <w:uiPriority w:val="99"/>
    <w:rsid w:val="00F33C24"/>
    <w:pPr>
      <w:tabs>
        <w:tab w:val="center" w:pos="4153"/>
        <w:tab w:val="right" w:pos="8306"/>
      </w:tabs>
      <w:snapToGrid w:val="0"/>
    </w:pPr>
    <w:rPr>
      <w:sz w:val="20"/>
      <w:szCs w:val="20"/>
    </w:rPr>
  </w:style>
  <w:style w:type="character" w:styleId="a7">
    <w:name w:val="page number"/>
    <w:basedOn w:val="a0"/>
    <w:rsid w:val="00F33C24"/>
  </w:style>
  <w:style w:type="paragraph" w:styleId="a8">
    <w:name w:val="header"/>
    <w:basedOn w:val="a"/>
    <w:link w:val="a9"/>
    <w:uiPriority w:val="99"/>
    <w:rsid w:val="00F33C24"/>
    <w:pPr>
      <w:tabs>
        <w:tab w:val="center" w:pos="4153"/>
        <w:tab w:val="right" w:pos="8306"/>
      </w:tabs>
      <w:snapToGrid w:val="0"/>
    </w:pPr>
    <w:rPr>
      <w:sz w:val="20"/>
      <w:szCs w:val="20"/>
    </w:rPr>
  </w:style>
  <w:style w:type="paragraph" w:styleId="aa">
    <w:name w:val="Body Text Indent"/>
    <w:basedOn w:val="a"/>
    <w:rsid w:val="00F33C24"/>
    <w:pPr>
      <w:ind w:leftChars="200" w:left="1200" w:hangingChars="300" w:hanging="720"/>
    </w:pPr>
  </w:style>
  <w:style w:type="paragraph" w:styleId="ab">
    <w:name w:val="Date"/>
    <w:basedOn w:val="a"/>
    <w:next w:val="a"/>
    <w:rsid w:val="00F54A8E"/>
    <w:pPr>
      <w:jc w:val="right"/>
    </w:pPr>
  </w:style>
  <w:style w:type="paragraph" w:styleId="ac">
    <w:name w:val="Balloon Text"/>
    <w:basedOn w:val="a"/>
    <w:semiHidden/>
    <w:rsid w:val="002F42EE"/>
    <w:rPr>
      <w:rFonts w:ascii="Arial" w:hAnsi="Arial"/>
      <w:sz w:val="18"/>
      <w:szCs w:val="18"/>
    </w:rPr>
  </w:style>
  <w:style w:type="paragraph" w:customStyle="1" w:styleId="ad">
    <w:name w:val="公文(主旨)"/>
    <w:basedOn w:val="a"/>
    <w:next w:val="a"/>
    <w:rsid w:val="00674BEE"/>
    <w:pPr>
      <w:widowControl/>
      <w:ind w:left="958" w:hanging="958"/>
      <w:textAlignment w:val="baseline"/>
    </w:pPr>
    <w:rPr>
      <w:rFonts w:eastAsia="標楷體"/>
      <w:noProof/>
      <w:kern w:val="0"/>
      <w:sz w:val="32"/>
      <w:szCs w:val="20"/>
      <w:lang w:bidi="he-IL"/>
    </w:rPr>
  </w:style>
  <w:style w:type="paragraph" w:customStyle="1" w:styleId="Char">
    <w:name w:val="Char"/>
    <w:basedOn w:val="a"/>
    <w:rsid w:val="00A11823"/>
    <w:pPr>
      <w:widowControl/>
      <w:spacing w:after="160" w:line="240" w:lineRule="exact"/>
    </w:pPr>
    <w:rPr>
      <w:rFonts w:ascii="Verdana" w:eastAsia="標楷體" w:hAnsi="Verdana"/>
      <w:kern w:val="0"/>
      <w:sz w:val="20"/>
      <w:szCs w:val="20"/>
      <w:lang w:eastAsia="en-US"/>
    </w:rPr>
  </w:style>
  <w:style w:type="paragraph" w:styleId="HTML">
    <w:name w:val="HTML Preformatted"/>
    <w:basedOn w:val="a"/>
    <w:link w:val="HTML0"/>
    <w:rsid w:val="00CC2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link w:val="HTML"/>
    <w:rsid w:val="00CC2704"/>
    <w:rPr>
      <w:rFonts w:ascii="細明體" w:eastAsia="細明體" w:hAnsi="Courier New" w:cs="Courier New"/>
    </w:rPr>
  </w:style>
  <w:style w:type="character" w:customStyle="1" w:styleId="a4">
    <w:name w:val="純文字 字元"/>
    <w:link w:val="a3"/>
    <w:rsid w:val="00CB7293"/>
    <w:rPr>
      <w:rFonts w:ascii="細明體" w:eastAsia="細明體" w:hAnsi="Courier New" w:cs="Courier New"/>
      <w:kern w:val="2"/>
      <w:sz w:val="24"/>
      <w:szCs w:val="24"/>
    </w:rPr>
  </w:style>
  <w:style w:type="paragraph" w:customStyle="1" w:styleId="Default">
    <w:name w:val="Default"/>
    <w:rsid w:val="001F065D"/>
    <w:pPr>
      <w:widowControl w:val="0"/>
      <w:autoSpaceDE w:val="0"/>
      <w:autoSpaceDN w:val="0"/>
      <w:adjustRightInd w:val="0"/>
    </w:pPr>
    <w:rPr>
      <w:rFonts w:ascii="Arial" w:hAnsi="Arial" w:cs="Arial"/>
      <w:color w:val="000000"/>
      <w:sz w:val="24"/>
      <w:szCs w:val="24"/>
    </w:rPr>
  </w:style>
  <w:style w:type="character" w:customStyle="1" w:styleId="a6">
    <w:name w:val="頁尾 字元"/>
    <w:basedOn w:val="a0"/>
    <w:link w:val="a5"/>
    <w:uiPriority w:val="99"/>
    <w:rsid w:val="00DA44C1"/>
    <w:rPr>
      <w:kern w:val="2"/>
    </w:rPr>
  </w:style>
  <w:style w:type="paragraph" w:styleId="ae">
    <w:name w:val="footnote text"/>
    <w:basedOn w:val="a"/>
    <w:link w:val="af"/>
    <w:rsid w:val="00ED62D2"/>
    <w:pPr>
      <w:snapToGrid w:val="0"/>
    </w:pPr>
    <w:rPr>
      <w:sz w:val="20"/>
      <w:szCs w:val="20"/>
    </w:rPr>
  </w:style>
  <w:style w:type="character" w:customStyle="1" w:styleId="af">
    <w:name w:val="註腳文字 字元"/>
    <w:basedOn w:val="a0"/>
    <w:link w:val="ae"/>
    <w:rsid w:val="00ED62D2"/>
    <w:rPr>
      <w:kern w:val="2"/>
    </w:rPr>
  </w:style>
  <w:style w:type="character" w:styleId="af0">
    <w:name w:val="footnote reference"/>
    <w:basedOn w:val="a0"/>
    <w:rsid w:val="00ED62D2"/>
    <w:rPr>
      <w:vertAlign w:val="superscript"/>
    </w:rPr>
  </w:style>
  <w:style w:type="character" w:styleId="af1">
    <w:name w:val="annotation reference"/>
    <w:basedOn w:val="a0"/>
    <w:rsid w:val="000E3004"/>
    <w:rPr>
      <w:sz w:val="18"/>
      <w:szCs w:val="18"/>
    </w:rPr>
  </w:style>
  <w:style w:type="paragraph" w:styleId="af2">
    <w:name w:val="annotation text"/>
    <w:basedOn w:val="a"/>
    <w:link w:val="af3"/>
    <w:rsid w:val="000E3004"/>
  </w:style>
  <w:style w:type="character" w:customStyle="1" w:styleId="af3">
    <w:name w:val="註解文字 字元"/>
    <w:basedOn w:val="a0"/>
    <w:link w:val="af2"/>
    <w:rsid w:val="000E3004"/>
    <w:rPr>
      <w:kern w:val="2"/>
      <w:sz w:val="24"/>
      <w:szCs w:val="24"/>
    </w:rPr>
  </w:style>
  <w:style w:type="paragraph" w:styleId="af4">
    <w:name w:val="annotation subject"/>
    <w:basedOn w:val="af2"/>
    <w:next w:val="af2"/>
    <w:link w:val="af5"/>
    <w:rsid w:val="000E3004"/>
    <w:rPr>
      <w:b/>
      <w:bCs/>
    </w:rPr>
  </w:style>
  <w:style w:type="character" w:customStyle="1" w:styleId="af5">
    <w:name w:val="註解主旨 字元"/>
    <w:basedOn w:val="af3"/>
    <w:link w:val="af4"/>
    <w:rsid w:val="000E3004"/>
    <w:rPr>
      <w:b/>
      <w:bCs/>
      <w:kern w:val="2"/>
      <w:sz w:val="24"/>
      <w:szCs w:val="24"/>
    </w:rPr>
  </w:style>
  <w:style w:type="paragraph" w:styleId="af6">
    <w:name w:val="Revision"/>
    <w:hidden/>
    <w:uiPriority w:val="99"/>
    <w:semiHidden/>
    <w:rsid w:val="00B91328"/>
    <w:rPr>
      <w:kern w:val="2"/>
      <w:sz w:val="24"/>
      <w:szCs w:val="24"/>
    </w:rPr>
  </w:style>
  <w:style w:type="paragraph" w:styleId="af7">
    <w:name w:val="List Paragraph"/>
    <w:basedOn w:val="a"/>
    <w:uiPriority w:val="34"/>
    <w:qFormat/>
    <w:rsid w:val="00825BDD"/>
    <w:pPr>
      <w:ind w:leftChars="200" w:left="480"/>
    </w:pPr>
  </w:style>
  <w:style w:type="character" w:customStyle="1" w:styleId="20">
    <w:name w:val="標題 2 字元"/>
    <w:basedOn w:val="a0"/>
    <w:link w:val="2"/>
    <w:uiPriority w:val="9"/>
    <w:rsid w:val="005209B9"/>
    <w:rPr>
      <w:rFonts w:ascii="新細明體" w:hAnsi="新細明體" w:cs="新細明體"/>
      <w:b/>
      <w:bCs/>
      <w:sz w:val="36"/>
      <w:szCs w:val="36"/>
    </w:rPr>
  </w:style>
  <w:style w:type="character" w:customStyle="1" w:styleId="a9">
    <w:name w:val="頁首 字元"/>
    <w:basedOn w:val="a0"/>
    <w:link w:val="a8"/>
    <w:uiPriority w:val="99"/>
    <w:rsid w:val="00F70AD4"/>
    <w:rPr>
      <w:kern w:val="2"/>
    </w:rPr>
  </w:style>
  <w:style w:type="paragraph" w:styleId="21">
    <w:name w:val="Body Text 2"/>
    <w:basedOn w:val="a"/>
    <w:link w:val="22"/>
    <w:semiHidden/>
    <w:unhideWhenUsed/>
    <w:rsid w:val="00F70AD4"/>
    <w:pPr>
      <w:spacing w:after="120" w:line="480" w:lineRule="auto"/>
    </w:pPr>
  </w:style>
  <w:style w:type="character" w:customStyle="1" w:styleId="22">
    <w:name w:val="本文 2 字元"/>
    <w:basedOn w:val="a0"/>
    <w:link w:val="21"/>
    <w:semiHidden/>
    <w:rsid w:val="00F70AD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0B27F-9212-4B00-8239-7F2F6308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545</Words>
  <Characters>3109</Characters>
  <Application>Microsoft Office Word</Application>
  <DocSecurity>0</DocSecurity>
  <Lines>25</Lines>
  <Paragraphs>7</Paragraphs>
  <ScaleCrop>false</ScaleCrop>
  <Company>hkclsf</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sh88137</dc:creator>
  <cp:lastModifiedBy>林靜雪</cp:lastModifiedBy>
  <cp:revision>6</cp:revision>
  <cp:lastPrinted>2015-05-25T09:30:00Z</cp:lastPrinted>
  <dcterms:created xsi:type="dcterms:W3CDTF">2015-07-06T01:26:00Z</dcterms:created>
  <dcterms:modified xsi:type="dcterms:W3CDTF">2017-11-13T06:00:00Z</dcterms:modified>
</cp:coreProperties>
</file>