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E3" w:rsidRDefault="00A439E3" w:rsidP="00A439E3">
      <w:pPr>
        <w:spacing w:afterLines="50" w:line="320" w:lineRule="exact"/>
        <w:jc w:val="center"/>
        <w:rPr>
          <w:rFonts w:ascii="標楷體" w:eastAsia="標楷體" w:hAnsi="標楷體" w:hint="eastAsia"/>
          <w:b/>
          <w:color w:val="000000"/>
          <w:sz w:val="28"/>
          <w:szCs w:val="28"/>
        </w:rPr>
      </w:pPr>
      <w:r w:rsidRPr="001268E3">
        <w:rPr>
          <w:rFonts w:ascii="標楷體" w:eastAsia="標楷體" w:hAnsi="標楷體" w:hint="eastAsia"/>
          <w:b/>
          <w:color w:val="000000"/>
          <w:sz w:val="28"/>
          <w:szCs w:val="28"/>
        </w:rPr>
        <w:t>中華民國證券商業同業公會會員公司業務人員酬金制度應遵行原則</w:t>
      </w:r>
    </w:p>
    <w:p w:rsidR="00A439E3" w:rsidRPr="00A439E3" w:rsidRDefault="00A439E3" w:rsidP="00A439E3">
      <w:pPr>
        <w:spacing w:afterLines="50" w:line="320" w:lineRule="exact"/>
        <w:ind w:right="400"/>
        <w:jc w:val="right"/>
        <w:rPr>
          <w:rFonts w:ascii="標楷體" w:eastAsia="標楷體" w:hAnsi="標楷體"/>
          <w:color w:val="000000"/>
          <w:sz w:val="20"/>
          <w:szCs w:val="20"/>
        </w:rPr>
      </w:pPr>
      <w:r w:rsidRPr="00A439E3">
        <w:rPr>
          <w:rFonts w:ascii="標楷體" w:eastAsia="標楷體" w:hAnsi="標楷體" w:hint="eastAsia"/>
          <w:color w:val="000000"/>
          <w:sz w:val="20"/>
          <w:szCs w:val="20"/>
        </w:rPr>
        <w:t>104年4月30日金管證券字第1040012484號函准予核定</w:t>
      </w:r>
    </w:p>
    <w:p w:rsidR="00A439E3" w:rsidRPr="001268E3" w:rsidRDefault="00A439E3" w:rsidP="00A439E3">
      <w:pPr>
        <w:spacing w:afterLines="50" w:line="320" w:lineRule="exact"/>
        <w:jc w:val="both"/>
        <w:rPr>
          <w:rFonts w:ascii="標楷體" w:eastAsia="標楷體" w:hAnsi="標楷體"/>
          <w:color w:val="000000"/>
          <w:sz w:val="28"/>
          <w:szCs w:val="28"/>
        </w:rPr>
      </w:pPr>
      <w:r w:rsidRPr="001268E3">
        <w:rPr>
          <w:rFonts w:ascii="標楷體" w:eastAsia="標楷體" w:hAnsi="標楷體" w:hint="eastAsia"/>
          <w:color w:val="000000"/>
          <w:sz w:val="28"/>
          <w:szCs w:val="28"/>
        </w:rPr>
        <w:t>第一條</w:t>
      </w:r>
    </w:p>
    <w:p w:rsidR="00A439E3" w:rsidRPr="001268E3" w:rsidRDefault="00A439E3" w:rsidP="00A439E3">
      <w:pPr>
        <w:spacing w:afterLines="50" w:line="320" w:lineRule="exact"/>
        <w:jc w:val="both"/>
        <w:rPr>
          <w:rFonts w:ascii="標楷體" w:eastAsia="標楷體" w:hAnsi="標楷體"/>
          <w:color w:val="000000"/>
          <w:sz w:val="28"/>
          <w:szCs w:val="28"/>
        </w:rPr>
      </w:pPr>
      <w:r w:rsidRPr="001268E3">
        <w:rPr>
          <w:rFonts w:ascii="標楷體" w:eastAsia="標楷體" w:hAnsi="標楷體" w:hint="eastAsia"/>
          <w:color w:val="000000"/>
          <w:sz w:val="28"/>
          <w:szCs w:val="28"/>
        </w:rPr>
        <w:t>本原則依金融消費者保護法第十一條之一第三項規定訂定之。</w:t>
      </w:r>
    </w:p>
    <w:p w:rsidR="00A439E3" w:rsidRPr="001268E3" w:rsidRDefault="00A439E3" w:rsidP="00A439E3">
      <w:pPr>
        <w:spacing w:afterLines="50" w:line="320" w:lineRule="exact"/>
        <w:jc w:val="both"/>
        <w:rPr>
          <w:rFonts w:ascii="標楷體" w:eastAsia="標楷體" w:hAnsi="標楷體"/>
          <w:color w:val="000000"/>
          <w:sz w:val="28"/>
          <w:szCs w:val="28"/>
        </w:rPr>
      </w:pPr>
    </w:p>
    <w:p w:rsidR="00A439E3" w:rsidRPr="001268E3" w:rsidRDefault="00A439E3" w:rsidP="00A439E3">
      <w:pPr>
        <w:autoSpaceDE w:val="0"/>
        <w:autoSpaceDN w:val="0"/>
        <w:adjustRightInd w:val="0"/>
        <w:spacing w:afterLines="50" w:line="320" w:lineRule="exact"/>
        <w:ind w:left="496" w:hangingChars="177" w:hanging="496"/>
        <w:jc w:val="both"/>
        <w:rPr>
          <w:rFonts w:ascii="標楷體" w:eastAsia="標楷體" w:hAnsi="標楷體"/>
          <w:color w:val="000000" w:themeColor="text1"/>
          <w:sz w:val="28"/>
          <w:szCs w:val="28"/>
        </w:rPr>
      </w:pPr>
      <w:r w:rsidRPr="001268E3">
        <w:rPr>
          <w:rFonts w:ascii="標楷體" w:eastAsia="標楷體" w:hAnsi="標楷體"/>
          <w:color w:val="000000" w:themeColor="text1"/>
          <w:sz w:val="28"/>
          <w:szCs w:val="28"/>
        </w:rPr>
        <w:t>第二條</w:t>
      </w:r>
    </w:p>
    <w:p w:rsidR="00A439E3" w:rsidRPr="001268E3" w:rsidRDefault="00A439E3" w:rsidP="00A439E3">
      <w:pPr>
        <w:adjustRightInd w:val="0"/>
        <w:snapToGrid w:val="0"/>
        <w:spacing w:afterLines="50" w:line="320" w:lineRule="exact"/>
        <w:jc w:val="both"/>
        <w:rPr>
          <w:rFonts w:ascii="標楷體" w:eastAsia="標楷體" w:hAnsi="標楷體"/>
          <w:color w:val="000000" w:themeColor="text1"/>
          <w:sz w:val="28"/>
          <w:szCs w:val="28"/>
        </w:rPr>
      </w:pPr>
      <w:r w:rsidRPr="001268E3">
        <w:rPr>
          <w:rFonts w:ascii="標楷體" w:eastAsia="標楷體" w:hAnsi="標楷體" w:hint="eastAsia"/>
          <w:color w:val="000000" w:themeColor="text1"/>
          <w:sz w:val="28"/>
          <w:szCs w:val="28"/>
        </w:rPr>
        <w:t>會員公司應訂定業務人員之酬金制度，並提報董事會通過。會員公司為外國金融服務業在</w:t>
      </w:r>
      <w:proofErr w:type="gramStart"/>
      <w:r w:rsidRPr="001268E3">
        <w:rPr>
          <w:rFonts w:ascii="標楷體" w:eastAsia="標楷體" w:hAnsi="標楷體" w:hint="eastAsia"/>
          <w:color w:val="000000" w:themeColor="text1"/>
          <w:sz w:val="28"/>
          <w:szCs w:val="28"/>
        </w:rPr>
        <w:t>臺</w:t>
      </w:r>
      <w:proofErr w:type="gramEnd"/>
      <w:r w:rsidRPr="001268E3">
        <w:rPr>
          <w:rFonts w:ascii="標楷體" w:eastAsia="標楷體" w:hAnsi="標楷體" w:hint="eastAsia"/>
          <w:color w:val="000000" w:themeColor="text1"/>
          <w:sz w:val="28"/>
          <w:szCs w:val="28"/>
        </w:rPr>
        <w:t>分支機構者，</w:t>
      </w:r>
      <w:r w:rsidRPr="00283F54">
        <w:rPr>
          <w:rFonts w:ascii="標楷體" w:eastAsia="標楷體" w:hAnsi="標楷體" w:hint="eastAsia"/>
          <w:color w:val="000000" w:themeColor="text1"/>
          <w:sz w:val="28"/>
          <w:szCs w:val="28"/>
        </w:rPr>
        <w:t>其業務人員之酬金制度，</w:t>
      </w:r>
      <w:r w:rsidRPr="001268E3">
        <w:rPr>
          <w:rFonts w:ascii="標楷體" w:eastAsia="標楷體" w:hAnsi="標楷體" w:hint="eastAsia"/>
          <w:color w:val="000000" w:themeColor="text1"/>
          <w:sz w:val="28"/>
          <w:szCs w:val="28"/>
        </w:rPr>
        <w:t>應經其在</w:t>
      </w:r>
      <w:proofErr w:type="gramStart"/>
      <w:r w:rsidRPr="001268E3">
        <w:rPr>
          <w:rFonts w:ascii="標楷體" w:eastAsia="標楷體" w:hAnsi="標楷體" w:hint="eastAsia"/>
          <w:color w:val="000000" w:themeColor="text1"/>
          <w:sz w:val="28"/>
          <w:szCs w:val="28"/>
        </w:rPr>
        <w:t>臺</w:t>
      </w:r>
      <w:proofErr w:type="gramEnd"/>
      <w:r w:rsidRPr="001268E3">
        <w:rPr>
          <w:rFonts w:ascii="標楷體" w:eastAsia="標楷體" w:hAnsi="標楷體" w:hint="eastAsia"/>
          <w:color w:val="000000" w:themeColor="text1"/>
          <w:sz w:val="28"/>
          <w:szCs w:val="28"/>
        </w:rPr>
        <w:t>負責人同意。</w:t>
      </w:r>
    </w:p>
    <w:p w:rsidR="00A439E3" w:rsidRPr="001268E3" w:rsidRDefault="00A439E3" w:rsidP="00A439E3">
      <w:pPr>
        <w:autoSpaceDE w:val="0"/>
        <w:autoSpaceDN w:val="0"/>
        <w:adjustRightInd w:val="0"/>
        <w:spacing w:afterLines="50" w:line="320" w:lineRule="exact"/>
        <w:ind w:left="496" w:hangingChars="177" w:hanging="496"/>
        <w:jc w:val="both"/>
        <w:rPr>
          <w:rFonts w:ascii="標楷體" w:eastAsia="標楷體" w:hAnsi="標楷體"/>
          <w:color w:val="000000"/>
          <w:sz w:val="28"/>
          <w:szCs w:val="28"/>
        </w:rPr>
      </w:pPr>
    </w:p>
    <w:p w:rsidR="00A439E3" w:rsidRPr="001268E3" w:rsidRDefault="00A439E3" w:rsidP="00A439E3">
      <w:pPr>
        <w:autoSpaceDE w:val="0"/>
        <w:autoSpaceDN w:val="0"/>
        <w:adjustRightInd w:val="0"/>
        <w:spacing w:afterLines="50" w:line="320" w:lineRule="exact"/>
        <w:ind w:left="496" w:hangingChars="177" w:hanging="496"/>
        <w:jc w:val="both"/>
        <w:rPr>
          <w:rFonts w:ascii="標楷體" w:eastAsia="標楷體" w:hAnsi="標楷體"/>
          <w:color w:val="000000"/>
          <w:sz w:val="28"/>
          <w:szCs w:val="28"/>
        </w:rPr>
      </w:pPr>
      <w:r w:rsidRPr="001268E3">
        <w:rPr>
          <w:rFonts w:ascii="標楷體" w:eastAsia="標楷體" w:hAnsi="標楷體" w:hint="eastAsia"/>
          <w:color w:val="000000"/>
          <w:sz w:val="28"/>
          <w:szCs w:val="28"/>
        </w:rPr>
        <w:t>第</w:t>
      </w:r>
      <w:r>
        <w:rPr>
          <w:rFonts w:ascii="標楷體" w:eastAsia="標楷體" w:hAnsi="標楷體" w:hint="eastAsia"/>
          <w:color w:val="000000"/>
          <w:sz w:val="28"/>
          <w:szCs w:val="28"/>
        </w:rPr>
        <w:t>三</w:t>
      </w:r>
      <w:r w:rsidRPr="001268E3">
        <w:rPr>
          <w:rFonts w:ascii="標楷體" w:eastAsia="標楷體" w:hAnsi="標楷體" w:hint="eastAsia"/>
          <w:color w:val="000000"/>
          <w:sz w:val="28"/>
          <w:szCs w:val="28"/>
        </w:rPr>
        <w:t>條</w:t>
      </w:r>
    </w:p>
    <w:p w:rsidR="00A439E3" w:rsidRPr="001268E3" w:rsidRDefault="00A439E3" w:rsidP="00A439E3">
      <w:pPr>
        <w:adjustRightInd w:val="0"/>
        <w:snapToGrid w:val="0"/>
        <w:spacing w:afterLines="50" w:line="320" w:lineRule="exact"/>
        <w:jc w:val="both"/>
        <w:rPr>
          <w:rFonts w:ascii="標楷體" w:eastAsia="標楷體" w:hAnsi="標楷體"/>
          <w:color w:val="0000FF"/>
          <w:sz w:val="28"/>
          <w:szCs w:val="28"/>
        </w:rPr>
      </w:pPr>
      <w:r w:rsidRPr="001268E3">
        <w:rPr>
          <w:rFonts w:ascii="標楷體" w:eastAsia="標楷體" w:hAnsi="標楷體" w:hint="eastAsia"/>
          <w:color w:val="000000"/>
          <w:sz w:val="28"/>
          <w:szCs w:val="28"/>
        </w:rPr>
        <w:t>會員公司經營業務，訂定業務人員之酬金制度，</w:t>
      </w:r>
      <w:r w:rsidRPr="001268E3">
        <w:rPr>
          <w:rFonts w:ascii="標楷體" w:eastAsia="標楷體" w:hAnsi="標楷體" w:hint="eastAsia"/>
          <w:color w:val="000000" w:themeColor="text1"/>
          <w:sz w:val="28"/>
          <w:szCs w:val="28"/>
        </w:rPr>
        <w:t>除法令另有規定外</w:t>
      </w:r>
      <w:r w:rsidRPr="001268E3">
        <w:rPr>
          <w:rFonts w:ascii="標楷體" w:eastAsia="標楷體" w:hAnsi="標楷體" w:hint="eastAsia"/>
          <w:color w:val="000000"/>
          <w:sz w:val="28"/>
          <w:szCs w:val="28"/>
        </w:rPr>
        <w:t>，應遵循本原則。</w:t>
      </w:r>
    </w:p>
    <w:p w:rsidR="00A439E3" w:rsidRPr="001268E3" w:rsidRDefault="00A439E3" w:rsidP="00A439E3">
      <w:pPr>
        <w:autoSpaceDE w:val="0"/>
        <w:autoSpaceDN w:val="0"/>
        <w:adjustRightInd w:val="0"/>
        <w:spacing w:afterLines="50" w:line="320" w:lineRule="exact"/>
        <w:jc w:val="both"/>
        <w:rPr>
          <w:rFonts w:ascii="標楷體" w:eastAsia="標楷體" w:hAnsi="標楷體"/>
          <w:color w:val="000000"/>
          <w:sz w:val="28"/>
          <w:szCs w:val="28"/>
        </w:rPr>
      </w:pPr>
    </w:p>
    <w:p w:rsidR="00A439E3" w:rsidRPr="00283F54" w:rsidRDefault="00A439E3" w:rsidP="00A439E3">
      <w:pPr>
        <w:autoSpaceDE w:val="0"/>
        <w:autoSpaceDN w:val="0"/>
        <w:adjustRightInd w:val="0"/>
        <w:spacing w:afterLines="50" w:line="320" w:lineRule="exact"/>
        <w:ind w:left="496" w:hangingChars="177" w:hanging="496"/>
        <w:jc w:val="both"/>
        <w:rPr>
          <w:rFonts w:ascii="標楷體" w:eastAsia="標楷體" w:hAnsi="標楷體"/>
          <w:color w:val="000000" w:themeColor="text1"/>
          <w:sz w:val="28"/>
          <w:szCs w:val="28"/>
        </w:rPr>
      </w:pPr>
      <w:r w:rsidRPr="00283F54">
        <w:rPr>
          <w:rFonts w:ascii="標楷體" w:eastAsia="標楷體" w:hAnsi="標楷體" w:hint="eastAsia"/>
          <w:color w:val="000000" w:themeColor="text1"/>
          <w:sz w:val="28"/>
          <w:szCs w:val="28"/>
        </w:rPr>
        <w:t>第四條</w:t>
      </w:r>
    </w:p>
    <w:p w:rsidR="00A439E3" w:rsidRPr="00283F54" w:rsidRDefault="00A439E3" w:rsidP="00A439E3">
      <w:pPr>
        <w:autoSpaceDE w:val="0"/>
        <w:autoSpaceDN w:val="0"/>
        <w:adjustRightInd w:val="0"/>
        <w:spacing w:afterLines="50" w:line="320" w:lineRule="exact"/>
        <w:jc w:val="both"/>
        <w:rPr>
          <w:rFonts w:ascii="標楷體" w:eastAsia="標楷體" w:hAnsi="標楷體" w:cs="細明體"/>
          <w:color w:val="000000" w:themeColor="text1"/>
          <w:kern w:val="0"/>
          <w:sz w:val="28"/>
          <w:szCs w:val="28"/>
          <w:lang w:val="zh-TW"/>
        </w:rPr>
      </w:pPr>
      <w:r w:rsidRPr="00283F54">
        <w:rPr>
          <w:rFonts w:ascii="標楷體" w:eastAsia="標楷體" w:hAnsi="標楷體" w:hint="eastAsia"/>
          <w:color w:val="000000" w:themeColor="text1"/>
          <w:sz w:val="28"/>
          <w:szCs w:val="28"/>
        </w:rPr>
        <w:t>本原則所稱業務人員，係指其酬金來自</w:t>
      </w:r>
      <w:r w:rsidRPr="00283F54">
        <w:rPr>
          <w:rFonts w:ascii="標楷體" w:eastAsia="標楷體" w:hAnsi="標楷體" w:hint="eastAsia"/>
          <w:color w:val="000000" w:themeColor="text1"/>
          <w:sz w:val="28"/>
          <w:szCs w:val="28"/>
          <w:lang w:val="zh-TW"/>
        </w:rPr>
        <w:t>提供</w:t>
      </w:r>
      <w:r w:rsidRPr="00283F54">
        <w:rPr>
          <w:rFonts w:ascii="標楷體" w:eastAsia="標楷體" w:hAnsi="標楷體" w:hint="eastAsia"/>
          <w:color w:val="000000" w:themeColor="text1"/>
          <w:sz w:val="28"/>
          <w:szCs w:val="28"/>
        </w:rPr>
        <w:t>各種</w:t>
      </w:r>
      <w:r w:rsidRPr="00283F54">
        <w:rPr>
          <w:rFonts w:ascii="標楷體" w:eastAsia="標楷體" w:hAnsi="標楷體" w:cs="細明體" w:hint="eastAsia"/>
          <w:color w:val="000000" w:themeColor="text1"/>
          <w:kern w:val="0"/>
          <w:sz w:val="28"/>
          <w:szCs w:val="28"/>
          <w:lang w:val="zh-TW"/>
        </w:rPr>
        <w:t>金融商品或服務予客戶之人員。</w:t>
      </w:r>
    </w:p>
    <w:p w:rsidR="00A439E3" w:rsidRPr="00086E55" w:rsidRDefault="00A439E3" w:rsidP="00A439E3">
      <w:pPr>
        <w:autoSpaceDE w:val="0"/>
        <w:autoSpaceDN w:val="0"/>
        <w:adjustRightInd w:val="0"/>
        <w:spacing w:afterLines="50" w:line="320" w:lineRule="exact"/>
        <w:jc w:val="both"/>
        <w:rPr>
          <w:rFonts w:ascii="標楷體" w:eastAsia="標楷體" w:hAnsi="標楷體"/>
          <w:color w:val="000000" w:themeColor="text1"/>
          <w:sz w:val="28"/>
          <w:szCs w:val="28"/>
          <w:lang w:val="zh-TW"/>
        </w:rPr>
      </w:pPr>
      <w:r w:rsidRPr="00086E55">
        <w:rPr>
          <w:rFonts w:ascii="標楷體" w:eastAsia="標楷體" w:hAnsi="標楷體" w:hint="eastAsia"/>
          <w:color w:val="000000" w:themeColor="text1"/>
          <w:sz w:val="28"/>
          <w:szCs w:val="28"/>
          <w:lang w:val="zh-TW"/>
        </w:rPr>
        <w:t>本原則所稱酬金，係指會員公司參酌業務人員提供金融商品或服務予客戶之業績</w:t>
      </w:r>
      <w:proofErr w:type="gramStart"/>
      <w:r w:rsidRPr="00086E55">
        <w:rPr>
          <w:rFonts w:ascii="標楷體" w:eastAsia="標楷體" w:hAnsi="標楷體" w:hint="eastAsia"/>
          <w:color w:val="000000" w:themeColor="text1"/>
          <w:sz w:val="28"/>
          <w:szCs w:val="28"/>
          <w:lang w:val="zh-TW"/>
        </w:rPr>
        <w:t>表現及衡平</w:t>
      </w:r>
      <w:proofErr w:type="gramEnd"/>
      <w:r w:rsidRPr="00086E55">
        <w:rPr>
          <w:rFonts w:ascii="標楷體" w:eastAsia="標楷體" w:hAnsi="標楷體" w:hint="eastAsia"/>
          <w:color w:val="000000" w:themeColor="text1"/>
          <w:sz w:val="28"/>
          <w:szCs w:val="28"/>
          <w:lang w:val="zh-TW"/>
        </w:rPr>
        <w:t>考量客戶權益與各項風險而給予業務人員個人之獎勵金、佣金及其他具有實質獎勵性質之報酬。但不包括年節獎金及其他與業務人員個人業績表現無關之獎金或紅利。</w:t>
      </w:r>
    </w:p>
    <w:p w:rsidR="00A439E3" w:rsidRPr="00283F54" w:rsidRDefault="00A439E3" w:rsidP="00A439E3">
      <w:pPr>
        <w:autoSpaceDE w:val="0"/>
        <w:autoSpaceDN w:val="0"/>
        <w:adjustRightInd w:val="0"/>
        <w:spacing w:afterLines="50" w:line="320" w:lineRule="exact"/>
        <w:jc w:val="both"/>
        <w:rPr>
          <w:rFonts w:ascii="標楷體" w:eastAsia="標楷體" w:hAnsi="標楷體"/>
          <w:color w:val="000000" w:themeColor="text1"/>
          <w:sz w:val="28"/>
          <w:szCs w:val="28"/>
        </w:rPr>
      </w:pPr>
    </w:p>
    <w:p w:rsidR="00A439E3" w:rsidRPr="00283F54" w:rsidRDefault="00A439E3" w:rsidP="00A439E3">
      <w:pPr>
        <w:autoSpaceDE w:val="0"/>
        <w:autoSpaceDN w:val="0"/>
        <w:adjustRightInd w:val="0"/>
        <w:spacing w:afterLines="50" w:line="320" w:lineRule="exact"/>
        <w:ind w:left="496" w:hangingChars="177" w:hanging="496"/>
        <w:jc w:val="both"/>
        <w:rPr>
          <w:rFonts w:ascii="標楷體" w:eastAsia="標楷體" w:hAnsi="標楷體"/>
          <w:color w:val="000000" w:themeColor="text1"/>
          <w:sz w:val="28"/>
          <w:szCs w:val="28"/>
        </w:rPr>
      </w:pPr>
      <w:r w:rsidRPr="00283F54">
        <w:rPr>
          <w:rFonts w:ascii="標楷體" w:eastAsia="標楷體" w:hAnsi="標楷體" w:hint="eastAsia"/>
          <w:color w:val="000000" w:themeColor="text1"/>
          <w:sz w:val="28"/>
          <w:szCs w:val="28"/>
        </w:rPr>
        <w:t>第五條</w:t>
      </w:r>
    </w:p>
    <w:p w:rsidR="00A439E3" w:rsidRPr="00283F54" w:rsidRDefault="00A439E3" w:rsidP="00A439E3">
      <w:pPr>
        <w:adjustRightInd w:val="0"/>
        <w:snapToGrid w:val="0"/>
        <w:spacing w:afterLines="50" w:line="320" w:lineRule="exact"/>
        <w:ind w:left="2"/>
        <w:jc w:val="both"/>
        <w:rPr>
          <w:rFonts w:ascii="標楷體" w:eastAsia="標楷體" w:hAnsi="標楷體"/>
          <w:color w:val="000000" w:themeColor="text1"/>
          <w:sz w:val="28"/>
          <w:szCs w:val="28"/>
        </w:rPr>
      </w:pPr>
      <w:r w:rsidRPr="00283F54">
        <w:rPr>
          <w:rFonts w:ascii="標楷體" w:eastAsia="標楷體" w:hAnsi="標楷體" w:hint="eastAsia"/>
          <w:color w:val="000000" w:themeColor="text1"/>
          <w:sz w:val="28"/>
          <w:szCs w:val="28"/>
        </w:rPr>
        <w:t>會員公司訂定提供非投資型金融商品或服務之業務人員酬金制度，應符合合理性原則。</w:t>
      </w:r>
    </w:p>
    <w:p w:rsidR="00A439E3" w:rsidRPr="00283F54" w:rsidRDefault="00A439E3" w:rsidP="00A439E3">
      <w:pPr>
        <w:adjustRightInd w:val="0"/>
        <w:snapToGrid w:val="0"/>
        <w:spacing w:afterLines="50" w:line="320" w:lineRule="exact"/>
        <w:jc w:val="both"/>
        <w:rPr>
          <w:rFonts w:ascii="標楷體" w:eastAsia="標楷體" w:hAnsi="標楷體"/>
          <w:color w:val="000000" w:themeColor="text1"/>
          <w:sz w:val="28"/>
          <w:szCs w:val="28"/>
        </w:rPr>
      </w:pPr>
      <w:r w:rsidRPr="00283F54">
        <w:rPr>
          <w:rFonts w:ascii="標楷體" w:eastAsia="標楷體" w:hAnsi="標楷體" w:hint="eastAsia"/>
          <w:color w:val="000000" w:themeColor="text1"/>
          <w:sz w:val="28"/>
          <w:szCs w:val="28"/>
        </w:rPr>
        <w:t>會員公司訂定提供投資型金融商品或服務之業務人員酬金制度，除應符合前項原則外，並應遵守下列原則：</w:t>
      </w:r>
    </w:p>
    <w:p w:rsidR="00A439E3" w:rsidRPr="00283F54" w:rsidRDefault="00A439E3" w:rsidP="00A439E3">
      <w:pPr>
        <w:pStyle w:val="a3"/>
        <w:numPr>
          <w:ilvl w:val="0"/>
          <w:numId w:val="3"/>
        </w:numPr>
        <w:adjustRightInd w:val="0"/>
        <w:snapToGrid w:val="0"/>
        <w:spacing w:afterLines="50" w:line="320" w:lineRule="exact"/>
        <w:ind w:leftChars="0"/>
        <w:jc w:val="both"/>
        <w:rPr>
          <w:rFonts w:ascii="標楷體" w:eastAsia="標楷體" w:hAnsi="標楷體"/>
          <w:color w:val="000000" w:themeColor="text1"/>
          <w:sz w:val="28"/>
          <w:szCs w:val="28"/>
        </w:rPr>
      </w:pPr>
      <w:r w:rsidRPr="00283F54">
        <w:rPr>
          <w:rFonts w:ascii="標楷體" w:eastAsia="標楷體" w:hAnsi="標楷體" w:hint="eastAsia"/>
          <w:color w:val="000000" w:themeColor="text1"/>
          <w:sz w:val="28"/>
          <w:szCs w:val="28"/>
        </w:rPr>
        <w:t>應</w:t>
      </w:r>
      <w:proofErr w:type="gramStart"/>
      <w:r w:rsidRPr="00283F54">
        <w:rPr>
          <w:rFonts w:ascii="標楷體" w:eastAsia="標楷體" w:hAnsi="標楷體" w:hint="eastAsia"/>
          <w:color w:val="000000" w:themeColor="text1"/>
          <w:sz w:val="28"/>
          <w:szCs w:val="28"/>
        </w:rPr>
        <w:t>併</w:t>
      </w:r>
      <w:proofErr w:type="gramEnd"/>
      <w:r w:rsidRPr="00283F54">
        <w:rPr>
          <w:rFonts w:ascii="標楷體" w:eastAsia="標楷體" w:hAnsi="標楷體" w:hint="eastAsia"/>
          <w:color w:val="000000" w:themeColor="text1"/>
          <w:sz w:val="28"/>
          <w:szCs w:val="28"/>
        </w:rPr>
        <w:t>予綜合考量會員公司未來風險調整後之績效，並配合會員公司長期整體獲利、股東利益等因素。</w:t>
      </w:r>
    </w:p>
    <w:p w:rsidR="00A439E3" w:rsidRPr="00283F54" w:rsidRDefault="00A439E3" w:rsidP="00A439E3">
      <w:pPr>
        <w:pStyle w:val="a3"/>
        <w:numPr>
          <w:ilvl w:val="0"/>
          <w:numId w:val="3"/>
        </w:numPr>
        <w:adjustRightInd w:val="0"/>
        <w:snapToGrid w:val="0"/>
        <w:spacing w:afterLines="50" w:line="320" w:lineRule="exact"/>
        <w:ind w:leftChars="0"/>
        <w:jc w:val="both"/>
        <w:rPr>
          <w:rFonts w:ascii="標楷體" w:eastAsia="標楷體" w:hAnsi="標楷體"/>
          <w:color w:val="000000" w:themeColor="text1"/>
          <w:sz w:val="28"/>
          <w:szCs w:val="28"/>
          <w:shd w:val="pct15" w:color="auto" w:fill="FFFFFF"/>
        </w:rPr>
      </w:pPr>
      <w:r w:rsidRPr="00283F54">
        <w:rPr>
          <w:rFonts w:ascii="標楷體" w:eastAsia="標楷體" w:hAnsi="標楷體" w:hint="eastAsia"/>
          <w:color w:val="000000" w:themeColor="text1"/>
          <w:sz w:val="28"/>
          <w:szCs w:val="28"/>
        </w:rPr>
        <w:t>應確保不會有引導業務人員為追求酬金而從事逾越會員公司風險胃納之行為，且不會影響業務人員提供金融商品或服務予客戶之客觀性與公正性。</w:t>
      </w:r>
    </w:p>
    <w:p w:rsidR="00A439E3" w:rsidRPr="00283F54" w:rsidRDefault="00A439E3" w:rsidP="00A439E3">
      <w:pPr>
        <w:pStyle w:val="a3"/>
        <w:numPr>
          <w:ilvl w:val="0"/>
          <w:numId w:val="3"/>
        </w:numPr>
        <w:adjustRightInd w:val="0"/>
        <w:snapToGrid w:val="0"/>
        <w:spacing w:afterLines="50" w:line="320" w:lineRule="exact"/>
        <w:ind w:leftChars="0"/>
        <w:jc w:val="both"/>
        <w:rPr>
          <w:rFonts w:ascii="標楷體" w:eastAsia="標楷體" w:hAnsi="標楷體"/>
          <w:color w:val="000000" w:themeColor="text1"/>
          <w:sz w:val="28"/>
          <w:szCs w:val="28"/>
          <w:shd w:val="pct15" w:color="auto" w:fill="FFFFFF"/>
        </w:rPr>
      </w:pPr>
      <w:r w:rsidRPr="00283F54">
        <w:rPr>
          <w:rFonts w:ascii="標楷體" w:eastAsia="標楷體" w:hAnsi="標楷體" w:hint="eastAsia"/>
          <w:color w:val="000000" w:themeColor="text1"/>
          <w:sz w:val="28"/>
          <w:szCs w:val="28"/>
        </w:rPr>
        <w:t>對各種金融商品或服務訂定之酬金，應具合理性，不得差異過大，避免造成</w:t>
      </w:r>
      <w:proofErr w:type="gramStart"/>
      <w:r w:rsidRPr="00283F54">
        <w:rPr>
          <w:rFonts w:ascii="標楷體" w:eastAsia="標楷體" w:hAnsi="標楷體" w:hint="eastAsia"/>
          <w:color w:val="000000" w:themeColor="text1"/>
          <w:sz w:val="28"/>
          <w:szCs w:val="28"/>
        </w:rPr>
        <w:t>誘</w:t>
      </w:r>
      <w:proofErr w:type="gramEnd"/>
      <w:r w:rsidRPr="00283F54">
        <w:rPr>
          <w:rFonts w:ascii="標楷體" w:eastAsia="標楷體" w:hAnsi="標楷體" w:hint="eastAsia"/>
          <w:color w:val="000000" w:themeColor="text1"/>
          <w:sz w:val="28"/>
          <w:szCs w:val="28"/>
        </w:rPr>
        <w:t>引業務人員有專對特定之金融商品或服務進行銷售或提供服務之行為。</w:t>
      </w:r>
    </w:p>
    <w:p w:rsidR="00A439E3" w:rsidRPr="001268E3" w:rsidRDefault="00A439E3" w:rsidP="00A439E3">
      <w:pPr>
        <w:pStyle w:val="a3"/>
        <w:numPr>
          <w:ilvl w:val="0"/>
          <w:numId w:val="3"/>
        </w:numPr>
        <w:adjustRightInd w:val="0"/>
        <w:snapToGrid w:val="0"/>
        <w:spacing w:afterLines="50" w:line="320" w:lineRule="exact"/>
        <w:ind w:leftChars="0"/>
        <w:jc w:val="both"/>
        <w:rPr>
          <w:rFonts w:ascii="標楷體" w:eastAsia="標楷體" w:hAnsi="標楷體"/>
          <w:sz w:val="28"/>
          <w:szCs w:val="28"/>
          <w:shd w:val="pct15" w:color="auto" w:fill="FFFFFF"/>
        </w:rPr>
      </w:pPr>
      <w:r w:rsidRPr="001268E3">
        <w:rPr>
          <w:rFonts w:ascii="標楷體" w:eastAsia="標楷體" w:hAnsi="標楷體" w:hint="eastAsia"/>
          <w:sz w:val="28"/>
          <w:szCs w:val="28"/>
        </w:rPr>
        <w:lastRenderedPageBreak/>
        <w:t>應注意業務人員是否有勸誘客戶於顯不相當之</w:t>
      </w:r>
      <w:proofErr w:type="gramStart"/>
      <w:r w:rsidRPr="001268E3">
        <w:rPr>
          <w:rFonts w:ascii="標楷體" w:eastAsia="標楷體" w:hAnsi="標楷體" w:hint="eastAsia"/>
          <w:sz w:val="28"/>
          <w:szCs w:val="28"/>
        </w:rPr>
        <w:t>短期間內</w:t>
      </w:r>
      <w:proofErr w:type="gramEnd"/>
      <w:r w:rsidRPr="001268E3">
        <w:rPr>
          <w:rFonts w:ascii="標楷體" w:eastAsia="標楷體" w:hAnsi="標楷體" w:hint="eastAsia"/>
          <w:sz w:val="28"/>
          <w:szCs w:val="28"/>
        </w:rPr>
        <w:t>，以多次提前終止再投資或頻繁交易之方式不當賺取酬金之情事。</w:t>
      </w:r>
    </w:p>
    <w:p w:rsidR="00A439E3" w:rsidRPr="001268E3" w:rsidRDefault="00A439E3" w:rsidP="00A439E3">
      <w:pPr>
        <w:pStyle w:val="a3"/>
        <w:numPr>
          <w:ilvl w:val="0"/>
          <w:numId w:val="3"/>
        </w:numPr>
        <w:adjustRightInd w:val="0"/>
        <w:snapToGrid w:val="0"/>
        <w:spacing w:afterLines="50" w:line="320" w:lineRule="exact"/>
        <w:ind w:leftChars="0"/>
        <w:jc w:val="both"/>
        <w:rPr>
          <w:rFonts w:ascii="標楷體" w:eastAsia="標楷體" w:hAnsi="標楷體"/>
          <w:sz w:val="28"/>
          <w:szCs w:val="28"/>
          <w:shd w:val="pct15" w:color="auto" w:fill="FFFFFF"/>
        </w:rPr>
      </w:pPr>
      <w:r w:rsidRPr="001268E3">
        <w:rPr>
          <w:rFonts w:ascii="標楷體" w:eastAsia="標楷體" w:hAnsi="標楷體" w:hint="eastAsia"/>
          <w:sz w:val="28"/>
          <w:szCs w:val="28"/>
        </w:rPr>
        <w:t>考量金融商品或服務之業績時，應避免直接與特定金融商品銷售或服務之業績連結，並應綜合考量非財務指標。</w:t>
      </w:r>
    </w:p>
    <w:p w:rsidR="00A439E3" w:rsidRPr="001268E3" w:rsidRDefault="00A439E3" w:rsidP="00A439E3">
      <w:pPr>
        <w:adjustRightInd w:val="0"/>
        <w:snapToGrid w:val="0"/>
        <w:spacing w:afterLines="50" w:line="320" w:lineRule="exact"/>
        <w:jc w:val="both"/>
        <w:rPr>
          <w:rFonts w:ascii="標楷體" w:eastAsia="標楷體" w:hAnsi="標楷體"/>
          <w:color w:val="000000" w:themeColor="text1"/>
          <w:sz w:val="28"/>
          <w:szCs w:val="28"/>
          <w:shd w:val="pct15" w:color="auto" w:fill="FFFFFF"/>
        </w:rPr>
      </w:pPr>
      <w:r w:rsidRPr="001268E3">
        <w:rPr>
          <w:rFonts w:ascii="標楷體" w:eastAsia="標楷體" w:hAnsi="標楷體" w:hint="eastAsia"/>
          <w:color w:val="000000" w:themeColor="text1"/>
          <w:sz w:val="28"/>
          <w:szCs w:val="28"/>
        </w:rPr>
        <w:t>會員公司訂定業務人員之酬金制度，除應遵守前二項規定外，</w:t>
      </w:r>
      <w:proofErr w:type="gramStart"/>
      <w:r w:rsidRPr="001268E3">
        <w:rPr>
          <w:rFonts w:ascii="標楷體" w:eastAsia="標楷體" w:hAnsi="標楷體" w:hint="eastAsia"/>
          <w:color w:val="000000" w:themeColor="text1"/>
          <w:sz w:val="28"/>
          <w:szCs w:val="28"/>
        </w:rPr>
        <w:t>並應衡平</w:t>
      </w:r>
      <w:proofErr w:type="gramEnd"/>
      <w:r w:rsidRPr="001268E3">
        <w:rPr>
          <w:rFonts w:ascii="標楷體" w:eastAsia="標楷體" w:hAnsi="標楷體" w:hint="eastAsia"/>
          <w:color w:val="000000" w:themeColor="text1"/>
          <w:sz w:val="28"/>
          <w:szCs w:val="28"/>
        </w:rPr>
        <w:t>考量客戶權益、金融商品或服務對會員公司與客戶可能產生之各項風險等因素而訂定，不得僅考量金融商品或服務之業績目標達成情形。</w:t>
      </w:r>
    </w:p>
    <w:p w:rsidR="00A439E3" w:rsidRPr="001268E3" w:rsidRDefault="00A439E3" w:rsidP="00A439E3">
      <w:pPr>
        <w:adjustRightInd w:val="0"/>
        <w:snapToGrid w:val="0"/>
        <w:spacing w:afterLines="50" w:line="320" w:lineRule="exact"/>
        <w:ind w:left="561" w:hanging="561"/>
        <w:jc w:val="both"/>
        <w:rPr>
          <w:rFonts w:ascii="標楷體" w:eastAsia="標楷體" w:hAnsi="標楷體"/>
          <w:color w:val="C00000"/>
          <w:sz w:val="28"/>
          <w:szCs w:val="28"/>
          <w:u w:val="single"/>
        </w:rPr>
      </w:pPr>
    </w:p>
    <w:p w:rsidR="00A439E3" w:rsidRPr="001268E3" w:rsidRDefault="00A439E3" w:rsidP="00A439E3">
      <w:pPr>
        <w:adjustRightInd w:val="0"/>
        <w:snapToGrid w:val="0"/>
        <w:spacing w:afterLines="50" w:line="320" w:lineRule="exact"/>
        <w:ind w:left="561" w:hanging="561"/>
        <w:jc w:val="both"/>
        <w:rPr>
          <w:rFonts w:ascii="標楷體" w:eastAsia="標楷體" w:hAnsi="標楷體"/>
          <w:color w:val="000000" w:themeColor="text1"/>
          <w:sz w:val="28"/>
          <w:szCs w:val="28"/>
        </w:rPr>
      </w:pPr>
      <w:r w:rsidRPr="001268E3">
        <w:rPr>
          <w:rFonts w:ascii="標楷體" w:eastAsia="標楷體" w:hAnsi="標楷體" w:hint="eastAsia"/>
          <w:color w:val="000000" w:themeColor="text1"/>
          <w:sz w:val="28"/>
          <w:szCs w:val="28"/>
        </w:rPr>
        <w:t>第六條</w:t>
      </w:r>
    </w:p>
    <w:p w:rsidR="00A439E3" w:rsidRPr="001268E3" w:rsidRDefault="00A439E3" w:rsidP="00A439E3">
      <w:pPr>
        <w:adjustRightInd w:val="0"/>
        <w:snapToGrid w:val="0"/>
        <w:spacing w:afterLines="50" w:line="320" w:lineRule="exact"/>
        <w:jc w:val="both"/>
        <w:rPr>
          <w:rFonts w:ascii="標楷體" w:eastAsia="標楷體" w:hAnsi="標楷體" w:cs="細明體"/>
          <w:color w:val="000000" w:themeColor="text1"/>
          <w:kern w:val="0"/>
          <w:sz w:val="28"/>
          <w:szCs w:val="28"/>
        </w:rPr>
      </w:pPr>
      <w:r w:rsidRPr="001268E3">
        <w:rPr>
          <w:rFonts w:ascii="標楷體" w:eastAsia="標楷體" w:hAnsi="標楷體" w:hint="eastAsia"/>
          <w:color w:val="000000" w:themeColor="text1"/>
          <w:sz w:val="28"/>
          <w:szCs w:val="28"/>
        </w:rPr>
        <w:t>前條第二項所稱投資型金融商品或服務，係指</w:t>
      </w:r>
      <w:r>
        <w:rPr>
          <w:rFonts w:ascii="標楷體" w:eastAsia="標楷體" w:hAnsi="標楷體" w:hint="eastAsia"/>
          <w:color w:val="000000" w:themeColor="text1"/>
          <w:sz w:val="28"/>
          <w:szCs w:val="28"/>
        </w:rPr>
        <w:t>「</w:t>
      </w:r>
      <w:hyperlink r:id="rId7" w:history="1">
        <w:r w:rsidRPr="001268E3">
          <w:rPr>
            <w:rFonts w:ascii="標楷體" w:eastAsia="標楷體" w:hAnsi="標楷體" w:cs="新細明體" w:hint="eastAsia"/>
            <w:color w:val="000000" w:themeColor="text1"/>
            <w:kern w:val="0"/>
            <w:sz w:val="28"/>
            <w:szCs w:val="28"/>
          </w:rPr>
          <w:t>金融服務業確保金融商品或服務適合金融消費者辦法</w:t>
        </w:r>
      </w:hyperlink>
      <w:r>
        <w:rPr>
          <w:rFonts w:ascii="標楷體" w:eastAsia="標楷體" w:hAnsi="標楷體" w:hint="eastAsia"/>
          <w:color w:val="000000" w:themeColor="text1"/>
          <w:sz w:val="28"/>
          <w:szCs w:val="28"/>
        </w:rPr>
        <w:t>」</w:t>
      </w:r>
      <w:r w:rsidRPr="001268E3">
        <w:rPr>
          <w:rFonts w:ascii="標楷體" w:eastAsia="標楷體" w:hAnsi="標楷體" w:hint="eastAsia"/>
          <w:color w:val="000000" w:themeColor="text1"/>
          <w:sz w:val="28"/>
          <w:szCs w:val="28"/>
        </w:rPr>
        <w:t>第五條所稱之</w:t>
      </w:r>
      <w:r w:rsidRPr="001268E3">
        <w:rPr>
          <w:rFonts w:ascii="標楷體" w:eastAsia="標楷體" w:hAnsi="標楷體" w:cs="細明體" w:hint="eastAsia"/>
          <w:color w:val="000000" w:themeColor="text1"/>
          <w:kern w:val="0"/>
          <w:sz w:val="28"/>
          <w:szCs w:val="28"/>
        </w:rPr>
        <w:t>投資型金融商品或服務</w:t>
      </w:r>
      <w:r>
        <w:rPr>
          <w:rFonts w:ascii="標楷體" w:eastAsia="標楷體" w:hAnsi="標楷體" w:cs="細明體" w:hint="eastAsia"/>
          <w:color w:val="000000" w:themeColor="text1"/>
          <w:kern w:val="0"/>
          <w:sz w:val="28"/>
          <w:szCs w:val="28"/>
        </w:rPr>
        <w:t>，</w:t>
      </w:r>
      <w:r w:rsidRPr="001268E3">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w:t>
      </w:r>
      <w:hyperlink r:id="rId8" w:history="1">
        <w:r w:rsidRPr="001268E3">
          <w:rPr>
            <w:rFonts w:ascii="標楷體" w:eastAsia="標楷體" w:hAnsi="標楷體" w:hint="eastAsia"/>
            <w:color w:val="000000" w:themeColor="text1"/>
            <w:sz w:val="28"/>
            <w:szCs w:val="28"/>
          </w:rPr>
          <w:t>金融服務業提供金融商品或服務前說明契約重要內容及揭露風險辦法</w:t>
        </w:r>
      </w:hyperlink>
      <w:r>
        <w:rPr>
          <w:rFonts w:ascii="標楷體" w:eastAsia="標楷體" w:hAnsi="標楷體" w:hint="eastAsia"/>
          <w:color w:val="000000" w:themeColor="text1"/>
          <w:sz w:val="28"/>
          <w:szCs w:val="28"/>
        </w:rPr>
        <w:t>」</w:t>
      </w:r>
      <w:r w:rsidRPr="001268E3">
        <w:rPr>
          <w:rFonts w:ascii="標楷體" w:eastAsia="標楷體" w:hAnsi="標楷體" w:hint="eastAsia"/>
          <w:color w:val="000000" w:themeColor="text1"/>
          <w:sz w:val="28"/>
          <w:szCs w:val="28"/>
        </w:rPr>
        <w:t>第六條所稱之</w:t>
      </w:r>
      <w:r w:rsidRPr="001268E3">
        <w:rPr>
          <w:rFonts w:ascii="標楷體" w:eastAsia="標楷體" w:hAnsi="標楷體" w:cs="細明體" w:hint="eastAsia"/>
          <w:color w:val="000000" w:themeColor="text1"/>
          <w:kern w:val="0"/>
          <w:sz w:val="28"/>
          <w:szCs w:val="28"/>
        </w:rPr>
        <w:t>投資型商品或服務。</w:t>
      </w:r>
    </w:p>
    <w:p w:rsidR="00A439E3" w:rsidRPr="001268E3" w:rsidRDefault="00A439E3" w:rsidP="00A439E3">
      <w:pPr>
        <w:adjustRightInd w:val="0"/>
        <w:snapToGrid w:val="0"/>
        <w:spacing w:afterLines="50" w:line="320" w:lineRule="exact"/>
        <w:jc w:val="both"/>
        <w:rPr>
          <w:rFonts w:ascii="標楷體" w:eastAsia="標楷體" w:hAnsi="標楷體"/>
          <w:color w:val="000000" w:themeColor="text1"/>
          <w:sz w:val="28"/>
          <w:szCs w:val="28"/>
        </w:rPr>
      </w:pPr>
      <w:r w:rsidRPr="001268E3">
        <w:rPr>
          <w:rFonts w:ascii="標楷體" w:eastAsia="標楷體" w:hAnsi="標楷體" w:cs="細明體" w:hint="eastAsia"/>
          <w:color w:val="000000" w:themeColor="text1"/>
          <w:kern w:val="0"/>
          <w:sz w:val="28"/>
          <w:szCs w:val="28"/>
        </w:rPr>
        <w:t>非屬前項</w:t>
      </w:r>
      <w:r w:rsidRPr="001268E3">
        <w:rPr>
          <w:rFonts w:ascii="標楷體" w:eastAsia="標楷體" w:hAnsi="標楷體" w:hint="eastAsia"/>
          <w:color w:val="000000" w:themeColor="text1"/>
          <w:sz w:val="28"/>
          <w:szCs w:val="28"/>
        </w:rPr>
        <w:t>投資型金融商品或服務者，皆屬前條第一項所稱之非投資型金融商品或服務。</w:t>
      </w:r>
    </w:p>
    <w:p w:rsidR="00A439E3" w:rsidRPr="001268E3" w:rsidRDefault="00A439E3" w:rsidP="00A439E3">
      <w:pPr>
        <w:adjustRightInd w:val="0"/>
        <w:snapToGrid w:val="0"/>
        <w:spacing w:afterLines="50" w:line="320" w:lineRule="exact"/>
        <w:jc w:val="both"/>
        <w:rPr>
          <w:rFonts w:ascii="標楷體" w:eastAsia="標楷體" w:hAnsi="標楷體"/>
          <w:color w:val="000000" w:themeColor="text1"/>
          <w:sz w:val="28"/>
          <w:szCs w:val="28"/>
        </w:rPr>
      </w:pPr>
    </w:p>
    <w:p w:rsidR="00A439E3" w:rsidRPr="001268E3" w:rsidRDefault="00A439E3" w:rsidP="00A439E3">
      <w:pPr>
        <w:pStyle w:val="HTML"/>
        <w:spacing w:afterLines="50" w:line="320" w:lineRule="exact"/>
        <w:ind w:left="496" w:hangingChars="177" w:hanging="496"/>
        <w:jc w:val="both"/>
        <w:rPr>
          <w:rFonts w:ascii="標楷體" w:eastAsia="標楷體" w:hAnsi="標楷體"/>
          <w:sz w:val="28"/>
          <w:szCs w:val="28"/>
        </w:rPr>
      </w:pPr>
      <w:r w:rsidRPr="001268E3">
        <w:rPr>
          <w:rFonts w:ascii="標楷體" w:eastAsia="標楷體" w:hAnsi="標楷體" w:hint="eastAsia"/>
          <w:sz w:val="28"/>
          <w:szCs w:val="28"/>
        </w:rPr>
        <w:t>第</w:t>
      </w:r>
      <w:r>
        <w:rPr>
          <w:rFonts w:ascii="標楷體" w:eastAsia="標楷體" w:hAnsi="標楷體" w:hint="eastAsia"/>
          <w:sz w:val="28"/>
          <w:szCs w:val="28"/>
        </w:rPr>
        <w:t>七</w:t>
      </w:r>
      <w:r w:rsidRPr="001268E3">
        <w:rPr>
          <w:rFonts w:ascii="標楷體" w:eastAsia="標楷體" w:hAnsi="標楷體" w:hint="eastAsia"/>
          <w:sz w:val="28"/>
          <w:szCs w:val="28"/>
        </w:rPr>
        <w:t>條</w:t>
      </w:r>
    </w:p>
    <w:p w:rsidR="00A439E3" w:rsidRPr="001268E3" w:rsidRDefault="00A439E3" w:rsidP="00A439E3">
      <w:pPr>
        <w:spacing w:before="180" w:afterLines="50" w:line="320" w:lineRule="exact"/>
        <w:ind w:left="496" w:hangingChars="177" w:hanging="496"/>
        <w:jc w:val="both"/>
        <w:rPr>
          <w:rFonts w:ascii="標楷體" w:eastAsia="標楷體" w:hAnsi="標楷體"/>
          <w:sz w:val="28"/>
          <w:szCs w:val="28"/>
        </w:rPr>
      </w:pPr>
      <w:r w:rsidRPr="001268E3">
        <w:rPr>
          <w:rFonts w:ascii="標楷體" w:eastAsia="標楷體" w:hAnsi="標楷體" w:hint="eastAsia"/>
          <w:sz w:val="28"/>
          <w:szCs w:val="28"/>
        </w:rPr>
        <w:t>本原則經理事會議通過並報請主管機關核定後施行。修正時亦同。</w:t>
      </w:r>
    </w:p>
    <w:p w:rsidR="00A439E3" w:rsidRPr="001268E3" w:rsidRDefault="00A439E3" w:rsidP="00A439E3">
      <w:pPr>
        <w:jc w:val="both"/>
        <w:rPr>
          <w:rFonts w:ascii="標楷體" w:eastAsia="標楷體" w:hAnsi="標楷體"/>
          <w:sz w:val="28"/>
          <w:szCs w:val="28"/>
        </w:rPr>
      </w:pPr>
    </w:p>
    <w:p w:rsidR="00A439E3" w:rsidRPr="001268E3" w:rsidRDefault="00A439E3" w:rsidP="00A439E3">
      <w:pPr>
        <w:jc w:val="both"/>
        <w:rPr>
          <w:rFonts w:ascii="標楷體" w:eastAsia="標楷體" w:hAnsi="標楷體"/>
          <w:sz w:val="28"/>
          <w:szCs w:val="28"/>
        </w:rPr>
      </w:pPr>
    </w:p>
    <w:p w:rsidR="00A439E3" w:rsidRPr="001268E3" w:rsidRDefault="00A439E3" w:rsidP="00A439E3">
      <w:pPr>
        <w:jc w:val="both"/>
        <w:rPr>
          <w:rFonts w:ascii="標楷體" w:eastAsia="標楷體" w:hAnsi="標楷體"/>
          <w:sz w:val="28"/>
          <w:szCs w:val="28"/>
        </w:rPr>
      </w:pPr>
    </w:p>
    <w:p w:rsidR="00A439E3" w:rsidRPr="001268E3" w:rsidRDefault="00A439E3" w:rsidP="00A439E3">
      <w:pPr>
        <w:jc w:val="both"/>
        <w:rPr>
          <w:rFonts w:ascii="標楷體" w:eastAsia="標楷體" w:hAnsi="標楷體"/>
          <w:sz w:val="28"/>
          <w:szCs w:val="28"/>
        </w:rPr>
      </w:pPr>
    </w:p>
    <w:p w:rsidR="00A439E3" w:rsidRPr="001268E3" w:rsidRDefault="00A439E3" w:rsidP="00A439E3">
      <w:pPr>
        <w:jc w:val="both"/>
        <w:rPr>
          <w:rFonts w:ascii="標楷體" w:eastAsia="標楷體" w:hAnsi="標楷體"/>
          <w:sz w:val="28"/>
          <w:szCs w:val="28"/>
        </w:rPr>
      </w:pPr>
    </w:p>
    <w:p w:rsidR="00A439E3" w:rsidRPr="001268E3" w:rsidRDefault="00A439E3" w:rsidP="00A439E3">
      <w:pPr>
        <w:jc w:val="both"/>
        <w:rPr>
          <w:rFonts w:ascii="標楷體" w:eastAsia="標楷體" w:hAnsi="標楷體"/>
          <w:sz w:val="28"/>
          <w:szCs w:val="28"/>
        </w:rPr>
      </w:pPr>
    </w:p>
    <w:p w:rsidR="00A439E3" w:rsidRPr="001268E3" w:rsidRDefault="00A439E3" w:rsidP="00A439E3">
      <w:pPr>
        <w:jc w:val="both"/>
        <w:rPr>
          <w:rFonts w:ascii="標楷體" w:eastAsia="標楷體" w:hAnsi="標楷體"/>
          <w:sz w:val="28"/>
          <w:szCs w:val="28"/>
        </w:rPr>
      </w:pPr>
    </w:p>
    <w:p w:rsidR="00A439E3" w:rsidRDefault="00A439E3" w:rsidP="00A439E3">
      <w:pPr>
        <w:jc w:val="both"/>
        <w:rPr>
          <w:rFonts w:ascii="標楷體" w:eastAsia="標楷體" w:hAnsi="標楷體"/>
          <w:sz w:val="28"/>
          <w:szCs w:val="28"/>
        </w:rPr>
      </w:pPr>
    </w:p>
    <w:p w:rsidR="00A439E3" w:rsidRDefault="00A439E3" w:rsidP="00A439E3">
      <w:pPr>
        <w:jc w:val="both"/>
        <w:rPr>
          <w:rFonts w:ascii="標楷體" w:eastAsia="標楷體" w:hAnsi="標楷體"/>
          <w:sz w:val="28"/>
          <w:szCs w:val="28"/>
        </w:rPr>
      </w:pPr>
    </w:p>
    <w:p w:rsidR="00B510DB" w:rsidRDefault="00B510DB" w:rsidP="00BD323F">
      <w:pPr>
        <w:adjustRightInd w:val="0"/>
        <w:snapToGrid w:val="0"/>
        <w:spacing w:line="320" w:lineRule="exact"/>
        <w:jc w:val="center"/>
        <w:rPr>
          <w:rFonts w:ascii="標楷體" w:eastAsia="標楷體" w:hAnsi="標楷體"/>
          <w:b/>
          <w:color w:val="000000"/>
          <w:sz w:val="28"/>
          <w:szCs w:val="28"/>
        </w:rPr>
      </w:pPr>
      <w:r w:rsidRPr="001268E3">
        <w:rPr>
          <w:rFonts w:ascii="標楷體" w:eastAsia="標楷體" w:hAnsi="標楷體" w:hint="eastAsia"/>
          <w:b/>
          <w:color w:val="000000"/>
          <w:sz w:val="28"/>
          <w:szCs w:val="28"/>
        </w:rPr>
        <w:lastRenderedPageBreak/>
        <w:t>中華民國證券商業同業公會會員公司業務人員酬金制度應遵行原則</w:t>
      </w:r>
      <w:r>
        <w:rPr>
          <w:rFonts w:ascii="標楷體" w:eastAsia="標楷體" w:hAnsi="標楷體" w:hint="eastAsia"/>
          <w:b/>
          <w:color w:val="000000"/>
          <w:sz w:val="28"/>
          <w:szCs w:val="28"/>
        </w:rPr>
        <w:t>總說明</w:t>
      </w:r>
    </w:p>
    <w:p w:rsidR="00B510DB" w:rsidRDefault="00B510DB" w:rsidP="009804BE">
      <w:pPr>
        <w:adjustRightInd w:val="0"/>
        <w:snapToGrid w:val="0"/>
        <w:spacing w:line="320" w:lineRule="exact"/>
        <w:jc w:val="both"/>
        <w:rPr>
          <w:rFonts w:ascii="標楷體" w:eastAsia="標楷體" w:hAnsi="標楷體"/>
          <w:b/>
          <w:color w:val="000000"/>
          <w:sz w:val="28"/>
          <w:szCs w:val="28"/>
        </w:rPr>
      </w:pPr>
    </w:p>
    <w:p w:rsidR="00B510DB" w:rsidRPr="00BC4D8D" w:rsidRDefault="00B510DB" w:rsidP="00A439E3">
      <w:pPr>
        <w:adjustRightInd w:val="0"/>
        <w:snapToGrid w:val="0"/>
        <w:spacing w:afterLines="50" w:line="320" w:lineRule="exact"/>
        <w:jc w:val="both"/>
        <w:rPr>
          <w:rFonts w:ascii="標楷體" w:eastAsia="標楷體" w:hAnsi="標楷體"/>
          <w:color w:val="000000"/>
          <w:sz w:val="28"/>
          <w:szCs w:val="28"/>
        </w:rPr>
      </w:pPr>
      <w:r w:rsidRPr="00B82A63">
        <w:rPr>
          <w:rFonts w:ascii="標楷體" w:eastAsia="標楷體" w:hAnsi="標楷體" w:hint="eastAsia"/>
          <w:color w:val="000000"/>
          <w:sz w:val="28"/>
          <w:szCs w:val="28"/>
        </w:rPr>
        <w:t>1</w:t>
      </w:r>
      <w:r w:rsidRPr="00BC4D8D">
        <w:rPr>
          <w:rFonts w:ascii="標楷體" w:eastAsia="標楷體" w:hAnsi="標楷體" w:hint="eastAsia"/>
          <w:color w:val="000000"/>
          <w:sz w:val="28"/>
          <w:szCs w:val="28"/>
        </w:rPr>
        <w:t>04年2月4日總統</w:t>
      </w:r>
      <w:r w:rsidR="003C4A3A">
        <w:rPr>
          <w:rFonts w:ascii="標楷體" w:eastAsia="標楷體" w:hAnsi="標楷體" w:hint="eastAsia"/>
          <w:color w:val="000000"/>
          <w:sz w:val="28"/>
          <w:szCs w:val="28"/>
        </w:rPr>
        <w:t>令</w:t>
      </w:r>
      <w:r w:rsidRPr="00BC4D8D">
        <w:rPr>
          <w:rFonts w:ascii="標楷體" w:eastAsia="標楷體" w:hAnsi="標楷體" w:hint="eastAsia"/>
          <w:color w:val="000000"/>
          <w:sz w:val="28"/>
          <w:szCs w:val="28"/>
        </w:rPr>
        <w:t>公</w:t>
      </w:r>
      <w:r w:rsidR="003C4A3A">
        <w:rPr>
          <w:rFonts w:ascii="標楷體" w:eastAsia="標楷體" w:hAnsi="標楷體" w:hint="eastAsia"/>
          <w:color w:val="000000"/>
          <w:sz w:val="28"/>
          <w:szCs w:val="28"/>
        </w:rPr>
        <w:t>布</w:t>
      </w:r>
      <w:r w:rsidRPr="00BC4D8D">
        <w:rPr>
          <w:rFonts w:ascii="標楷體" w:eastAsia="標楷體" w:hAnsi="標楷體" w:hint="eastAsia"/>
          <w:color w:val="000000"/>
          <w:sz w:val="28"/>
          <w:szCs w:val="28"/>
        </w:rPr>
        <w:t>「金融消費者保護法」增修訂條文</w:t>
      </w:r>
      <w:r w:rsidR="00110BDD">
        <w:rPr>
          <w:rFonts w:ascii="標楷體" w:eastAsia="標楷體" w:hAnsi="標楷體" w:hint="eastAsia"/>
          <w:color w:val="000000"/>
          <w:sz w:val="28"/>
          <w:szCs w:val="28"/>
        </w:rPr>
        <w:t>(</w:t>
      </w:r>
      <w:r w:rsidR="00EA7F0B">
        <w:rPr>
          <w:rFonts w:ascii="標楷體" w:eastAsia="標楷體" w:hAnsi="標楷體" w:hint="eastAsia"/>
          <w:color w:val="000000"/>
          <w:sz w:val="28"/>
          <w:szCs w:val="28"/>
        </w:rPr>
        <w:t>104年4月27日行政院令</w:t>
      </w:r>
      <w:r w:rsidR="0092168B">
        <w:rPr>
          <w:rFonts w:ascii="標楷體" w:eastAsia="標楷體" w:hAnsi="標楷體" w:hint="eastAsia"/>
          <w:color w:val="000000"/>
          <w:sz w:val="28"/>
          <w:szCs w:val="28"/>
        </w:rPr>
        <w:t>，定</w:t>
      </w:r>
      <w:r w:rsidR="00EA7F0B">
        <w:rPr>
          <w:rFonts w:ascii="標楷體" w:eastAsia="標楷體" w:hAnsi="標楷體" w:hint="eastAsia"/>
          <w:color w:val="000000"/>
          <w:sz w:val="28"/>
          <w:szCs w:val="28"/>
        </w:rPr>
        <w:t>自104年5月3日施行</w:t>
      </w:r>
      <w:r w:rsidR="00110BDD">
        <w:rPr>
          <w:rFonts w:ascii="標楷體" w:eastAsia="標楷體" w:hAnsi="標楷體" w:hint="eastAsia"/>
          <w:color w:val="000000"/>
          <w:sz w:val="28"/>
          <w:szCs w:val="28"/>
        </w:rPr>
        <w:t>)</w:t>
      </w:r>
      <w:r w:rsidRPr="00BC4D8D">
        <w:rPr>
          <w:rFonts w:ascii="標楷體" w:eastAsia="標楷體" w:hAnsi="標楷體" w:hint="eastAsia"/>
          <w:color w:val="000000"/>
          <w:sz w:val="28"/>
          <w:szCs w:val="28"/>
        </w:rPr>
        <w:t>，其中新增</w:t>
      </w:r>
      <w:r w:rsidRPr="00BC4D8D">
        <w:rPr>
          <w:rFonts w:ascii="標楷體" w:eastAsia="標楷體" w:hAnsi="標楷體" w:cs="細明體" w:hint="eastAsia"/>
          <w:kern w:val="0"/>
          <w:sz w:val="28"/>
          <w:szCs w:val="28"/>
          <w:lang w:val="zh-TW"/>
        </w:rPr>
        <w:t>第十一條之</w:t>
      </w:r>
      <w:proofErr w:type="gramStart"/>
      <w:r w:rsidRPr="00BC4D8D">
        <w:rPr>
          <w:rFonts w:ascii="標楷體" w:eastAsia="標楷體" w:hAnsi="標楷體" w:cs="細明體" w:hint="eastAsia"/>
          <w:kern w:val="0"/>
          <w:sz w:val="28"/>
          <w:szCs w:val="28"/>
          <w:lang w:val="zh-TW"/>
        </w:rPr>
        <w:t>一</w:t>
      </w:r>
      <w:proofErr w:type="gramEnd"/>
      <w:r w:rsidRPr="00BC4D8D">
        <w:rPr>
          <w:rFonts w:ascii="標楷體" w:eastAsia="標楷體" w:hAnsi="標楷體" w:hint="eastAsia"/>
          <w:color w:val="000000"/>
          <w:sz w:val="28"/>
          <w:szCs w:val="28"/>
        </w:rPr>
        <w:t>規定，第</w:t>
      </w:r>
      <w:r>
        <w:rPr>
          <w:rFonts w:ascii="標楷體" w:eastAsia="標楷體" w:hAnsi="標楷體" w:hint="eastAsia"/>
          <w:color w:val="000000"/>
          <w:sz w:val="28"/>
          <w:szCs w:val="28"/>
        </w:rPr>
        <w:t>一</w:t>
      </w:r>
      <w:r w:rsidRPr="00BC4D8D">
        <w:rPr>
          <w:rFonts w:ascii="標楷體" w:eastAsia="標楷體" w:hAnsi="標楷體" w:hint="eastAsia"/>
          <w:color w:val="000000"/>
          <w:sz w:val="28"/>
          <w:szCs w:val="28"/>
        </w:rPr>
        <w:t>項：「金融服務業應訂定業務人員酬金制度，並提報董</w:t>
      </w:r>
      <w:r w:rsidR="00AA65EC">
        <w:rPr>
          <w:rFonts w:ascii="標楷體" w:eastAsia="標楷體" w:hAnsi="標楷體" w:hint="eastAsia"/>
          <w:color w:val="000000"/>
          <w:sz w:val="28"/>
          <w:szCs w:val="28"/>
        </w:rPr>
        <w:t>(理)</w:t>
      </w:r>
      <w:r w:rsidRPr="00BC4D8D">
        <w:rPr>
          <w:rFonts w:ascii="標楷體" w:eastAsia="標楷體" w:hAnsi="標楷體" w:hint="eastAsia"/>
          <w:color w:val="000000"/>
          <w:sz w:val="28"/>
          <w:szCs w:val="28"/>
        </w:rPr>
        <w:t>事會通過。」，第</w:t>
      </w:r>
      <w:r>
        <w:rPr>
          <w:rFonts w:ascii="標楷體" w:eastAsia="標楷體" w:hAnsi="標楷體" w:hint="eastAsia"/>
          <w:color w:val="000000"/>
          <w:sz w:val="28"/>
          <w:szCs w:val="28"/>
        </w:rPr>
        <w:t>二</w:t>
      </w:r>
      <w:r w:rsidRPr="00BC4D8D">
        <w:rPr>
          <w:rFonts w:ascii="標楷體" w:eastAsia="標楷體" w:hAnsi="標楷體" w:hint="eastAsia"/>
          <w:color w:val="000000"/>
          <w:sz w:val="28"/>
          <w:szCs w:val="28"/>
        </w:rPr>
        <w:t>項明訂：「</w:t>
      </w:r>
      <w:r w:rsidRPr="00BC4D8D">
        <w:rPr>
          <w:rFonts w:ascii="標楷體" w:eastAsia="標楷體" w:hAnsi="標楷體" w:cs="細明體" w:hint="eastAsia"/>
          <w:color w:val="000000"/>
          <w:kern w:val="0"/>
          <w:sz w:val="28"/>
          <w:szCs w:val="28"/>
          <w:lang w:val="zh-TW"/>
        </w:rPr>
        <w:t>酬金制度應衡平考量客戶權益、金融商品或服務對金融服務業及客戶可能產生之各項風險，不得僅考量金融商品或服務之業績目標達成情形。</w:t>
      </w:r>
      <w:r w:rsidRPr="00BC4D8D">
        <w:rPr>
          <w:rFonts w:ascii="標楷體" w:eastAsia="標楷體" w:hAnsi="標楷體" w:hint="eastAsia"/>
          <w:color w:val="000000"/>
          <w:sz w:val="28"/>
          <w:szCs w:val="28"/>
        </w:rPr>
        <w:t>」，</w:t>
      </w:r>
      <w:proofErr w:type="gramStart"/>
      <w:r w:rsidR="00AA65EC" w:rsidRPr="00BC4D8D">
        <w:rPr>
          <w:rFonts w:ascii="標楷體" w:eastAsia="標楷體" w:hAnsi="標楷體" w:hint="eastAsia"/>
          <w:color w:val="000000"/>
          <w:sz w:val="28"/>
          <w:szCs w:val="28"/>
        </w:rPr>
        <w:t>第</w:t>
      </w:r>
      <w:r w:rsidR="00AA65EC">
        <w:rPr>
          <w:rFonts w:ascii="標楷體" w:eastAsia="標楷體" w:hAnsi="標楷體" w:hint="eastAsia"/>
          <w:color w:val="000000"/>
          <w:sz w:val="28"/>
          <w:szCs w:val="28"/>
        </w:rPr>
        <w:t>三</w:t>
      </w:r>
      <w:r w:rsidR="00AA65EC" w:rsidRPr="00BC4D8D">
        <w:rPr>
          <w:rFonts w:ascii="標楷體" w:eastAsia="標楷體" w:hAnsi="標楷體" w:hint="eastAsia"/>
          <w:color w:val="000000"/>
          <w:sz w:val="28"/>
          <w:szCs w:val="28"/>
        </w:rPr>
        <w:t>項並授權</w:t>
      </w:r>
      <w:proofErr w:type="gramEnd"/>
      <w:r w:rsidR="00AA65EC" w:rsidRPr="00BC4D8D">
        <w:rPr>
          <w:rFonts w:ascii="標楷體" w:eastAsia="標楷體" w:hAnsi="標楷體" w:hint="eastAsia"/>
          <w:color w:val="000000"/>
          <w:sz w:val="28"/>
          <w:szCs w:val="28"/>
        </w:rPr>
        <w:t>各</w:t>
      </w:r>
      <w:r w:rsidR="00AA65EC">
        <w:rPr>
          <w:rFonts w:ascii="標楷體" w:eastAsia="標楷體" w:hAnsi="標楷體" w:hint="eastAsia"/>
          <w:color w:val="000000"/>
          <w:sz w:val="28"/>
          <w:szCs w:val="28"/>
        </w:rPr>
        <w:t>金融服務業所屬</w:t>
      </w:r>
      <w:r w:rsidR="00AA65EC" w:rsidRPr="00BC4D8D">
        <w:rPr>
          <w:rFonts w:ascii="標楷體" w:eastAsia="標楷體" w:hAnsi="標楷體" w:hint="eastAsia"/>
          <w:color w:val="000000"/>
          <w:sz w:val="28"/>
          <w:szCs w:val="28"/>
        </w:rPr>
        <w:t>同業公會</w:t>
      </w:r>
      <w:r w:rsidR="00AA65EC">
        <w:rPr>
          <w:rFonts w:ascii="標楷體" w:eastAsia="標楷體" w:hAnsi="標楷體" w:hint="eastAsia"/>
          <w:color w:val="000000"/>
          <w:sz w:val="28"/>
          <w:szCs w:val="28"/>
        </w:rPr>
        <w:t>擬</w:t>
      </w:r>
      <w:r w:rsidR="00AA65EC" w:rsidRPr="00BC4D8D">
        <w:rPr>
          <w:rFonts w:ascii="標楷體" w:eastAsia="標楷體" w:hAnsi="標楷體" w:hint="eastAsia"/>
          <w:color w:val="000000"/>
          <w:sz w:val="28"/>
          <w:szCs w:val="28"/>
        </w:rPr>
        <w:t>訂</w:t>
      </w:r>
      <w:r w:rsidR="00AA65EC">
        <w:rPr>
          <w:rFonts w:ascii="標楷體" w:eastAsia="標楷體" w:hAnsi="標楷體" w:hint="eastAsia"/>
          <w:color w:val="000000"/>
          <w:sz w:val="28"/>
          <w:szCs w:val="28"/>
        </w:rPr>
        <w:t>前開</w:t>
      </w:r>
      <w:r w:rsidR="00AA65EC" w:rsidRPr="00BC4D8D">
        <w:rPr>
          <w:rFonts w:ascii="標楷體" w:eastAsia="標楷體" w:hAnsi="標楷體" w:hint="eastAsia"/>
          <w:color w:val="000000"/>
          <w:sz w:val="28"/>
          <w:szCs w:val="28"/>
        </w:rPr>
        <w:t>酬金制度應遵行之原則</w:t>
      </w:r>
      <w:r w:rsidR="00AA65EC">
        <w:rPr>
          <w:rFonts w:ascii="標楷體" w:eastAsia="標楷體" w:hAnsi="標楷體" w:hint="eastAsia"/>
          <w:color w:val="000000"/>
          <w:sz w:val="28"/>
          <w:szCs w:val="28"/>
        </w:rPr>
        <w:t>，</w:t>
      </w:r>
      <w:r w:rsidR="00AA65EC">
        <w:rPr>
          <w:rFonts w:ascii="標楷體" w:eastAsia="標楷體" w:hAnsi="標楷體" w:hint="eastAsia"/>
          <w:color w:val="000000" w:themeColor="text1"/>
          <w:sz w:val="28"/>
          <w:szCs w:val="28"/>
        </w:rPr>
        <w:t>報請主管機關核定</w:t>
      </w:r>
      <w:r w:rsidR="00AA65EC" w:rsidRPr="00CD2E45">
        <w:rPr>
          <w:rFonts w:ascii="標楷體" w:eastAsia="標楷體" w:hAnsi="標楷體" w:hint="eastAsia"/>
          <w:color w:val="000000" w:themeColor="text1"/>
          <w:sz w:val="28"/>
          <w:szCs w:val="28"/>
        </w:rPr>
        <w:t>。</w:t>
      </w:r>
    </w:p>
    <w:p w:rsidR="006623AD" w:rsidRDefault="00B510DB" w:rsidP="00A439E3">
      <w:pPr>
        <w:autoSpaceDE w:val="0"/>
        <w:autoSpaceDN w:val="0"/>
        <w:adjustRightInd w:val="0"/>
        <w:snapToGrid w:val="0"/>
        <w:spacing w:afterLines="50" w:line="320" w:lineRule="exact"/>
        <w:jc w:val="both"/>
        <w:rPr>
          <w:rFonts w:ascii="標楷體" w:eastAsia="標楷體" w:hAnsi="標楷體" w:cs="細明體"/>
          <w:kern w:val="0"/>
          <w:sz w:val="28"/>
          <w:szCs w:val="28"/>
          <w:lang w:val="zh-TW"/>
        </w:rPr>
      </w:pPr>
      <w:r w:rsidRPr="00BC4D8D">
        <w:rPr>
          <w:rFonts w:ascii="標楷體" w:eastAsia="標楷體" w:hAnsi="標楷體" w:hint="eastAsia"/>
          <w:sz w:val="28"/>
          <w:szCs w:val="28"/>
        </w:rPr>
        <w:t>本次公</w:t>
      </w:r>
      <w:r w:rsidR="007173B1">
        <w:rPr>
          <w:rFonts w:ascii="標楷體" w:eastAsia="標楷體" w:hAnsi="標楷體" w:hint="eastAsia"/>
          <w:sz w:val="28"/>
          <w:szCs w:val="28"/>
        </w:rPr>
        <w:t>布</w:t>
      </w:r>
      <w:r w:rsidRPr="00BC4D8D">
        <w:rPr>
          <w:rFonts w:ascii="標楷體" w:eastAsia="標楷體" w:hAnsi="標楷體" w:hint="eastAsia"/>
          <w:sz w:val="28"/>
          <w:szCs w:val="28"/>
        </w:rPr>
        <w:t>新增第三章之一罰則，</w:t>
      </w:r>
      <w:r w:rsidRPr="00BC4D8D">
        <w:rPr>
          <w:rFonts w:ascii="標楷體" w:eastAsia="標楷體" w:hAnsi="標楷體" w:cs="細明體" w:hint="eastAsia"/>
          <w:kern w:val="0"/>
          <w:sz w:val="28"/>
          <w:szCs w:val="28"/>
          <w:lang w:val="zh-TW"/>
        </w:rPr>
        <w:t>違反第十一條之</w:t>
      </w:r>
      <w:proofErr w:type="gramStart"/>
      <w:r w:rsidRPr="00BC4D8D">
        <w:rPr>
          <w:rFonts w:ascii="標楷體" w:eastAsia="標楷體" w:hAnsi="標楷體" w:cs="細明體" w:hint="eastAsia"/>
          <w:kern w:val="0"/>
          <w:sz w:val="28"/>
          <w:szCs w:val="28"/>
          <w:lang w:val="zh-TW"/>
        </w:rPr>
        <w:t>一</w:t>
      </w:r>
      <w:proofErr w:type="gramEnd"/>
      <w:r w:rsidRPr="00BC4D8D">
        <w:rPr>
          <w:rFonts w:ascii="標楷體" w:eastAsia="標楷體" w:hAnsi="標楷體" w:cs="細明體" w:hint="eastAsia"/>
          <w:kern w:val="0"/>
          <w:sz w:val="28"/>
          <w:szCs w:val="28"/>
          <w:lang w:val="zh-TW"/>
        </w:rPr>
        <w:t>規定，未訂定或未依主管機關核定應遵行之原則訂定酬金制度或未確實執行，訂有新臺幣三十萬元以上一千萬元以下罰鍰處分、</w:t>
      </w:r>
      <w:r w:rsidR="006623AD" w:rsidRPr="006623AD">
        <w:rPr>
          <w:rFonts w:ascii="標楷體" w:eastAsia="標楷體" w:hAnsi="標楷體" w:cs="細明體" w:hint="eastAsia"/>
          <w:kern w:val="0"/>
          <w:sz w:val="28"/>
          <w:szCs w:val="28"/>
          <w:lang w:val="zh-TW"/>
        </w:rPr>
        <w:t>違反第十一條之一第一項或第十一條之二第三項規定，業務人員酬金制度未提報董（理）事會通過，或未經外國金融服務業在</w:t>
      </w:r>
      <w:proofErr w:type="gramStart"/>
      <w:r w:rsidR="006623AD" w:rsidRPr="006623AD">
        <w:rPr>
          <w:rFonts w:ascii="標楷體" w:eastAsia="標楷體" w:hAnsi="標楷體" w:cs="細明體" w:hint="eastAsia"/>
          <w:kern w:val="0"/>
          <w:sz w:val="28"/>
          <w:szCs w:val="28"/>
          <w:lang w:val="zh-TW"/>
        </w:rPr>
        <w:t>臺</w:t>
      </w:r>
      <w:proofErr w:type="gramEnd"/>
      <w:r w:rsidR="006623AD" w:rsidRPr="006623AD">
        <w:rPr>
          <w:rFonts w:ascii="標楷體" w:eastAsia="標楷體" w:hAnsi="標楷體" w:cs="細明體" w:hint="eastAsia"/>
          <w:kern w:val="0"/>
          <w:sz w:val="28"/>
          <w:szCs w:val="28"/>
          <w:lang w:val="zh-TW"/>
        </w:rPr>
        <w:t>分支機構負責人同意</w:t>
      </w:r>
      <w:r w:rsidRPr="00BC4D8D">
        <w:rPr>
          <w:rFonts w:ascii="標楷體" w:eastAsia="標楷體" w:hAnsi="標楷體" w:cs="細明體" w:hint="eastAsia"/>
          <w:kern w:val="0"/>
          <w:sz w:val="28"/>
          <w:szCs w:val="28"/>
          <w:lang w:val="zh-TW"/>
        </w:rPr>
        <w:t>，亦訂有三十萬元以上</w:t>
      </w:r>
      <w:proofErr w:type="gramStart"/>
      <w:r w:rsidRPr="00BC4D8D">
        <w:rPr>
          <w:rFonts w:ascii="標楷體" w:eastAsia="標楷體" w:hAnsi="標楷體" w:cs="細明體" w:hint="eastAsia"/>
          <w:kern w:val="0"/>
          <w:sz w:val="28"/>
          <w:szCs w:val="28"/>
          <w:lang w:val="zh-TW"/>
        </w:rPr>
        <w:t>三</w:t>
      </w:r>
      <w:proofErr w:type="gramEnd"/>
      <w:r w:rsidRPr="00BC4D8D">
        <w:rPr>
          <w:rFonts w:ascii="標楷體" w:eastAsia="標楷體" w:hAnsi="標楷體" w:cs="細明體" w:hint="eastAsia"/>
          <w:kern w:val="0"/>
          <w:sz w:val="28"/>
          <w:szCs w:val="28"/>
          <w:lang w:val="zh-TW"/>
        </w:rPr>
        <w:t>百萬元以下罰鍰處分。</w:t>
      </w:r>
    </w:p>
    <w:p w:rsidR="00B510DB" w:rsidRPr="006623AD" w:rsidRDefault="00B510DB" w:rsidP="00A439E3">
      <w:pPr>
        <w:autoSpaceDE w:val="0"/>
        <w:autoSpaceDN w:val="0"/>
        <w:adjustRightInd w:val="0"/>
        <w:snapToGrid w:val="0"/>
        <w:spacing w:afterLines="50" w:line="320" w:lineRule="exact"/>
        <w:jc w:val="both"/>
        <w:rPr>
          <w:rFonts w:ascii="標楷體" w:eastAsia="標楷體" w:hAnsi="標楷體" w:cs="細明體"/>
          <w:kern w:val="0"/>
          <w:sz w:val="28"/>
          <w:szCs w:val="28"/>
          <w:lang w:val="zh-TW"/>
        </w:rPr>
      </w:pPr>
      <w:r>
        <w:rPr>
          <w:rFonts w:ascii="標楷體" w:eastAsia="標楷體" w:hAnsi="標楷體" w:hint="eastAsia"/>
          <w:sz w:val="28"/>
          <w:szCs w:val="28"/>
        </w:rPr>
        <w:t>依據</w:t>
      </w:r>
      <w:r w:rsidRPr="00BC4D8D">
        <w:rPr>
          <w:rFonts w:ascii="標楷體" w:eastAsia="標楷體" w:hAnsi="標楷體" w:hint="eastAsia"/>
          <w:color w:val="000000"/>
          <w:sz w:val="28"/>
          <w:szCs w:val="28"/>
        </w:rPr>
        <w:t>「金融消費者保護法」</w:t>
      </w:r>
      <w:r w:rsidRPr="00BC4D8D">
        <w:rPr>
          <w:rFonts w:ascii="標楷體" w:eastAsia="標楷體" w:hAnsi="標楷體" w:cs="細明體" w:hint="eastAsia"/>
          <w:kern w:val="0"/>
          <w:sz w:val="28"/>
          <w:szCs w:val="28"/>
          <w:lang w:val="zh-TW"/>
        </w:rPr>
        <w:t>第十一條之一</w:t>
      </w:r>
      <w:r>
        <w:rPr>
          <w:rFonts w:ascii="標楷體" w:eastAsia="標楷體" w:hAnsi="標楷體" w:cs="細明體" w:hint="eastAsia"/>
          <w:kern w:val="0"/>
          <w:sz w:val="28"/>
          <w:szCs w:val="28"/>
          <w:lang w:val="zh-TW"/>
        </w:rPr>
        <w:t>第二項規範金融服務業給付業務人員酬金不得僅與業績連結，尚應考量客戶權益與各項風險等因素之</w:t>
      </w:r>
      <w:r>
        <w:rPr>
          <w:rFonts w:ascii="標楷體" w:eastAsia="標楷體" w:hAnsi="標楷體" w:hint="eastAsia"/>
          <w:color w:val="000000"/>
          <w:sz w:val="28"/>
          <w:szCs w:val="28"/>
        </w:rPr>
        <w:t>立法意旨及</w:t>
      </w:r>
      <w:r>
        <w:rPr>
          <w:rFonts w:ascii="標楷體" w:eastAsia="標楷體" w:hAnsi="標楷體" w:cs="細明體" w:hint="eastAsia"/>
          <w:kern w:val="0"/>
          <w:sz w:val="28"/>
          <w:szCs w:val="28"/>
          <w:lang w:val="zh-TW"/>
        </w:rPr>
        <w:t>第三項立法</w:t>
      </w:r>
      <w:r w:rsidRPr="00BC4D8D">
        <w:rPr>
          <w:rFonts w:ascii="標楷體" w:eastAsia="標楷體" w:hAnsi="標楷體" w:hint="eastAsia"/>
          <w:color w:val="000000"/>
          <w:sz w:val="28"/>
          <w:szCs w:val="28"/>
        </w:rPr>
        <w:t>授權</w:t>
      </w:r>
      <w:r>
        <w:rPr>
          <w:rFonts w:ascii="標楷體" w:eastAsia="標楷體" w:hAnsi="標楷體" w:hint="eastAsia"/>
          <w:sz w:val="28"/>
          <w:szCs w:val="28"/>
        </w:rPr>
        <w:t>本公會</w:t>
      </w:r>
      <w:r w:rsidRPr="00BC4D8D">
        <w:rPr>
          <w:rFonts w:ascii="標楷體" w:eastAsia="標楷體" w:hAnsi="標楷體" w:hint="eastAsia"/>
          <w:color w:val="000000"/>
          <w:sz w:val="28"/>
          <w:szCs w:val="28"/>
        </w:rPr>
        <w:t>訂定業務人員酬金制度應遵行之原則</w:t>
      </w:r>
      <w:r>
        <w:rPr>
          <w:rFonts w:ascii="標楷體" w:eastAsia="標楷體" w:hAnsi="標楷體" w:hint="eastAsia"/>
          <w:color w:val="000000"/>
          <w:sz w:val="28"/>
          <w:szCs w:val="28"/>
        </w:rPr>
        <w:t>，本公會爰訂定與業績有關之</w:t>
      </w:r>
      <w:r w:rsidR="00B05F7A">
        <w:rPr>
          <w:rFonts w:ascii="標楷體" w:eastAsia="標楷體" w:hAnsi="標楷體" w:hint="eastAsia"/>
          <w:color w:val="000000"/>
          <w:sz w:val="28"/>
          <w:szCs w:val="28"/>
        </w:rPr>
        <w:t>「</w:t>
      </w:r>
      <w:r w:rsidR="00B05F7A" w:rsidRPr="00B05F7A">
        <w:rPr>
          <w:rFonts w:ascii="標楷體" w:eastAsia="標楷體" w:hAnsi="標楷體" w:hint="eastAsia"/>
          <w:color w:val="000000"/>
          <w:sz w:val="28"/>
          <w:szCs w:val="28"/>
        </w:rPr>
        <w:t>中華民國證券商業同業公會會員公司</w:t>
      </w:r>
      <w:r w:rsidR="00B05F7A">
        <w:rPr>
          <w:rFonts w:ascii="標楷體" w:eastAsia="標楷體" w:hAnsi="標楷體" w:hint="eastAsia"/>
          <w:color w:val="000000"/>
          <w:sz w:val="28"/>
          <w:szCs w:val="28"/>
        </w:rPr>
        <w:t>業務人員酬金制度</w:t>
      </w:r>
      <w:r w:rsidR="00B05F7A" w:rsidRPr="000E6321">
        <w:rPr>
          <w:rFonts w:ascii="標楷體" w:eastAsia="標楷體" w:hAnsi="標楷體" w:hint="eastAsia"/>
          <w:color w:val="000000"/>
          <w:sz w:val="28"/>
          <w:szCs w:val="28"/>
        </w:rPr>
        <w:t>應遵行原則</w:t>
      </w:r>
      <w:r w:rsidR="00B05F7A">
        <w:rPr>
          <w:rFonts w:ascii="標楷體" w:eastAsia="標楷體" w:hAnsi="標楷體" w:hint="eastAsia"/>
          <w:color w:val="000000"/>
          <w:sz w:val="28"/>
          <w:szCs w:val="28"/>
        </w:rPr>
        <w:t>」(以下簡稱本原則)</w:t>
      </w:r>
      <w:r>
        <w:rPr>
          <w:rFonts w:ascii="標楷體" w:eastAsia="標楷體" w:hAnsi="標楷體" w:hint="eastAsia"/>
          <w:color w:val="000000"/>
          <w:sz w:val="28"/>
          <w:szCs w:val="28"/>
        </w:rPr>
        <w:t>，俾供會員公司訂定業務人員酬金制度時之依循與參考。</w:t>
      </w:r>
    </w:p>
    <w:p w:rsidR="00B510DB" w:rsidRPr="00052671" w:rsidRDefault="00B510DB" w:rsidP="00A439E3">
      <w:pPr>
        <w:pStyle w:val="a3"/>
        <w:numPr>
          <w:ilvl w:val="0"/>
          <w:numId w:val="14"/>
        </w:numPr>
        <w:adjustRightInd w:val="0"/>
        <w:snapToGrid w:val="0"/>
        <w:spacing w:afterLines="50" w:line="320" w:lineRule="exact"/>
        <w:ind w:leftChars="0"/>
        <w:jc w:val="both"/>
        <w:rPr>
          <w:rFonts w:ascii="標楷體" w:eastAsia="標楷體" w:hAnsi="標楷體"/>
          <w:sz w:val="28"/>
          <w:szCs w:val="28"/>
        </w:rPr>
      </w:pPr>
      <w:r>
        <w:rPr>
          <w:rFonts w:ascii="標楷體" w:eastAsia="標楷體" w:hAnsi="標楷體" w:hint="eastAsia"/>
          <w:color w:val="000000"/>
          <w:sz w:val="28"/>
          <w:szCs w:val="28"/>
        </w:rPr>
        <w:t>明訂本</w:t>
      </w:r>
      <w:r w:rsidRPr="00331629">
        <w:rPr>
          <w:rFonts w:ascii="標楷體" w:eastAsia="標楷體" w:hAnsi="標楷體" w:hint="eastAsia"/>
          <w:color w:val="000000"/>
          <w:sz w:val="28"/>
          <w:szCs w:val="28"/>
        </w:rPr>
        <w:t>原則</w:t>
      </w:r>
      <w:r>
        <w:rPr>
          <w:rFonts w:ascii="標楷體" w:eastAsia="標楷體" w:hAnsi="標楷體" w:hint="eastAsia"/>
          <w:sz w:val="28"/>
          <w:szCs w:val="28"/>
        </w:rPr>
        <w:t>之</w:t>
      </w:r>
      <w:r w:rsidRPr="00052671">
        <w:rPr>
          <w:rFonts w:ascii="標楷體" w:eastAsia="標楷體" w:hAnsi="標楷體" w:hint="eastAsia"/>
          <w:sz w:val="28"/>
          <w:szCs w:val="28"/>
        </w:rPr>
        <w:t>制</w:t>
      </w:r>
      <w:r w:rsidRPr="00A023CE">
        <w:rPr>
          <w:rFonts w:ascii="標楷體" w:eastAsia="標楷體" w:hAnsi="標楷體" w:hint="eastAsia"/>
          <w:color w:val="000000" w:themeColor="text1"/>
          <w:sz w:val="28"/>
          <w:szCs w:val="28"/>
        </w:rPr>
        <w:t>訂</w:t>
      </w:r>
      <w:r w:rsidRPr="00052671">
        <w:rPr>
          <w:rFonts w:ascii="標楷體" w:eastAsia="標楷體" w:hAnsi="標楷體" w:hint="eastAsia"/>
          <w:sz w:val="28"/>
          <w:szCs w:val="28"/>
        </w:rPr>
        <w:t>依據。（第一條）</w:t>
      </w:r>
    </w:p>
    <w:p w:rsidR="00B510DB" w:rsidRPr="00052671" w:rsidRDefault="00B510DB" w:rsidP="00A439E3">
      <w:pPr>
        <w:pStyle w:val="a3"/>
        <w:numPr>
          <w:ilvl w:val="0"/>
          <w:numId w:val="14"/>
        </w:numPr>
        <w:spacing w:afterLines="50" w:line="320" w:lineRule="exact"/>
        <w:ind w:leftChars="0"/>
        <w:jc w:val="both"/>
        <w:rPr>
          <w:rFonts w:ascii="標楷體" w:eastAsia="標楷體" w:hAnsi="標楷體" w:cs="新細明體"/>
          <w:color w:val="000000" w:themeColor="text1"/>
          <w:kern w:val="0"/>
          <w:sz w:val="28"/>
          <w:szCs w:val="28"/>
          <w:shd w:val="pct15" w:color="auto" w:fill="FFFFFF"/>
        </w:rPr>
      </w:pPr>
      <w:r w:rsidRPr="00052671">
        <w:rPr>
          <w:rFonts w:ascii="標楷體" w:eastAsia="標楷體" w:hAnsi="標楷體" w:cs="新細明體"/>
          <w:color w:val="000000" w:themeColor="text1"/>
          <w:kern w:val="0"/>
          <w:sz w:val="28"/>
          <w:szCs w:val="28"/>
        </w:rPr>
        <w:t>提醒會員應</w:t>
      </w:r>
      <w:r>
        <w:rPr>
          <w:rFonts w:ascii="標楷體" w:eastAsia="標楷體" w:hAnsi="標楷體" w:cs="新細明體"/>
          <w:color w:val="000000" w:themeColor="text1"/>
          <w:kern w:val="0"/>
          <w:sz w:val="28"/>
          <w:szCs w:val="28"/>
        </w:rPr>
        <w:t>依據</w:t>
      </w:r>
      <w:r w:rsidRPr="00052671">
        <w:rPr>
          <w:rFonts w:ascii="標楷體" w:eastAsia="標楷體" w:hAnsi="標楷體" w:cs="新細明體"/>
          <w:color w:val="000000" w:themeColor="text1"/>
          <w:kern w:val="0"/>
          <w:sz w:val="28"/>
          <w:szCs w:val="28"/>
        </w:rPr>
        <w:t>金融消費者保護法</w:t>
      </w:r>
      <w:r w:rsidRPr="00BC4D8D">
        <w:rPr>
          <w:rFonts w:ascii="標楷體" w:eastAsia="標楷體" w:hAnsi="標楷體" w:cs="細明體" w:hint="eastAsia"/>
          <w:kern w:val="0"/>
          <w:sz w:val="28"/>
          <w:szCs w:val="28"/>
          <w:lang w:val="zh-TW"/>
        </w:rPr>
        <w:t>第十一條之一</w:t>
      </w:r>
      <w:r w:rsidRPr="00052671">
        <w:rPr>
          <w:rFonts w:ascii="標楷體" w:eastAsia="標楷體" w:hAnsi="標楷體" w:cs="新細明體"/>
          <w:color w:val="000000" w:themeColor="text1"/>
          <w:kern w:val="0"/>
          <w:sz w:val="28"/>
          <w:szCs w:val="28"/>
        </w:rPr>
        <w:t>及</w:t>
      </w:r>
      <w:r w:rsidRPr="00BC4D8D">
        <w:rPr>
          <w:rFonts w:ascii="標楷體" w:eastAsia="標楷體" w:hAnsi="標楷體" w:cs="細明體" w:hint="eastAsia"/>
          <w:kern w:val="0"/>
          <w:sz w:val="28"/>
          <w:szCs w:val="28"/>
          <w:lang w:val="zh-TW"/>
        </w:rPr>
        <w:t>第十一條之</w:t>
      </w:r>
      <w:r>
        <w:rPr>
          <w:rFonts w:ascii="標楷體" w:eastAsia="標楷體" w:hAnsi="標楷體" w:cs="細明體" w:hint="eastAsia"/>
          <w:kern w:val="0"/>
          <w:sz w:val="28"/>
          <w:szCs w:val="28"/>
          <w:lang w:val="zh-TW"/>
        </w:rPr>
        <w:t>二</w:t>
      </w:r>
      <w:r>
        <w:rPr>
          <w:rFonts w:ascii="標楷體" w:eastAsia="標楷體" w:hAnsi="標楷體" w:cs="新細明體"/>
          <w:color w:val="000000" w:themeColor="text1"/>
          <w:kern w:val="0"/>
          <w:sz w:val="28"/>
          <w:szCs w:val="28"/>
        </w:rPr>
        <w:t>規定訂定業務人員</w:t>
      </w:r>
      <w:r w:rsidRPr="00052671">
        <w:rPr>
          <w:rFonts w:ascii="標楷體" w:eastAsia="標楷體" w:hAnsi="標楷體" w:cs="新細明體"/>
          <w:color w:val="000000" w:themeColor="text1"/>
          <w:kern w:val="0"/>
          <w:sz w:val="28"/>
          <w:szCs w:val="28"/>
        </w:rPr>
        <w:t>酬金制度</w:t>
      </w:r>
      <w:r>
        <w:rPr>
          <w:rFonts w:ascii="標楷體" w:eastAsia="標楷體" w:hAnsi="標楷體" w:cs="新細明體"/>
          <w:color w:val="000000" w:themeColor="text1"/>
          <w:kern w:val="0"/>
          <w:sz w:val="28"/>
          <w:szCs w:val="28"/>
        </w:rPr>
        <w:t>並</w:t>
      </w:r>
      <w:r w:rsidRPr="00052671">
        <w:rPr>
          <w:rFonts w:ascii="標楷體" w:eastAsia="標楷體" w:hAnsi="標楷體" w:cs="新細明體"/>
          <w:color w:val="000000" w:themeColor="text1"/>
          <w:kern w:val="0"/>
          <w:sz w:val="28"/>
          <w:szCs w:val="28"/>
        </w:rPr>
        <w:t>應提報董事會</w:t>
      </w:r>
      <w:r>
        <w:rPr>
          <w:rFonts w:ascii="標楷體" w:eastAsia="標楷體" w:hAnsi="標楷體" w:cs="新細明體" w:hint="eastAsia"/>
          <w:color w:val="000000" w:themeColor="text1"/>
          <w:kern w:val="0"/>
          <w:sz w:val="28"/>
          <w:szCs w:val="28"/>
        </w:rPr>
        <w:t>通過</w:t>
      </w:r>
      <w:r w:rsidRPr="00052671">
        <w:rPr>
          <w:rFonts w:ascii="標楷體" w:eastAsia="標楷體" w:hAnsi="標楷體" w:cs="新細明體"/>
          <w:color w:val="000000" w:themeColor="text1"/>
          <w:kern w:val="0"/>
          <w:sz w:val="28"/>
          <w:szCs w:val="28"/>
        </w:rPr>
        <w:t>。</w:t>
      </w:r>
      <w:r>
        <w:rPr>
          <w:rFonts w:ascii="標楷體" w:eastAsia="標楷體" w:hAnsi="標楷體" w:hint="eastAsia"/>
          <w:sz w:val="28"/>
          <w:szCs w:val="28"/>
        </w:rPr>
        <w:t>（第二</w:t>
      </w:r>
      <w:r w:rsidRPr="00052671">
        <w:rPr>
          <w:rFonts w:ascii="標楷體" w:eastAsia="標楷體" w:hAnsi="標楷體" w:hint="eastAsia"/>
          <w:sz w:val="28"/>
          <w:szCs w:val="28"/>
        </w:rPr>
        <w:t>條）</w:t>
      </w:r>
    </w:p>
    <w:p w:rsidR="00B510DB" w:rsidRPr="006B3369" w:rsidRDefault="00B510DB" w:rsidP="00A439E3">
      <w:pPr>
        <w:pStyle w:val="a3"/>
        <w:numPr>
          <w:ilvl w:val="0"/>
          <w:numId w:val="14"/>
        </w:numPr>
        <w:adjustRightInd w:val="0"/>
        <w:snapToGrid w:val="0"/>
        <w:spacing w:afterLines="50" w:line="320" w:lineRule="exact"/>
        <w:ind w:leftChars="0"/>
        <w:jc w:val="both"/>
        <w:rPr>
          <w:rFonts w:ascii="標楷體" w:eastAsia="標楷體" w:hAnsi="標楷體"/>
          <w:sz w:val="28"/>
          <w:szCs w:val="28"/>
        </w:rPr>
      </w:pPr>
      <w:r>
        <w:rPr>
          <w:rFonts w:ascii="標楷體" w:eastAsia="標楷體" w:hAnsi="標楷體" w:hint="eastAsia"/>
          <w:color w:val="000000" w:themeColor="text1"/>
          <w:sz w:val="28"/>
          <w:szCs w:val="28"/>
        </w:rPr>
        <w:t>明訂</w:t>
      </w:r>
      <w:r w:rsidRPr="00D57F5B">
        <w:rPr>
          <w:rFonts w:ascii="標楷體" w:eastAsia="標楷體" w:hAnsi="標楷體" w:hint="eastAsia"/>
          <w:color w:val="000000" w:themeColor="text1"/>
          <w:sz w:val="28"/>
          <w:szCs w:val="28"/>
        </w:rPr>
        <w:t>會員公司訂</w:t>
      </w:r>
      <w:r>
        <w:rPr>
          <w:rFonts w:ascii="標楷體" w:eastAsia="標楷體" w:hAnsi="標楷體" w:hint="eastAsia"/>
          <w:color w:val="000000" w:themeColor="text1"/>
          <w:sz w:val="28"/>
          <w:szCs w:val="28"/>
        </w:rPr>
        <w:t>定</w:t>
      </w:r>
      <w:r w:rsidRPr="001268E3">
        <w:rPr>
          <w:rFonts w:ascii="標楷體" w:eastAsia="標楷體" w:hAnsi="標楷體" w:hint="eastAsia"/>
          <w:color w:val="000000"/>
          <w:sz w:val="28"/>
          <w:szCs w:val="28"/>
        </w:rPr>
        <w:t>酬金制度，</w:t>
      </w:r>
      <w:r w:rsidRPr="001268E3">
        <w:rPr>
          <w:rFonts w:ascii="標楷體" w:eastAsia="標楷體" w:hAnsi="標楷體" w:hint="eastAsia"/>
          <w:color w:val="000000" w:themeColor="text1"/>
          <w:sz w:val="28"/>
          <w:szCs w:val="28"/>
        </w:rPr>
        <w:t>除</w:t>
      </w:r>
      <w:r>
        <w:rPr>
          <w:rFonts w:ascii="標楷體" w:eastAsia="標楷體" w:hAnsi="標楷體" w:hint="eastAsia"/>
          <w:color w:val="000000" w:themeColor="text1"/>
          <w:sz w:val="28"/>
          <w:szCs w:val="28"/>
        </w:rPr>
        <w:t>日後主管機關</w:t>
      </w:r>
      <w:r w:rsidRPr="001268E3">
        <w:rPr>
          <w:rFonts w:ascii="標楷體" w:eastAsia="標楷體" w:hAnsi="標楷體" w:hint="eastAsia"/>
          <w:color w:val="000000" w:themeColor="text1"/>
          <w:sz w:val="28"/>
          <w:szCs w:val="28"/>
        </w:rPr>
        <w:t>法令另有規定外</w:t>
      </w:r>
      <w:r w:rsidRPr="001268E3">
        <w:rPr>
          <w:rFonts w:ascii="標楷體" w:eastAsia="標楷體" w:hAnsi="標楷體" w:hint="eastAsia"/>
          <w:color w:val="000000"/>
          <w:sz w:val="28"/>
          <w:szCs w:val="28"/>
        </w:rPr>
        <w:t>，</w:t>
      </w:r>
      <w:r>
        <w:rPr>
          <w:rFonts w:ascii="標楷體" w:eastAsia="標楷體" w:hAnsi="標楷體" w:hint="eastAsia"/>
          <w:color w:val="000000"/>
          <w:sz w:val="28"/>
          <w:szCs w:val="28"/>
        </w:rPr>
        <w:t>皆</w:t>
      </w:r>
      <w:r w:rsidRPr="001268E3">
        <w:rPr>
          <w:rFonts w:ascii="標楷體" w:eastAsia="標楷體" w:hAnsi="標楷體" w:hint="eastAsia"/>
          <w:color w:val="000000"/>
          <w:sz w:val="28"/>
          <w:szCs w:val="28"/>
        </w:rPr>
        <w:t>應遵循本原則。</w:t>
      </w:r>
      <w:r>
        <w:rPr>
          <w:rFonts w:ascii="標楷體" w:eastAsia="標楷體" w:hAnsi="標楷體" w:hint="eastAsia"/>
          <w:color w:val="000000"/>
          <w:sz w:val="28"/>
          <w:szCs w:val="28"/>
        </w:rPr>
        <w:t>（第三條）</w:t>
      </w:r>
    </w:p>
    <w:p w:rsidR="00B510DB" w:rsidRPr="00013201" w:rsidRDefault="00B510DB" w:rsidP="00A439E3">
      <w:pPr>
        <w:pStyle w:val="a3"/>
        <w:numPr>
          <w:ilvl w:val="0"/>
          <w:numId w:val="14"/>
        </w:numPr>
        <w:adjustRightInd w:val="0"/>
        <w:snapToGrid w:val="0"/>
        <w:spacing w:afterLines="50" w:line="320" w:lineRule="exact"/>
        <w:ind w:leftChars="0"/>
        <w:jc w:val="both"/>
        <w:rPr>
          <w:rFonts w:ascii="標楷體" w:eastAsia="標楷體" w:hAnsi="標楷體"/>
          <w:sz w:val="28"/>
          <w:szCs w:val="28"/>
        </w:rPr>
      </w:pPr>
      <w:r w:rsidRPr="00550C02">
        <w:rPr>
          <w:rFonts w:ascii="標楷體" w:eastAsia="標楷體" w:hAnsi="標楷體" w:hint="eastAsia"/>
          <w:color w:val="000000" w:themeColor="text1"/>
          <w:sz w:val="28"/>
          <w:szCs w:val="28"/>
        </w:rPr>
        <w:t>金融消費者保護法</w:t>
      </w:r>
      <w:r w:rsidRPr="00BC4D8D">
        <w:rPr>
          <w:rFonts w:ascii="標楷體" w:eastAsia="標楷體" w:hAnsi="標楷體" w:cs="細明體" w:hint="eastAsia"/>
          <w:kern w:val="0"/>
          <w:sz w:val="28"/>
          <w:szCs w:val="28"/>
          <w:lang w:val="zh-TW"/>
        </w:rPr>
        <w:t>第十一條之一</w:t>
      </w:r>
      <w:r w:rsidRPr="00550C02">
        <w:rPr>
          <w:rFonts w:ascii="標楷體" w:eastAsia="標楷體" w:hAnsi="標楷體" w:hint="eastAsia"/>
          <w:color w:val="000000" w:themeColor="text1"/>
          <w:sz w:val="28"/>
          <w:szCs w:val="28"/>
        </w:rPr>
        <w:t>立法精神在避免公司業務人員為業績績效而忽略客戶權益及</w:t>
      </w:r>
      <w:r w:rsidR="00EB394B">
        <w:rPr>
          <w:rFonts w:ascii="標楷體" w:eastAsia="標楷體" w:hAnsi="標楷體" w:hint="eastAsia"/>
          <w:color w:val="000000" w:themeColor="text1"/>
          <w:sz w:val="28"/>
          <w:szCs w:val="28"/>
        </w:rPr>
        <w:t>各項</w:t>
      </w:r>
      <w:r w:rsidRPr="00550C02">
        <w:rPr>
          <w:rFonts w:ascii="標楷體" w:eastAsia="標楷體" w:hAnsi="標楷體" w:hint="eastAsia"/>
          <w:color w:val="000000" w:themeColor="text1"/>
          <w:sz w:val="28"/>
          <w:szCs w:val="28"/>
        </w:rPr>
        <w:t>風險，</w:t>
      </w:r>
      <w:r w:rsidR="009276D8">
        <w:rPr>
          <w:rFonts w:ascii="標楷體" w:eastAsia="標楷體" w:hAnsi="標楷體" w:hint="eastAsia"/>
          <w:color w:val="000000" w:themeColor="text1"/>
          <w:sz w:val="28"/>
          <w:szCs w:val="28"/>
        </w:rPr>
        <w:t>本原則</w:t>
      </w:r>
      <w:r w:rsidRPr="00550C02">
        <w:rPr>
          <w:rFonts w:ascii="標楷體" w:eastAsia="標楷體" w:hAnsi="標楷體" w:hint="eastAsia"/>
          <w:color w:val="000000" w:themeColor="text1"/>
          <w:sz w:val="28"/>
          <w:szCs w:val="28"/>
        </w:rPr>
        <w:t>爰對業務人員予以定義。另</w:t>
      </w:r>
      <w:r w:rsidRPr="00550C02">
        <w:rPr>
          <w:rFonts w:ascii="標楷體" w:eastAsia="標楷體" w:hAnsi="標楷體" w:cs="新細明體" w:hint="eastAsia"/>
          <w:color w:val="000000" w:themeColor="text1"/>
          <w:kern w:val="0"/>
          <w:sz w:val="28"/>
          <w:szCs w:val="28"/>
        </w:rPr>
        <w:t>考量公司治理原則，會員</w:t>
      </w:r>
      <w:r w:rsidRPr="00550C02">
        <w:rPr>
          <w:rFonts w:ascii="標楷體" w:eastAsia="標楷體" w:hAnsi="標楷體" w:hint="eastAsia"/>
          <w:color w:val="000000" w:themeColor="text1"/>
          <w:sz w:val="28"/>
          <w:szCs w:val="28"/>
        </w:rPr>
        <w:t>公司應有依其業務屬性、差異性個別訂定較具彈性之薪酬給付制度，</w:t>
      </w:r>
      <w:r>
        <w:rPr>
          <w:rFonts w:ascii="標楷體" w:eastAsia="標楷體" w:hAnsi="標楷體"/>
          <w:color w:val="000000" w:themeColor="text1"/>
          <w:sz w:val="28"/>
          <w:szCs w:val="28"/>
        </w:rPr>
        <w:t>爰</w:t>
      </w:r>
      <w:r>
        <w:rPr>
          <w:rFonts w:ascii="標楷體" w:eastAsia="標楷體" w:hAnsi="標楷體" w:hint="eastAsia"/>
          <w:color w:val="000000"/>
          <w:sz w:val="28"/>
          <w:szCs w:val="28"/>
        </w:rPr>
        <w:t>與業績有關之業務人員酬金，</w:t>
      </w:r>
      <w:r w:rsidR="005C1950">
        <w:rPr>
          <w:rFonts w:ascii="標楷體" w:eastAsia="標楷體" w:hAnsi="標楷體" w:hint="eastAsia"/>
          <w:color w:val="000000"/>
          <w:sz w:val="28"/>
          <w:szCs w:val="28"/>
        </w:rPr>
        <w:t>本原則予以</w:t>
      </w:r>
      <w:r>
        <w:rPr>
          <w:rFonts w:ascii="標楷體" w:eastAsia="標楷體" w:hAnsi="標楷體"/>
          <w:color w:val="000000" w:themeColor="text1"/>
          <w:sz w:val="28"/>
          <w:szCs w:val="28"/>
        </w:rPr>
        <w:t>明確</w:t>
      </w:r>
      <w:r>
        <w:rPr>
          <w:rFonts w:ascii="標楷體" w:eastAsia="標楷體" w:hAnsi="標楷體" w:hint="eastAsia"/>
          <w:color w:val="000000" w:themeColor="text1"/>
          <w:sz w:val="28"/>
          <w:szCs w:val="28"/>
        </w:rPr>
        <w:t>化為</w:t>
      </w:r>
      <w:r w:rsidRPr="00550C02">
        <w:rPr>
          <w:rFonts w:ascii="標楷體" w:eastAsia="標楷體" w:hAnsi="標楷體"/>
          <w:color w:val="000000" w:themeColor="text1"/>
          <w:sz w:val="28"/>
          <w:szCs w:val="28"/>
        </w:rPr>
        <w:t>浮動</w:t>
      </w:r>
      <w:r>
        <w:rPr>
          <w:rFonts w:ascii="標楷體" w:eastAsia="標楷體" w:hAnsi="標楷體" w:hint="eastAsia"/>
          <w:color w:val="000000" w:themeColor="text1"/>
          <w:sz w:val="28"/>
          <w:szCs w:val="28"/>
        </w:rPr>
        <w:t>性質之</w:t>
      </w:r>
      <w:r w:rsidRPr="00550C02">
        <w:rPr>
          <w:rFonts w:ascii="標楷體" w:eastAsia="標楷體" w:hAnsi="標楷體"/>
          <w:color w:val="000000" w:themeColor="text1"/>
          <w:sz w:val="28"/>
          <w:szCs w:val="28"/>
        </w:rPr>
        <w:t>獎</w:t>
      </w:r>
      <w:r>
        <w:rPr>
          <w:rFonts w:ascii="標楷體" w:eastAsia="標楷體" w:hAnsi="標楷體" w:hint="eastAsia"/>
          <w:color w:val="000000" w:themeColor="text1"/>
          <w:sz w:val="28"/>
          <w:szCs w:val="28"/>
        </w:rPr>
        <w:t>勵</w:t>
      </w:r>
      <w:r>
        <w:rPr>
          <w:rFonts w:ascii="標楷體" w:eastAsia="標楷體" w:hAnsi="標楷體" w:hint="eastAsia"/>
          <w:color w:val="000000"/>
          <w:sz w:val="28"/>
          <w:szCs w:val="28"/>
        </w:rPr>
        <w:t>金等，</w:t>
      </w:r>
      <w:r w:rsidRPr="00013201">
        <w:rPr>
          <w:rFonts w:ascii="標楷體" w:eastAsia="標楷體" w:hAnsi="標楷體"/>
          <w:color w:val="000000" w:themeColor="text1"/>
          <w:sz w:val="28"/>
          <w:szCs w:val="28"/>
        </w:rPr>
        <w:t>俾供會員遵循。</w:t>
      </w:r>
      <w:r w:rsidRPr="00013201">
        <w:rPr>
          <w:rFonts w:ascii="標楷體" w:eastAsia="標楷體" w:hAnsi="標楷體" w:hint="eastAsia"/>
          <w:color w:val="000000"/>
          <w:sz w:val="28"/>
          <w:szCs w:val="28"/>
        </w:rPr>
        <w:t>（第四條）</w:t>
      </w:r>
    </w:p>
    <w:p w:rsidR="00B510DB" w:rsidRPr="00AD1FEF" w:rsidRDefault="00B510DB" w:rsidP="00A439E3">
      <w:pPr>
        <w:pStyle w:val="a3"/>
        <w:numPr>
          <w:ilvl w:val="0"/>
          <w:numId w:val="14"/>
        </w:numPr>
        <w:adjustRightInd w:val="0"/>
        <w:snapToGrid w:val="0"/>
        <w:spacing w:afterLines="50" w:line="320" w:lineRule="exact"/>
        <w:ind w:leftChars="0"/>
        <w:jc w:val="both"/>
        <w:rPr>
          <w:rFonts w:ascii="標楷體" w:eastAsia="標楷體" w:hAnsi="標楷體"/>
          <w:sz w:val="28"/>
          <w:szCs w:val="28"/>
        </w:rPr>
      </w:pPr>
      <w:r w:rsidRPr="00EB555F">
        <w:rPr>
          <w:rFonts w:ascii="標楷體" w:eastAsia="標楷體" w:hAnsi="標楷體"/>
          <w:color w:val="000000"/>
          <w:sz w:val="28"/>
          <w:szCs w:val="28"/>
        </w:rPr>
        <w:t>證券商經營業務種類及提供商品或服務之法律行為屬性眾多，風險性高低亦不同</w:t>
      </w:r>
      <w:r>
        <w:rPr>
          <w:rFonts w:ascii="標楷體" w:eastAsia="標楷體" w:hAnsi="標楷體"/>
          <w:color w:val="000000"/>
          <w:sz w:val="28"/>
          <w:szCs w:val="28"/>
        </w:rPr>
        <w:t>，有做不同等級</w:t>
      </w:r>
      <w:r w:rsidRPr="00EB555F">
        <w:rPr>
          <w:rFonts w:ascii="標楷體" w:eastAsia="標楷體" w:hAnsi="標楷體"/>
          <w:color w:val="000000"/>
          <w:sz w:val="28"/>
          <w:szCs w:val="28"/>
        </w:rPr>
        <w:t>管理</w:t>
      </w:r>
      <w:r>
        <w:rPr>
          <w:rFonts w:ascii="標楷體" w:eastAsia="標楷體" w:hAnsi="標楷體"/>
          <w:color w:val="000000"/>
          <w:sz w:val="28"/>
          <w:szCs w:val="28"/>
        </w:rPr>
        <w:t>之需求與必要</w:t>
      </w:r>
      <w:r w:rsidR="00DD27B5">
        <w:rPr>
          <w:rFonts w:ascii="標楷體" w:eastAsia="標楷體" w:hAnsi="標楷體" w:hint="eastAsia"/>
          <w:color w:val="000000"/>
          <w:sz w:val="28"/>
          <w:szCs w:val="28"/>
        </w:rPr>
        <w:t>，</w:t>
      </w:r>
      <w:r>
        <w:rPr>
          <w:rFonts w:ascii="標楷體" w:eastAsia="標楷體" w:hAnsi="標楷體"/>
          <w:color w:val="000000"/>
          <w:sz w:val="28"/>
          <w:szCs w:val="28"/>
        </w:rPr>
        <w:t>爰依據金融消費者保護法規範，</w:t>
      </w:r>
      <w:r w:rsidR="009276D8">
        <w:rPr>
          <w:rFonts w:ascii="標楷體" w:eastAsia="標楷體" w:hAnsi="標楷體" w:hint="eastAsia"/>
          <w:color w:val="000000"/>
          <w:sz w:val="28"/>
          <w:szCs w:val="28"/>
        </w:rPr>
        <w:t>本原則</w:t>
      </w:r>
      <w:r>
        <w:rPr>
          <w:rFonts w:ascii="標楷體" w:eastAsia="標楷體" w:hAnsi="標楷體"/>
          <w:color w:val="000000"/>
          <w:sz w:val="28"/>
          <w:szCs w:val="28"/>
        </w:rPr>
        <w:t>將「</w:t>
      </w:r>
      <w:r w:rsidRPr="00EB555F">
        <w:rPr>
          <w:rFonts w:ascii="標楷體" w:eastAsia="標楷體" w:hAnsi="標楷體"/>
          <w:color w:val="000000"/>
          <w:sz w:val="28"/>
          <w:szCs w:val="28"/>
        </w:rPr>
        <w:t>金融商品或服務</w:t>
      </w:r>
      <w:r>
        <w:rPr>
          <w:rFonts w:ascii="標楷體" w:eastAsia="標楷體" w:hAnsi="標楷體"/>
          <w:color w:val="000000"/>
          <w:sz w:val="28"/>
          <w:szCs w:val="28"/>
        </w:rPr>
        <w:t>」</w:t>
      </w:r>
      <w:r w:rsidRPr="00EB555F">
        <w:rPr>
          <w:rFonts w:ascii="標楷體" w:eastAsia="標楷體" w:hAnsi="標楷體"/>
          <w:color w:val="000000"/>
          <w:sz w:val="28"/>
          <w:szCs w:val="28"/>
        </w:rPr>
        <w:t>，</w:t>
      </w:r>
      <w:r>
        <w:rPr>
          <w:rFonts w:ascii="標楷體" w:eastAsia="標楷體" w:hAnsi="標楷體"/>
          <w:color w:val="000000"/>
          <w:sz w:val="28"/>
          <w:szCs w:val="28"/>
        </w:rPr>
        <w:t>區分為「非投資型」與「投資型」二項而為不同程度之管理</w:t>
      </w:r>
      <w:r w:rsidRPr="00EB555F">
        <w:rPr>
          <w:rFonts w:ascii="標楷體" w:eastAsia="標楷體" w:hAnsi="標楷體"/>
          <w:color w:val="000000"/>
          <w:sz w:val="28"/>
          <w:szCs w:val="28"/>
        </w:rPr>
        <w:t>。</w:t>
      </w:r>
      <w:r>
        <w:rPr>
          <w:rFonts w:ascii="標楷體" w:eastAsia="標楷體" w:hAnsi="標楷體"/>
          <w:color w:val="000000"/>
          <w:sz w:val="28"/>
          <w:szCs w:val="28"/>
        </w:rPr>
        <w:t>（第五條）</w:t>
      </w:r>
    </w:p>
    <w:p w:rsidR="00B510DB" w:rsidRPr="00BA4362" w:rsidRDefault="00B510DB" w:rsidP="00A439E3">
      <w:pPr>
        <w:pStyle w:val="a3"/>
        <w:numPr>
          <w:ilvl w:val="0"/>
          <w:numId w:val="14"/>
        </w:numPr>
        <w:adjustRightInd w:val="0"/>
        <w:snapToGrid w:val="0"/>
        <w:spacing w:afterLines="50" w:line="320" w:lineRule="exact"/>
        <w:ind w:leftChars="0"/>
        <w:jc w:val="both"/>
        <w:rPr>
          <w:rFonts w:ascii="標楷體" w:eastAsia="標楷體" w:hAnsi="標楷體"/>
          <w:sz w:val="28"/>
          <w:szCs w:val="28"/>
        </w:rPr>
      </w:pPr>
      <w:r w:rsidRPr="00D67513">
        <w:rPr>
          <w:rFonts w:ascii="標楷體" w:eastAsia="標楷體" w:hAnsi="標楷體" w:hint="eastAsia"/>
          <w:color w:val="000000"/>
          <w:sz w:val="28"/>
          <w:szCs w:val="28"/>
        </w:rPr>
        <w:t>明確化</w:t>
      </w:r>
      <w:r>
        <w:rPr>
          <w:rFonts w:ascii="標楷體" w:eastAsia="標楷體" w:hAnsi="標楷體" w:hint="eastAsia"/>
          <w:color w:val="000000"/>
          <w:sz w:val="28"/>
          <w:szCs w:val="28"/>
        </w:rPr>
        <w:t>本原則所稱「</w:t>
      </w:r>
      <w:r w:rsidRPr="001268E3">
        <w:rPr>
          <w:rFonts w:ascii="標楷體" w:eastAsia="標楷體" w:hAnsi="標楷體" w:cs="細明體" w:hint="eastAsia"/>
          <w:color w:val="000000" w:themeColor="text1"/>
          <w:kern w:val="0"/>
          <w:sz w:val="28"/>
          <w:szCs w:val="28"/>
        </w:rPr>
        <w:t>投資型金融商品或服務</w:t>
      </w:r>
      <w:r>
        <w:rPr>
          <w:rFonts w:ascii="標楷體" w:eastAsia="標楷體" w:hAnsi="標楷體" w:hint="eastAsia"/>
          <w:color w:val="000000"/>
          <w:sz w:val="28"/>
          <w:szCs w:val="28"/>
        </w:rPr>
        <w:t>」</w:t>
      </w:r>
      <w:r>
        <w:rPr>
          <w:rFonts w:ascii="標楷體" w:eastAsia="標楷體" w:hAnsi="標楷體" w:cs="細明體" w:hint="eastAsia"/>
          <w:color w:val="000000" w:themeColor="text1"/>
          <w:kern w:val="0"/>
          <w:sz w:val="28"/>
          <w:szCs w:val="28"/>
        </w:rPr>
        <w:t>之法源依據，及非屬</w:t>
      </w:r>
      <w:r w:rsidRPr="001268E3">
        <w:rPr>
          <w:rFonts w:ascii="標楷體" w:eastAsia="標楷體" w:hAnsi="標楷體" w:hint="eastAsia"/>
          <w:color w:val="000000" w:themeColor="text1"/>
          <w:sz w:val="28"/>
          <w:szCs w:val="28"/>
        </w:rPr>
        <w:t>投資型金融商品或服務</w:t>
      </w:r>
      <w:r>
        <w:rPr>
          <w:rFonts w:ascii="標楷體" w:eastAsia="標楷體" w:hAnsi="標楷體" w:hint="eastAsia"/>
          <w:color w:val="000000" w:themeColor="text1"/>
          <w:sz w:val="28"/>
          <w:szCs w:val="28"/>
        </w:rPr>
        <w:t>之範圍，俾供</w:t>
      </w:r>
      <w:r>
        <w:rPr>
          <w:rFonts w:ascii="標楷體" w:eastAsia="標楷體" w:hAnsi="標楷體" w:cs="細明體" w:hint="eastAsia"/>
          <w:color w:val="000000" w:themeColor="text1"/>
          <w:kern w:val="0"/>
          <w:sz w:val="28"/>
          <w:szCs w:val="28"/>
        </w:rPr>
        <w:t>會員依循。（第六條）</w:t>
      </w:r>
    </w:p>
    <w:p w:rsidR="00B510DB" w:rsidRPr="00EC7A99" w:rsidRDefault="00B510DB" w:rsidP="00A439E3">
      <w:pPr>
        <w:pStyle w:val="a3"/>
        <w:numPr>
          <w:ilvl w:val="0"/>
          <w:numId w:val="14"/>
        </w:numPr>
        <w:adjustRightInd w:val="0"/>
        <w:snapToGrid w:val="0"/>
        <w:spacing w:afterLines="50" w:line="320" w:lineRule="exact"/>
        <w:ind w:leftChars="0"/>
        <w:jc w:val="both"/>
        <w:rPr>
          <w:rFonts w:ascii="標楷體" w:eastAsia="標楷體" w:hAnsi="標楷體"/>
          <w:sz w:val="28"/>
          <w:szCs w:val="28"/>
        </w:rPr>
      </w:pPr>
      <w:r w:rsidRPr="00A023CE">
        <w:rPr>
          <w:rFonts w:ascii="標楷體" w:eastAsia="標楷體" w:hAnsi="標楷體"/>
          <w:color w:val="000000" w:themeColor="text1"/>
          <w:sz w:val="28"/>
          <w:szCs w:val="28"/>
        </w:rPr>
        <w:t>明訂</w:t>
      </w:r>
      <w:r w:rsidR="00B05F7A">
        <w:rPr>
          <w:rFonts w:ascii="標楷體" w:eastAsia="標楷體" w:hAnsi="標楷體" w:hint="eastAsia"/>
          <w:color w:val="000000"/>
          <w:sz w:val="28"/>
          <w:szCs w:val="28"/>
        </w:rPr>
        <w:t>本原則</w:t>
      </w:r>
      <w:r w:rsidRPr="00A023CE">
        <w:rPr>
          <w:rFonts w:ascii="標楷體" w:eastAsia="標楷體" w:hAnsi="標楷體" w:hint="eastAsia"/>
          <w:color w:val="000000" w:themeColor="text1"/>
          <w:sz w:val="28"/>
          <w:szCs w:val="28"/>
        </w:rPr>
        <w:t>制訂</w:t>
      </w:r>
      <w:r w:rsidRPr="00A023CE">
        <w:rPr>
          <w:rFonts w:ascii="標楷體" w:eastAsia="標楷體" w:hAnsi="標楷體"/>
          <w:color w:val="000000" w:themeColor="text1"/>
          <w:sz w:val="28"/>
          <w:szCs w:val="28"/>
        </w:rPr>
        <w:t>施行與修正程序。</w:t>
      </w:r>
      <w:r>
        <w:rPr>
          <w:rFonts w:ascii="標楷體" w:eastAsia="標楷體" w:hAnsi="標楷體"/>
          <w:color w:val="000000" w:themeColor="text1"/>
          <w:sz w:val="28"/>
          <w:szCs w:val="28"/>
        </w:rPr>
        <w:t>（第七條）</w:t>
      </w:r>
    </w:p>
    <w:p w:rsidR="001268E3" w:rsidRDefault="001268E3" w:rsidP="00A439E3">
      <w:pPr>
        <w:spacing w:afterLines="50" w:line="320" w:lineRule="exact"/>
        <w:jc w:val="both"/>
        <w:rPr>
          <w:rFonts w:ascii="標楷體" w:eastAsia="標楷體" w:hAnsi="標楷體"/>
          <w:b/>
          <w:color w:val="000000"/>
          <w:sz w:val="28"/>
          <w:szCs w:val="28"/>
        </w:rPr>
      </w:pPr>
    </w:p>
    <w:p w:rsidR="005646E7" w:rsidRDefault="005646E7" w:rsidP="00A439E3">
      <w:pPr>
        <w:spacing w:afterLines="50" w:line="320" w:lineRule="exact"/>
        <w:jc w:val="both"/>
        <w:rPr>
          <w:rFonts w:ascii="標楷體" w:eastAsia="標楷體" w:hAnsi="標楷體"/>
          <w:b/>
          <w:color w:val="000000"/>
          <w:sz w:val="28"/>
          <w:szCs w:val="28"/>
        </w:rPr>
      </w:pPr>
    </w:p>
    <w:p w:rsidR="00FB5D18" w:rsidRPr="001268E3" w:rsidRDefault="00AA1ECE" w:rsidP="00837DA8">
      <w:pPr>
        <w:jc w:val="center"/>
        <w:rPr>
          <w:rFonts w:ascii="標楷體" w:eastAsia="標楷體" w:hAnsi="標楷體"/>
          <w:sz w:val="28"/>
          <w:szCs w:val="28"/>
        </w:rPr>
      </w:pPr>
      <w:r w:rsidRPr="001268E3">
        <w:rPr>
          <w:rFonts w:ascii="標楷體" w:eastAsia="標楷體" w:hAnsi="標楷體" w:hint="eastAsia"/>
          <w:b/>
          <w:color w:val="000000"/>
          <w:sz w:val="28"/>
          <w:szCs w:val="28"/>
        </w:rPr>
        <w:lastRenderedPageBreak/>
        <w:t>中華民國證券商業同業公會會員公司業務人員酬金制度應遵行原則</w:t>
      </w:r>
      <w:r>
        <w:rPr>
          <w:rFonts w:ascii="標楷體" w:eastAsia="標楷體" w:hAnsi="標楷體" w:hint="eastAsia"/>
          <w:b/>
          <w:color w:val="000000"/>
          <w:sz w:val="28"/>
          <w:szCs w:val="28"/>
        </w:rPr>
        <w:t>對照表</w:t>
      </w:r>
    </w:p>
    <w:tbl>
      <w:tblPr>
        <w:tblStyle w:val="a9"/>
        <w:tblW w:w="9923" w:type="dxa"/>
        <w:tblInd w:w="108" w:type="dxa"/>
        <w:tblLook w:val="04A0"/>
      </w:tblPr>
      <w:tblGrid>
        <w:gridCol w:w="5103"/>
        <w:gridCol w:w="4820"/>
      </w:tblGrid>
      <w:tr w:rsidR="00AA1ECE" w:rsidTr="004C714F">
        <w:tc>
          <w:tcPr>
            <w:tcW w:w="5103" w:type="dxa"/>
          </w:tcPr>
          <w:p w:rsidR="00AA1ECE" w:rsidRPr="00A023CE" w:rsidRDefault="00AA1ECE" w:rsidP="00A439E3">
            <w:pPr>
              <w:adjustRightInd w:val="0"/>
              <w:snapToGrid w:val="0"/>
              <w:spacing w:afterLines="50" w:line="320" w:lineRule="exact"/>
              <w:jc w:val="both"/>
              <w:rPr>
                <w:rFonts w:ascii="標楷體" w:eastAsia="標楷體" w:hAnsi="標楷體"/>
                <w:b/>
                <w:sz w:val="28"/>
                <w:szCs w:val="28"/>
              </w:rPr>
            </w:pPr>
            <w:r>
              <w:rPr>
                <w:rFonts w:ascii="標楷體" w:eastAsia="標楷體" w:hAnsi="標楷體" w:hint="eastAsia"/>
                <w:b/>
                <w:sz w:val="28"/>
                <w:szCs w:val="28"/>
              </w:rPr>
              <w:t>條文</w:t>
            </w:r>
          </w:p>
        </w:tc>
        <w:tc>
          <w:tcPr>
            <w:tcW w:w="4820" w:type="dxa"/>
            <w:vAlign w:val="center"/>
          </w:tcPr>
          <w:p w:rsidR="00AA1ECE" w:rsidRPr="00A023CE" w:rsidRDefault="00AA1ECE" w:rsidP="00A439E3">
            <w:pPr>
              <w:adjustRightInd w:val="0"/>
              <w:snapToGrid w:val="0"/>
              <w:spacing w:afterLines="50" w:line="320" w:lineRule="exact"/>
              <w:jc w:val="both"/>
              <w:rPr>
                <w:rFonts w:ascii="標楷體" w:eastAsia="標楷體" w:hAnsi="標楷體"/>
                <w:b/>
                <w:sz w:val="28"/>
                <w:szCs w:val="28"/>
              </w:rPr>
            </w:pPr>
            <w:r w:rsidRPr="00A023CE">
              <w:rPr>
                <w:rFonts w:ascii="標楷體" w:eastAsia="標楷體" w:hAnsi="標楷體" w:hint="eastAsia"/>
                <w:b/>
                <w:sz w:val="28"/>
                <w:szCs w:val="28"/>
              </w:rPr>
              <w:t>理由說明</w:t>
            </w:r>
          </w:p>
        </w:tc>
      </w:tr>
      <w:tr w:rsidR="00AA1ECE" w:rsidTr="004C714F">
        <w:tc>
          <w:tcPr>
            <w:tcW w:w="5103" w:type="dxa"/>
          </w:tcPr>
          <w:p w:rsidR="00AA1ECE" w:rsidRPr="00A023CE" w:rsidRDefault="00AA1ECE" w:rsidP="00A439E3">
            <w:pPr>
              <w:adjustRightInd w:val="0"/>
              <w:snapToGrid w:val="0"/>
              <w:spacing w:afterLines="50" w:line="320" w:lineRule="exact"/>
              <w:jc w:val="both"/>
              <w:rPr>
                <w:rFonts w:ascii="標楷體" w:eastAsia="標楷體" w:hAnsi="標楷體"/>
                <w:color w:val="000000"/>
                <w:sz w:val="28"/>
                <w:szCs w:val="28"/>
              </w:rPr>
            </w:pPr>
            <w:r w:rsidRPr="00A023CE">
              <w:rPr>
                <w:rFonts w:ascii="標楷體" w:eastAsia="標楷體" w:hAnsi="標楷體" w:hint="eastAsia"/>
                <w:color w:val="000000"/>
                <w:sz w:val="28"/>
                <w:szCs w:val="28"/>
              </w:rPr>
              <w:t>第一條</w:t>
            </w:r>
          </w:p>
          <w:p w:rsidR="00AA1ECE" w:rsidRPr="008B3A94" w:rsidRDefault="00AA1ECE" w:rsidP="00A439E3">
            <w:pPr>
              <w:adjustRightInd w:val="0"/>
              <w:snapToGrid w:val="0"/>
              <w:spacing w:afterLines="50" w:line="320" w:lineRule="exact"/>
              <w:jc w:val="both"/>
              <w:rPr>
                <w:rFonts w:ascii="標楷體" w:eastAsia="標楷體" w:hAnsi="標楷體"/>
                <w:color w:val="000000"/>
                <w:sz w:val="28"/>
                <w:szCs w:val="28"/>
              </w:rPr>
            </w:pPr>
            <w:r w:rsidRPr="0005352D">
              <w:rPr>
                <w:rFonts w:ascii="標楷體" w:eastAsia="標楷體" w:hAnsi="標楷體" w:hint="eastAsia"/>
                <w:color w:val="000000"/>
                <w:sz w:val="28"/>
                <w:szCs w:val="28"/>
              </w:rPr>
              <w:t>本原則依金融消費者保護法第十一條之一第三項規定訂定之。</w:t>
            </w:r>
          </w:p>
        </w:tc>
        <w:tc>
          <w:tcPr>
            <w:tcW w:w="4820" w:type="dxa"/>
          </w:tcPr>
          <w:p w:rsidR="00AA1ECE" w:rsidRPr="00A023CE" w:rsidRDefault="00AA1ECE" w:rsidP="00A439E3">
            <w:pPr>
              <w:adjustRightInd w:val="0"/>
              <w:snapToGrid w:val="0"/>
              <w:spacing w:beforeLines="50" w:afterLines="50" w:line="320" w:lineRule="exact"/>
              <w:jc w:val="both"/>
              <w:rPr>
                <w:rFonts w:ascii="標楷體" w:eastAsia="標楷體" w:hAnsi="標楷體"/>
                <w:strike/>
                <w:color w:val="000000"/>
                <w:sz w:val="28"/>
                <w:szCs w:val="28"/>
              </w:rPr>
            </w:pPr>
            <w:r w:rsidRPr="00A023CE">
              <w:rPr>
                <w:rFonts w:ascii="標楷體" w:eastAsia="標楷體" w:hAnsi="標楷體" w:hint="eastAsia"/>
                <w:sz w:val="28"/>
                <w:szCs w:val="28"/>
              </w:rPr>
              <w:t>制定依據。</w:t>
            </w:r>
          </w:p>
        </w:tc>
      </w:tr>
      <w:tr w:rsidR="00AA1ECE" w:rsidTr="004C714F">
        <w:tc>
          <w:tcPr>
            <w:tcW w:w="5103" w:type="dxa"/>
          </w:tcPr>
          <w:p w:rsidR="00AA1ECE" w:rsidRPr="00AA1ECE" w:rsidRDefault="00AA1ECE" w:rsidP="00A439E3">
            <w:pPr>
              <w:adjustRightInd w:val="0"/>
              <w:snapToGrid w:val="0"/>
              <w:spacing w:afterLines="50" w:line="320" w:lineRule="exact"/>
              <w:jc w:val="both"/>
              <w:rPr>
                <w:rFonts w:ascii="標楷體" w:eastAsia="標楷體" w:hAnsi="標楷體"/>
                <w:color w:val="000000"/>
                <w:sz w:val="28"/>
                <w:szCs w:val="28"/>
              </w:rPr>
            </w:pPr>
            <w:r w:rsidRPr="00AA1ECE">
              <w:rPr>
                <w:rFonts w:ascii="標楷體" w:eastAsia="標楷體" w:hAnsi="標楷體" w:hint="eastAsia"/>
                <w:color w:val="000000"/>
                <w:sz w:val="28"/>
                <w:szCs w:val="28"/>
              </w:rPr>
              <w:t>第二條</w:t>
            </w:r>
          </w:p>
          <w:p w:rsidR="00AA1ECE" w:rsidRPr="001268E3" w:rsidRDefault="00AA1ECE" w:rsidP="00A439E3">
            <w:pPr>
              <w:adjustRightInd w:val="0"/>
              <w:snapToGrid w:val="0"/>
              <w:spacing w:afterLines="50" w:line="320" w:lineRule="exact"/>
              <w:jc w:val="both"/>
              <w:rPr>
                <w:rFonts w:ascii="標楷體" w:eastAsia="標楷體" w:hAnsi="標楷體"/>
                <w:color w:val="000000" w:themeColor="text1"/>
                <w:sz w:val="28"/>
                <w:szCs w:val="28"/>
              </w:rPr>
            </w:pPr>
            <w:r w:rsidRPr="001268E3">
              <w:rPr>
                <w:rFonts w:ascii="標楷體" w:eastAsia="標楷體" w:hAnsi="標楷體" w:hint="eastAsia"/>
                <w:color w:val="000000" w:themeColor="text1"/>
                <w:sz w:val="28"/>
                <w:szCs w:val="28"/>
              </w:rPr>
              <w:t>會員公司應訂定業務人員之酬金制度，並提報董事會通過。會員公司為外國金融服務業在臺分支機構者，</w:t>
            </w:r>
            <w:r w:rsidR="00A866CB" w:rsidRPr="0052681E">
              <w:rPr>
                <w:rFonts w:ascii="標楷體" w:eastAsia="標楷體" w:hAnsi="標楷體" w:hint="eastAsia"/>
                <w:color w:val="000000" w:themeColor="text1"/>
                <w:sz w:val="28"/>
                <w:szCs w:val="28"/>
              </w:rPr>
              <w:t>其業務人員之酬金制度</w:t>
            </w:r>
            <w:r w:rsidR="007649F6" w:rsidRPr="0052681E">
              <w:rPr>
                <w:rFonts w:ascii="標楷體" w:eastAsia="標楷體" w:hAnsi="標楷體" w:hint="eastAsia"/>
                <w:color w:val="000000" w:themeColor="text1"/>
                <w:sz w:val="28"/>
                <w:szCs w:val="28"/>
              </w:rPr>
              <w:t>，</w:t>
            </w:r>
            <w:r w:rsidRPr="001268E3">
              <w:rPr>
                <w:rFonts w:ascii="標楷體" w:eastAsia="標楷體" w:hAnsi="標楷體" w:hint="eastAsia"/>
                <w:color w:val="000000" w:themeColor="text1"/>
                <w:sz w:val="28"/>
                <w:szCs w:val="28"/>
              </w:rPr>
              <w:t>應經其在臺負責人同意。</w:t>
            </w:r>
          </w:p>
          <w:p w:rsidR="00AA1ECE" w:rsidRPr="001268E3" w:rsidRDefault="00AA1ECE" w:rsidP="00A439E3">
            <w:pPr>
              <w:autoSpaceDE w:val="0"/>
              <w:autoSpaceDN w:val="0"/>
              <w:adjustRightInd w:val="0"/>
              <w:spacing w:afterLines="50" w:line="320" w:lineRule="exact"/>
              <w:ind w:left="2"/>
              <w:jc w:val="both"/>
              <w:rPr>
                <w:rFonts w:ascii="標楷體" w:eastAsia="標楷體" w:hAnsi="標楷體"/>
                <w:color w:val="0033CC"/>
                <w:sz w:val="28"/>
                <w:szCs w:val="28"/>
                <w:u w:val="single"/>
                <w:shd w:val="pct15" w:color="auto" w:fill="FFFFFF"/>
              </w:rPr>
            </w:pPr>
          </w:p>
          <w:p w:rsidR="00AA1ECE" w:rsidRPr="00AA1ECE" w:rsidRDefault="00AA1ECE" w:rsidP="00A439E3">
            <w:pPr>
              <w:adjustRightInd w:val="0"/>
              <w:snapToGrid w:val="0"/>
              <w:spacing w:afterLines="50" w:line="320" w:lineRule="exact"/>
              <w:jc w:val="both"/>
              <w:rPr>
                <w:rFonts w:ascii="標楷體" w:eastAsia="標楷體" w:hAnsi="標楷體"/>
                <w:color w:val="000000"/>
                <w:sz w:val="28"/>
                <w:szCs w:val="28"/>
              </w:rPr>
            </w:pPr>
          </w:p>
          <w:p w:rsidR="00AA1ECE" w:rsidRPr="00194CD2" w:rsidRDefault="00AA1ECE" w:rsidP="00A439E3">
            <w:pPr>
              <w:adjustRightInd w:val="0"/>
              <w:snapToGrid w:val="0"/>
              <w:spacing w:afterLines="50" w:line="320" w:lineRule="exact"/>
              <w:jc w:val="both"/>
              <w:rPr>
                <w:rFonts w:ascii="標楷體" w:eastAsia="標楷體" w:hAnsi="標楷體"/>
                <w:color w:val="000000"/>
                <w:sz w:val="28"/>
                <w:szCs w:val="28"/>
                <w:u w:val="single"/>
              </w:rPr>
            </w:pPr>
          </w:p>
          <w:p w:rsidR="00AA1ECE" w:rsidRPr="00A023CE" w:rsidRDefault="00AA1ECE" w:rsidP="00A439E3">
            <w:pPr>
              <w:adjustRightInd w:val="0"/>
              <w:snapToGrid w:val="0"/>
              <w:spacing w:afterLines="50" w:line="320" w:lineRule="exact"/>
              <w:jc w:val="both"/>
              <w:rPr>
                <w:rFonts w:ascii="標楷體" w:eastAsia="標楷體" w:hAnsi="標楷體"/>
                <w:color w:val="000000"/>
                <w:sz w:val="28"/>
                <w:szCs w:val="28"/>
              </w:rPr>
            </w:pPr>
          </w:p>
        </w:tc>
        <w:tc>
          <w:tcPr>
            <w:tcW w:w="4820" w:type="dxa"/>
          </w:tcPr>
          <w:p w:rsidR="00AA1ECE" w:rsidRPr="00A866CB" w:rsidRDefault="009A7969" w:rsidP="00A439E3">
            <w:pPr>
              <w:spacing w:beforeLines="50" w:line="320" w:lineRule="exact"/>
              <w:ind w:left="34" w:hangingChars="12" w:hanging="34"/>
              <w:jc w:val="both"/>
              <w:rPr>
                <w:rFonts w:ascii="標楷體" w:eastAsia="標楷體" w:hAnsi="標楷體" w:cs="新細明體"/>
                <w:color w:val="000000" w:themeColor="text1"/>
                <w:kern w:val="0"/>
                <w:sz w:val="28"/>
                <w:szCs w:val="28"/>
                <w:u w:val="single"/>
                <w:shd w:val="pct15" w:color="auto" w:fill="FFFFFF"/>
              </w:rPr>
            </w:pPr>
            <w:r>
              <w:rPr>
                <w:rFonts w:ascii="標楷體" w:eastAsia="標楷體" w:hAnsi="標楷體" w:cs="新細明體"/>
                <w:color w:val="000000" w:themeColor="text1"/>
                <w:kern w:val="0"/>
                <w:sz w:val="28"/>
                <w:szCs w:val="28"/>
              </w:rPr>
              <w:t>提醒會員應遵循金融消費者保護法</w:t>
            </w:r>
            <w:r w:rsidR="00710749">
              <w:rPr>
                <w:rFonts w:ascii="標楷體" w:eastAsia="標楷體" w:hAnsi="標楷體" w:cs="新細明體"/>
                <w:color w:val="000000" w:themeColor="text1"/>
                <w:kern w:val="0"/>
                <w:sz w:val="28"/>
                <w:szCs w:val="28"/>
              </w:rPr>
              <w:t>第十一條之</w:t>
            </w:r>
            <w:proofErr w:type="gramStart"/>
            <w:r w:rsidR="00710749">
              <w:rPr>
                <w:rFonts w:ascii="標楷體" w:eastAsia="標楷體" w:hAnsi="標楷體" w:cs="新細明體"/>
                <w:color w:val="000000" w:themeColor="text1"/>
                <w:kern w:val="0"/>
                <w:sz w:val="28"/>
                <w:szCs w:val="28"/>
              </w:rPr>
              <w:t>一</w:t>
            </w:r>
            <w:proofErr w:type="gramEnd"/>
            <w:r>
              <w:rPr>
                <w:rFonts w:ascii="標楷體" w:eastAsia="標楷體" w:hAnsi="標楷體" w:cs="新細明體"/>
                <w:color w:val="000000" w:themeColor="text1"/>
                <w:kern w:val="0"/>
                <w:sz w:val="28"/>
                <w:szCs w:val="28"/>
              </w:rPr>
              <w:t>及</w:t>
            </w:r>
            <w:r w:rsidR="00710749">
              <w:rPr>
                <w:rFonts w:ascii="標楷體" w:eastAsia="標楷體" w:hAnsi="標楷體" w:cs="新細明體"/>
                <w:color w:val="000000" w:themeColor="text1"/>
                <w:kern w:val="0"/>
                <w:sz w:val="28"/>
                <w:szCs w:val="28"/>
              </w:rPr>
              <w:t>第十一條之二</w:t>
            </w:r>
            <w:r>
              <w:rPr>
                <w:rFonts w:ascii="標楷體" w:eastAsia="標楷體" w:hAnsi="標楷體" w:cs="新細明體"/>
                <w:color w:val="000000" w:themeColor="text1"/>
                <w:kern w:val="0"/>
                <w:sz w:val="28"/>
                <w:szCs w:val="28"/>
              </w:rPr>
              <w:t>規定，酬金制度應提報董事會。</w:t>
            </w:r>
            <w:r w:rsidR="00A866CB" w:rsidRPr="0052681E">
              <w:rPr>
                <w:rFonts w:ascii="標楷體" w:eastAsia="標楷體" w:hAnsi="標楷體" w:cs="新細明體" w:hint="eastAsia"/>
                <w:color w:val="000000" w:themeColor="text1"/>
                <w:kern w:val="0"/>
                <w:sz w:val="28"/>
                <w:szCs w:val="28"/>
              </w:rPr>
              <w:t>及明訂在臺負責人同意</w:t>
            </w:r>
            <w:r w:rsidR="00C345C8" w:rsidRPr="0052681E">
              <w:rPr>
                <w:rFonts w:ascii="標楷體" w:eastAsia="標楷體" w:hAnsi="標楷體" w:cs="新細明體" w:hint="eastAsia"/>
                <w:color w:val="000000" w:themeColor="text1"/>
                <w:kern w:val="0"/>
                <w:sz w:val="28"/>
                <w:szCs w:val="28"/>
              </w:rPr>
              <w:t>之</w:t>
            </w:r>
            <w:r w:rsidR="00A866CB" w:rsidRPr="0052681E">
              <w:rPr>
                <w:rFonts w:ascii="標楷體" w:eastAsia="標楷體" w:hAnsi="標楷體" w:cs="新細明體" w:hint="eastAsia"/>
                <w:color w:val="000000" w:themeColor="text1"/>
                <w:kern w:val="0"/>
                <w:sz w:val="28"/>
                <w:szCs w:val="28"/>
              </w:rPr>
              <w:t>事項。</w:t>
            </w:r>
          </w:p>
          <w:p w:rsidR="00AA1ECE" w:rsidRPr="008C7454" w:rsidRDefault="000B0280" w:rsidP="00A439E3">
            <w:pPr>
              <w:pStyle w:val="a3"/>
              <w:spacing w:beforeLines="50" w:line="320" w:lineRule="exact"/>
              <w:ind w:leftChars="0" w:left="360"/>
              <w:jc w:val="both"/>
              <w:rPr>
                <w:rFonts w:ascii="標楷體" w:eastAsia="標楷體" w:hAnsi="標楷體" w:cs="新細明體"/>
                <w:color w:val="000000" w:themeColor="text1"/>
                <w:kern w:val="0"/>
                <w:sz w:val="26"/>
                <w:szCs w:val="26"/>
              </w:rPr>
            </w:pPr>
            <w:r w:rsidRPr="00D27793">
              <w:rPr>
                <w:rFonts w:ascii="標楷體" w:eastAsia="標楷體" w:hAnsi="標楷體" w:cs="新細明體" w:hint="eastAsia"/>
                <w:color w:val="000000" w:themeColor="text1"/>
                <w:kern w:val="0"/>
                <w:sz w:val="26"/>
                <w:szCs w:val="26"/>
              </w:rPr>
              <w:t>本次立法</w:t>
            </w:r>
            <w:r w:rsidR="00246715">
              <w:rPr>
                <w:rFonts w:ascii="標楷體" w:eastAsia="標楷體" w:hAnsi="標楷體" w:cs="新細明體" w:hint="eastAsia"/>
                <w:color w:val="000000" w:themeColor="text1"/>
                <w:kern w:val="0"/>
                <w:sz w:val="26"/>
                <w:szCs w:val="26"/>
              </w:rPr>
              <w:t>(</w:t>
            </w:r>
            <w:r>
              <w:rPr>
                <w:rFonts w:ascii="標楷體" w:eastAsia="標楷體" w:hAnsi="標楷體" w:cs="新細明體" w:hint="eastAsia"/>
                <w:color w:val="000000" w:themeColor="text1"/>
                <w:kern w:val="0"/>
                <w:sz w:val="26"/>
                <w:szCs w:val="26"/>
              </w:rPr>
              <w:t>總</w:t>
            </w:r>
            <w:r w:rsidR="00246715">
              <w:rPr>
                <w:rFonts w:ascii="標楷體" w:eastAsia="標楷體" w:hAnsi="標楷體" w:cs="新細明體" w:hint="eastAsia"/>
                <w:color w:val="000000" w:themeColor="text1"/>
                <w:kern w:val="0"/>
                <w:sz w:val="26"/>
                <w:szCs w:val="26"/>
              </w:rPr>
              <w:t>)</w:t>
            </w:r>
            <w:r w:rsidRPr="00D27793">
              <w:rPr>
                <w:rFonts w:ascii="標楷體" w:eastAsia="標楷體" w:hAnsi="標楷體" w:cs="新細明體"/>
                <w:color w:val="000000" w:themeColor="text1"/>
                <w:kern w:val="0"/>
                <w:sz w:val="26"/>
                <w:szCs w:val="26"/>
              </w:rPr>
              <w:t>說明</w:t>
            </w:r>
            <w:r>
              <w:rPr>
                <w:rFonts w:ascii="標楷體" w:eastAsia="標楷體" w:hAnsi="標楷體" w:cs="新細明體"/>
                <w:color w:val="000000" w:themeColor="text1"/>
                <w:kern w:val="0"/>
                <w:sz w:val="26"/>
                <w:szCs w:val="26"/>
              </w:rPr>
              <w:t>：</w:t>
            </w:r>
            <w:r w:rsidR="00AA1ECE" w:rsidRPr="008C7454">
              <w:rPr>
                <w:rFonts w:ascii="標楷體" w:eastAsia="標楷體" w:hAnsi="標楷體" w:cs="新細明體"/>
                <w:color w:val="000000" w:themeColor="text1"/>
                <w:kern w:val="0"/>
                <w:sz w:val="26"/>
                <w:szCs w:val="26"/>
              </w:rPr>
              <w:t>金融消費者保護法部分條文修正，在加重金融服務業銷售金融商品或服務之相關責任，並</w:t>
            </w:r>
            <w:r w:rsidR="00AA1ECE" w:rsidRPr="00545355">
              <w:rPr>
                <w:rFonts w:ascii="標楷體" w:eastAsia="標楷體" w:hAnsi="標楷體" w:cs="新細明體"/>
                <w:color w:val="000000" w:themeColor="text1"/>
                <w:kern w:val="0"/>
                <w:sz w:val="26"/>
                <w:szCs w:val="26"/>
              </w:rPr>
              <w:t>為避免金融服務業從業人員為爭取業績而不當銷售金融商品或服務</w:t>
            </w:r>
            <w:r w:rsidR="00AA1ECE" w:rsidRPr="008C7454">
              <w:rPr>
                <w:rFonts w:ascii="標楷體" w:eastAsia="標楷體" w:hAnsi="標楷體" w:cs="新細明體"/>
                <w:color w:val="000000" w:themeColor="text1"/>
                <w:kern w:val="0"/>
                <w:sz w:val="26"/>
                <w:szCs w:val="26"/>
              </w:rPr>
              <w:t>，增訂金融服務業應訂定業務人員酬金制度提報董(理)事會通過，酬金制度應遵循之原則，由所屬同業公會擬訂，報請金管會核定。</w:t>
            </w:r>
          </w:p>
          <w:p w:rsidR="009F299F" w:rsidRPr="00A921F3" w:rsidRDefault="00AA1ECE" w:rsidP="00A439E3">
            <w:pPr>
              <w:pStyle w:val="a3"/>
              <w:spacing w:afterLines="50" w:line="320" w:lineRule="exact"/>
              <w:ind w:leftChars="0" w:left="357"/>
              <w:jc w:val="both"/>
              <w:rPr>
                <w:rFonts w:ascii="標楷體" w:eastAsia="標楷體" w:hAnsi="標楷體"/>
                <w:color w:val="000000" w:themeColor="text1"/>
                <w:sz w:val="26"/>
                <w:szCs w:val="26"/>
              </w:rPr>
            </w:pPr>
            <w:r w:rsidRPr="008C7454">
              <w:rPr>
                <w:rFonts w:ascii="標楷體" w:eastAsia="標楷體" w:hAnsi="標楷體" w:hint="eastAsia"/>
                <w:color w:val="000000" w:themeColor="text1"/>
                <w:sz w:val="26"/>
                <w:szCs w:val="26"/>
              </w:rPr>
              <w:t>酬金制度對業者</w:t>
            </w:r>
            <w:r w:rsidRPr="00D27793">
              <w:rPr>
                <w:rFonts w:ascii="標楷體" w:eastAsia="標楷體" w:hAnsi="標楷體" w:hint="eastAsia"/>
                <w:color w:val="000000" w:themeColor="text1"/>
                <w:sz w:val="26"/>
                <w:szCs w:val="26"/>
              </w:rPr>
              <w:t>銷售文化</w:t>
            </w:r>
            <w:r w:rsidRPr="008C7454">
              <w:rPr>
                <w:rFonts w:ascii="標楷體" w:eastAsia="標楷體" w:hAnsi="標楷體" w:hint="eastAsia"/>
                <w:color w:val="000000" w:themeColor="text1"/>
                <w:sz w:val="26"/>
                <w:szCs w:val="26"/>
              </w:rPr>
              <w:t>影響重大，不當之酬金制度可能導致不當之銷售文化。</w:t>
            </w:r>
            <w:r w:rsidRPr="00D27793">
              <w:rPr>
                <w:rFonts w:ascii="標楷體" w:eastAsia="標楷體" w:hAnsi="標楷體" w:hint="eastAsia"/>
                <w:color w:val="000000" w:themeColor="text1"/>
                <w:sz w:val="26"/>
                <w:szCs w:val="26"/>
              </w:rPr>
              <w:t>為避免金融服務業業務人員向金融消費者銷售商品或服務時，僅以業績為考量因素</w:t>
            </w:r>
            <w:r w:rsidRPr="008C7454">
              <w:rPr>
                <w:rFonts w:ascii="標楷體" w:eastAsia="標楷體" w:hAnsi="標楷體" w:hint="eastAsia"/>
                <w:color w:val="000000" w:themeColor="text1"/>
                <w:sz w:val="26"/>
                <w:szCs w:val="26"/>
              </w:rPr>
              <w:t>，而忽略金融消費者權益及</w:t>
            </w:r>
            <w:r w:rsidRPr="00D27793">
              <w:rPr>
                <w:rFonts w:ascii="標楷體" w:eastAsia="標楷體" w:hAnsi="標楷體" w:hint="eastAsia"/>
                <w:color w:val="000000" w:themeColor="text1"/>
                <w:sz w:val="26"/>
                <w:szCs w:val="26"/>
              </w:rPr>
              <w:t>各項可能風險</w:t>
            </w:r>
            <w:r w:rsidRPr="008C7454">
              <w:rPr>
                <w:rFonts w:ascii="標楷體" w:eastAsia="標楷體" w:hAnsi="標楷體" w:hint="eastAsia"/>
                <w:color w:val="000000" w:themeColor="text1"/>
                <w:sz w:val="26"/>
                <w:szCs w:val="26"/>
              </w:rPr>
              <w:t>，</w:t>
            </w:r>
            <w:r w:rsidR="00FD43A4" w:rsidRPr="00FD43A4">
              <w:rPr>
                <w:rFonts w:eastAsia="標楷體" w:hAnsi="標楷體" w:hint="eastAsia"/>
                <w:color w:val="000000"/>
                <w:sz w:val="26"/>
                <w:szCs w:val="26"/>
              </w:rPr>
              <w:t>爰增訂</w:t>
            </w:r>
            <w:r w:rsidR="00284AF1" w:rsidRPr="008C7454">
              <w:rPr>
                <w:rFonts w:ascii="標楷體" w:eastAsia="標楷體" w:hAnsi="標楷體" w:cs="新細明體"/>
                <w:color w:val="000000" w:themeColor="text1"/>
                <w:kern w:val="0"/>
                <w:sz w:val="26"/>
                <w:szCs w:val="26"/>
              </w:rPr>
              <w:t>金融消費者保護法</w:t>
            </w:r>
            <w:r w:rsidR="00284AF1" w:rsidRPr="00284AF1">
              <w:rPr>
                <w:rFonts w:ascii="標楷體" w:eastAsia="標楷體" w:hAnsi="標楷體" w:cs="新細明體"/>
                <w:color w:val="000000" w:themeColor="text1"/>
                <w:kern w:val="0"/>
                <w:sz w:val="26"/>
                <w:szCs w:val="26"/>
              </w:rPr>
              <w:t>第十一條之一</w:t>
            </w:r>
            <w:r w:rsidR="00FD43A4" w:rsidRPr="00FD43A4">
              <w:rPr>
                <w:rFonts w:eastAsia="標楷體" w:hAnsi="標楷體" w:hint="eastAsia"/>
                <w:color w:val="000000"/>
                <w:sz w:val="26"/>
                <w:szCs w:val="26"/>
              </w:rPr>
              <w:t>第一項規定金融服務業應訂定業務人員之酬金制度並提報董</w:t>
            </w:r>
            <w:r w:rsidR="00FD43A4" w:rsidRPr="00FD43A4">
              <w:rPr>
                <w:rFonts w:eastAsia="標楷體" w:hAnsi="標楷體" w:hint="eastAsia"/>
                <w:color w:val="000000"/>
                <w:sz w:val="26"/>
                <w:szCs w:val="26"/>
              </w:rPr>
              <w:t>(</w:t>
            </w:r>
            <w:r w:rsidR="00FD43A4" w:rsidRPr="00FD43A4">
              <w:rPr>
                <w:rFonts w:eastAsia="標楷體" w:hAnsi="標楷體" w:hint="eastAsia"/>
                <w:color w:val="000000"/>
                <w:sz w:val="26"/>
                <w:szCs w:val="26"/>
              </w:rPr>
              <w:t>理</w:t>
            </w:r>
            <w:r w:rsidR="00FD43A4" w:rsidRPr="00FD43A4">
              <w:rPr>
                <w:rFonts w:eastAsia="標楷體" w:hAnsi="標楷體" w:hint="eastAsia"/>
                <w:color w:val="000000"/>
                <w:sz w:val="26"/>
                <w:szCs w:val="26"/>
              </w:rPr>
              <w:t>)</w:t>
            </w:r>
            <w:r w:rsidR="00FD43A4" w:rsidRPr="00FD43A4">
              <w:rPr>
                <w:rFonts w:eastAsia="標楷體" w:hAnsi="標楷體" w:hint="eastAsia"/>
                <w:color w:val="000000"/>
                <w:sz w:val="26"/>
                <w:szCs w:val="26"/>
              </w:rPr>
              <w:t>事會通過，藉由審慎之程序及加重董</w:t>
            </w:r>
            <w:r w:rsidR="00FD43A4" w:rsidRPr="00FD43A4">
              <w:rPr>
                <w:rFonts w:eastAsia="標楷體" w:hAnsi="標楷體" w:hint="eastAsia"/>
                <w:color w:val="000000"/>
                <w:sz w:val="26"/>
                <w:szCs w:val="26"/>
              </w:rPr>
              <w:t>(</w:t>
            </w:r>
            <w:r w:rsidR="00FD43A4" w:rsidRPr="00FD43A4">
              <w:rPr>
                <w:rFonts w:eastAsia="標楷體" w:hAnsi="標楷體" w:hint="eastAsia"/>
                <w:color w:val="000000"/>
                <w:sz w:val="26"/>
                <w:szCs w:val="26"/>
              </w:rPr>
              <w:t>理</w:t>
            </w:r>
            <w:r w:rsidR="00FD43A4" w:rsidRPr="00FD43A4">
              <w:rPr>
                <w:rFonts w:eastAsia="標楷體" w:hAnsi="標楷體" w:hint="eastAsia"/>
                <w:color w:val="000000"/>
                <w:sz w:val="26"/>
                <w:szCs w:val="26"/>
              </w:rPr>
              <w:t>)</w:t>
            </w:r>
            <w:r w:rsidR="00FD43A4" w:rsidRPr="00FD43A4">
              <w:rPr>
                <w:rFonts w:eastAsia="標楷體" w:hAnsi="標楷體" w:hint="eastAsia"/>
                <w:color w:val="000000"/>
                <w:sz w:val="26"/>
                <w:szCs w:val="26"/>
              </w:rPr>
              <w:t>事會之責任</w:t>
            </w:r>
            <w:r w:rsidRPr="008C7454">
              <w:rPr>
                <w:rFonts w:ascii="標楷體" w:eastAsia="標楷體" w:hAnsi="標楷體" w:hint="eastAsia"/>
                <w:color w:val="000000" w:themeColor="text1"/>
                <w:sz w:val="26"/>
                <w:szCs w:val="26"/>
              </w:rPr>
              <w:t>，以達保護金融消費者之目的。</w:t>
            </w:r>
          </w:p>
        </w:tc>
      </w:tr>
      <w:tr w:rsidR="00AA1ECE" w:rsidTr="004C714F">
        <w:tc>
          <w:tcPr>
            <w:tcW w:w="5103" w:type="dxa"/>
          </w:tcPr>
          <w:p w:rsidR="00AA1ECE" w:rsidRPr="001268E3" w:rsidRDefault="00AA1ECE" w:rsidP="00A439E3">
            <w:pPr>
              <w:autoSpaceDE w:val="0"/>
              <w:autoSpaceDN w:val="0"/>
              <w:adjustRightInd w:val="0"/>
              <w:spacing w:afterLines="50" w:line="320" w:lineRule="exact"/>
              <w:ind w:left="496" w:hangingChars="177" w:hanging="496"/>
              <w:jc w:val="both"/>
              <w:rPr>
                <w:rFonts w:ascii="標楷體" w:eastAsia="標楷體" w:hAnsi="標楷體"/>
                <w:color w:val="000000"/>
                <w:sz w:val="28"/>
                <w:szCs w:val="28"/>
              </w:rPr>
            </w:pPr>
            <w:r w:rsidRPr="001268E3">
              <w:rPr>
                <w:rFonts w:ascii="標楷體" w:eastAsia="標楷體" w:hAnsi="標楷體" w:hint="eastAsia"/>
                <w:color w:val="000000"/>
                <w:sz w:val="28"/>
                <w:szCs w:val="28"/>
              </w:rPr>
              <w:t>第</w:t>
            </w:r>
            <w:r>
              <w:rPr>
                <w:rFonts w:ascii="標楷體" w:eastAsia="標楷體" w:hAnsi="標楷體" w:hint="eastAsia"/>
                <w:color w:val="000000"/>
                <w:sz w:val="28"/>
                <w:szCs w:val="28"/>
              </w:rPr>
              <w:t>三</w:t>
            </w:r>
            <w:r w:rsidRPr="001268E3">
              <w:rPr>
                <w:rFonts w:ascii="標楷體" w:eastAsia="標楷體" w:hAnsi="標楷體" w:hint="eastAsia"/>
                <w:color w:val="000000"/>
                <w:sz w:val="28"/>
                <w:szCs w:val="28"/>
              </w:rPr>
              <w:t>條</w:t>
            </w:r>
          </w:p>
          <w:p w:rsidR="00AA1ECE" w:rsidRPr="00AA1ECE" w:rsidRDefault="00AA1ECE" w:rsidP="00A439E3">
            <w:pPr>
              <w:adjustRightInd w:val="0"/>
              <w:snapToGrid w:val="0"/>
              <w:spacing w:afterLines="50" w:line="320" w:lineRule="exact"/>
              <w:jc w:val="both"/>
              <w:rPr>
                <w:rFonts w:ascii="標楷體" w:eastAsia="標楷體" w:hAnsi="標楷體"/>
                <w:color w:val="000000"/>
                <w:sz w:val="28"/>
                <w:szCs w:val="28"/>
              </w:rPr>
            </w:pPr>
            <w:r w:rsidRPr="001268E3">
              <w:rPr>
                <w:rFonts w:ascii="標楷體" w:eastAsia="標楷體" w:hAnsi="標楷體" w:hint="eastAsia"/>
                <w:color w:val="000000"/>
                <w:sz w:val="28"/>
                <w:szCs w:val="28"/>
              </w:rPr>
              <w:t>會員公司經營業務，訂定業務人員之酬金制度，</w:t>
            </w:r>
            <w:r w:rsidRPr="001268E3">
              <w:rPr>
                <w:rFonts w:ascii="標楷體" w:eastAsia="標楷體" w:hAnsi="標楷體" w:hint="eastAsia"/>
                <w:color w:val="000000" w:themeColor="text1"/>
                <w:sz w:val="28"/>
                <w:szCs w:val="28"/>
              </w:rPr>
              <w:t>除法令另有規定外</w:t>
            </w:r>
            <w:r w:rsidRPr="001268E3">
              <w:rPr>
                <w:rFonts w:ascii="標楷體" w:eastAsia="標楷體" w:hAnsi="標楷體" w:hint="eastAsia"/>
                <w:color w:val="000000"/>
                <w:sz w:val="28"/>
                <w:szCs w:val="28"/>
              </w:rPr>
              <w:t>，應遵循本原則。</w:t>
            </w:r>
          </w:p>
        </w:tc>
        <w:tc>
          <w:tcPr>
            <w:tcW w:w="4820" w:type="dxa"/>
          </w:tcPr>
          <w:p w:rsidR="009F299F" w:rsidRPr="009F299F" w:rsidRDefault="00D57F5B" w:rsidP="00A439E3">
            <w:pPr>
              <w:spacing w:beforeLines="50" w:afterLines="50" w:line="320" w:lineRule="exact"/>
              <w:jc w:val="both"/>
              <w:rPr>
                <w:rFonts w:ascii="標楷體" w:eastAsia="標楷體" w:hAnsi="標楷體"/>
                <w:color w:val="000000"/>
                <w:sz w:val="28"/>
                <w:szCs w:val="28"/>
              </w:rPr>
            </w:pPr>
            <w:r>
              <w:rPr>
                <w:rFonts w:ascii="標楷體" w:eastAsia="標楷體" w:hAnsi="標楷體" w:hint="eastAsia"/>
                <w:color w:val="000000" w:themeColor="text1"/>
                <w:sz w:val="28"/>
                <w:szCs w:val="28"/>
              </w:rPr>
              <w:t>明訂</w:t>
            </w:r>
            <w:r w:rsidRPr="00D57F5B">
              <w:rPr>
                <w:rFonts w:ascii="標楷體" w:eastAsia="標楷體" w:hAnsi="標楷體" w:hint="eastAsia"/>
                <w:color w:val="000000" w:themeColor="text1"/>
                <w:sz w:val="28"/>
                <w:szCs w:val="28"/>
              </w:rPr>
              <w:t>會員公司</w:t>
            </w:r>
            <w:r w:rsidR="00A866CB" w:rsidRPr="0052681E">
              <w:rPr>
                <w:rFonts w:ascii="標楷體" w:eastAsia="標楷體" w:hAnsi="標楷體" w:hint="eastAsia"/>
                <w:color w:val="000000" w:themeColor="text1"/>
                <w:sz w:val="28"/>
                <w:szCs w:val="28"/>
              </w:rPr>
              <w:t>依</w:t>
            </w:r>
            <w:r w:rsidR="00A866CB" w:rsidRPr="0052681E">
              <w:rPr>
                <w:rFonts w:ascii="標楷體" w:eastAsia="標楷體" w:hAnsi="標楷體" w:cs="新細明體"/>
                <w:color w:val="000000" w:themeColor="text1"/>
                <w:kern w:val="0"/>
                <w:sz w:val="28"/>
                <w:szCs w:val="28"/>
              </w:rPr>
              <w:t>金融消費者保護法</w:t>
            </w:r>
            <w:r w:rsidR="00710749">
              <w:rPr>
                <w:rFonts w:ascii="標楷體" w:eastAsia="標楷體" w:hAnsi="標楷體" w:cs="新細明體"/>
                <w:color w:val="000000" w:themeColor="text1"/>
                <w:kern w:val="0"/>
                <w:sz w:val="28"/>
                <w:szCs w:val="28"/>
              </w:rPr>
              <w:t>第十一條之</w:t>
            </w:r>
            <w:proofErr w:type="gramStart"/>
            <w:r w:rsidR="00710749">
              <w:rPr>
                <w:rFonts w:ascii="標楷體" w:eastAsia="標楷體" w:hAnsi="標楷體" w:cs="新細明體"/>
                <w:color w:val="000000" w:themeColor="text1"/>
                <w:kern w:val="0"/>
                <w:sz w:val="28"/>
                <w:szCs w:val="28"/>
              </w:rPr>
              <w:t>一</w:t>
            </w:r>
            <w:proofErr w:type="gramEnd"/>
            <w:r w:rsidRPr="0052681E">
              <w:rPr>
                <w:rFonts w:ascii="標楷體" w:eastAsia="標楷體" w:hAnsi="標楷體" w:hint="eastAsia"/>
                <w:color w:val="000000" w:themeColor="text1"/>
                <w:sz w:val="28"/>
                <w:szCs w:val="28"/>
              </w:rPr>
              <w:t>訂定</w:t>
            </w:r>
            <w:r w:rsidR="00A866CB" w:rsidRPr="0052681E">
              <w:rPr>
                <w:rFonts w:ascii="標楷體" w:eastAsia="標楷體" w:hAnsi="標楷體" w:hint="eastAsia"/>
                <w:color w:val="000000" w:themeColor="text1"/>
                <w:sz w:val="28"/>
                <w:szCs w:val="28"/>
              </w:rPr>
              <w:t>之</w:t>
            </w:r>
            <w:r w:rsidRPr="001268E3">
              <w:rPr>
                <w:rFonts w:ascii="標楷體" w:eastAsia="標楷體" w:hAnsi="標楷體" w:hint="eastAsia"/>
                <w:color w:val="000000"/>
                <w:sz w:val="28"/>
                <w:szCs w:val="28"/>
              </w:rPr>
              <w:t>酬金制度，</w:t>
            </w:r>
            <w:r w:rsidRPr="001268E3">
              <w:rPr>
                <w:rFonts w:ascii="標楷體" w:eastAsia="標楷體" w:hAnsi="標楷體" w:hint="eastAsia"/>
                <w:color w:val="000000" w:themeColor="text1"/>
                <w:sz w:val="28"/>
                <w:szCs w:val="28"/>
              </w:rPr>
              <w:t>除</w:t>
            </w:r>
            <w:r>
              <w:rPr>
                <w:rFonts w:ascii="標楷體" w:eastAsia="標楷體" w:hAnsi="標楷體" w:hint="eastAsia"/>
                <w:color w:val="000000" w:themeColor="text1"/>
                <w:sz w:val="28"/>
                <w:szCs w:val="28"/>
              </w:rPr>
              <w:t>日後主管機關</w:t>
            </w:r>
            <w:r w:rsidRPr="001268E3">
              <w:rPr>
                <w:rFonts w:ascii="標楷體" w:eastAsia="標楷體" w:hAnsi="標楷體" w:hint="eastAsia"/>
                <w:color w:val="000000" w:themeColor="text1"/>
                <w:sz w:val="28"/>
                <w:szCs w:val="28"/>
              </w:rPr>
              <w:t>法令另有規定外</w:t>
            </w:r>
            <w:r w:rsidRPr="001268E3">
              <w:rPr>
                <w:rFonts w:ascii="標楷體" w:eastAsia="標楷體" w:hAnsi="標楷體" w:hint="eastAsia"/>
                <w:color w:val="000000"/>
                <w:sz w:val="28"/>
                <w:szCs w:val="28"/>
              </w:rPr>
              <w:t>，</w:t>
            </w:r>
            <w:r>
              <w:rPr>
                <w:rFonts w:ascii="標楷體" w:eastAsia="標楷體" w:hAnsi="標楷體" w:hint="eastAsia"/>
                <w:color w:val="000000"/>
                <w:sz w:val="28"/>
                <w:szCs w:val="28"/>
              </w:rPr>
              <w:t>皆</w:t>
            </w:r>
            <w:r w:rsidRPr="001268E3">
              <w:rPr>
                <w:rFonts w:ascii="標楷體" w:eastAsia="標楷體" w:hAnsi="標楷體" w:hint="eastAsia"/>
                <w:color w:val="000000"/>
                <w:sz w:val="28"/>
                <w:szCs w:val="28"/>
              </w:rPr>
              <w:t>應遵循本原則。</w:t>
            </w:r>
          </w:p>
        </w:tc>
      </w:tr>
      <w:tr w:rsidR="00AA1ECE" w:rsidTr="004C714F">
        <w:tc>
          <w:tcPr>
            <w:tcW w:w="5103" w:type="dxa"/>
          </w:tcPr>
          <w:p w:rsidR="00AA1ECE" w:rsidRPr="00AA1ECE" w:rsidRDefault="00AA1ECE" w:rsidP="00A439E3">
            <w:pPr>
              <w:adjustRightInd w:val="0"/>
              <w:snapToGrid w:val="0"/>
              <w:spacing w:afterLines="50" w:line="320" w:lineRule="exact"/>
              <w:jc w:val="both"/>
              <w:rPr>
                <w:rFonts w:ascii="標楷體" w:eastAsia="標楷體" w:hAnsi="標楷體"/>
                <w:color w:val="000000"/>
                <w:sz w:val="28"/>
                <w:szCs w:val="28"/>
              </w:rPr>
            </w:pPr>
            <w:r w:rsidRPr="00AA1ECE">
              <w:rPr>
                <w:rFonts w:ascii="標楷體" w:eastAsia="標楷體" w:hAnsi="標楷體" w:hint="eastAsia"/>
                <w:color w:val="000000"/>
                <w:sz w:val="28"/>
                <w:szCs w:val="28"/>
              </w:rPr>
              <w:t>第</w:t>
            </w:r>
            <w:r>
              <w:rPr>
                <w:rFonts w:ascii="標楷體" w:eastAsia="標楷體" w:hAnsi="標楷體" w:hint="eastAsia"/>
                <w:color w:val="000000"/>
                <w:sz w:val="28"/>
                <w:szCs w:val="28"/>
              </w:rPr>
              <w:t>四</w:t>
            </w:r>
            <w:r w:rsidRPr="00AA1ECE">
              <w:rPr>
                <w:rFonts w:ascii="標楷體" w:eastAsia="標楷體" w:hAnsi="標楷體" w:hint="eastAsia"/>
                <w:color w:val="000000"/>
                <w:sz w:val="28"/>
                <w:szCs w:val="28"/>
              </w:rPr>
              <w:t>條</w:t>
            </w:r>
          </w:p>
          <w:p w:rsidR="00AA1ECE" w:rsidRDefault="00392DB0" w:rsidP="00A439E3">
            <w:pPr>
              <w:autoSpaceDE w:val="0"/>
              <w:autoSpaceDN w:val="0"/>
              <w:adjustRightInd w:val="0"/>
              <w:spacing w:afterLines="50" w:line="320" w:lineRule="exact"/>
              <w:jc w:val="both"/>
              <w:rPr>
                <w:rFonts w:ascii="標楷體" w:eastAsia="標楷體" w:hAnsi="標楷體" w:cs="細明體"/>
                <w:color w:val="000000" w:themeColor="text1"/>
                <w:kern w:val="0"/>
                <w:sz w:val="28"/>
                <w:szCs w:val="28"/>
                <w:lang w:val="zh-TW"/>
              </w:rPr>
            </w:pPr>
            <w:r w:rsidRPr="0052681E">
              <w:rPr>
                <w:rFonts w:ascii="標楷體" w:eastAsia="標楷體" w:hAnsi="標楷體" w:hint="eastAsia"/>
                <w:color w:val="000000" w:themeColor="text1"/>
                <w:sz w:val="28"/>
                <w:szCs w:val="28"/>
              </w:rPr>
              <w:t>本原則</w:t>
            </w:r>
            <w:r w:rsidR="00AA1ECE" w:rsidRPr="0052681E">
              <w:rPr>
                <w:rFonts w:ascii="標楷體" w:eastAsia="標楷體" w:hAnsi="標楷體" w:hint="eastAsia"/>
                <w:color w:val="000000" w:themeColor="text1"/>
                <w:sz w:val="28"/>
                <w:szCs w:val="28"/>
              </w:rPr>
              <w:t>所稱業務人員，係指其酬金來自</w:t>
            </w:r>
            <w:r w:rsidR="00AA1ECE" w:rsidRPr="0052681E">
              <w:rPr>
                <w:rFonts w:ascii="標楷體" w:eastAsia="標楷體" w:hAnsi="標楷體" w:hint="eastAsia"/>
                <w:color w:val="000000" w:themeColor="text1"/>
                <w:sz w:val="28"/>
                <w:szCs w:val="28"/>
                <w:lang w:val="zh-TW"/>
              </w:rPr>
              <w:t>提供</w:t>
            </w:r>
            <w:r w:rsidR="00AA1ECE" w:rsidRPr="0052681E">
              <w:rPr>
                <w:rFonts w:ascii="標楷體" w:eastAsia="標楷體" w:hAnsi="標楷體" w:hint="eastAsia"/>
                <w:color w:val="000000" w:themeColor="text1"/>
                <w:sz w:val="28"/>
                <w:szCs w:val="28"/>
              </w:rPr>
              <w:t>各種</w:t>
            </w:r>
            <w:r w:rsidR="00AA1ECE" w:rsidRPr="0052681E">
              <w:rPr>
                <w:rFonts w:ascii="標楷體" w:eastAsia="標楷體" w:hAnsi="標楷體" w:cs="細明體" w:hint="eastAsia"/>
                <w:color w:val="000000" w:themeColor="text1"/>
                <w:kern w:val="0"/>
                <w:sz w:val="28"/>
                <w:szCs w:val="28"/>
                <w:lang w:val="zh-TW"/>
              </w:rPr>
              <w:t>金融商品或服務予客戶之人員。</w:t>
            </w:r>
          </w:p>
          <w:p w:rsidR="00D27793" w:rsidRPr="00086E55" w:rsidRDefault="00D27793" w:rsidP="00A439E3">
            <w:pPr>
              <w:autoSpaceDE w:val="0"/>
              <w:autoSpaceDN w:val="0"/>
              <w:adjustRightInd w:val="0"/>
              <w:spacing w:afterLines="50" w:line="320" w:lineRule="exact"/>
              <w:jc w:val="both"/>
              <w:rPr>
                <w:rFonts w:ascii="標楷體" w:eastAsia="標楷體" w:hAnsi="標楷體"/>
                <w:color w:val="000000" w:themeColor="text1"/>
                <w:sz w:val="28"/>
                <w:szCs w:val="28"/>
                <w:lang w:val="zh-TW"/>
              </w:rPr>
            </w:pPr>
            <w:r w:rsidRPr="00086E55">
              <w:rPr>
                <w:rFonts w:ascii="標楷體" w:eastAsia="標楷體" w:hAnsi="標楷體" w:hint="eastAsia"/>
                <w:color w:val="000000" w:themeColor="text1"/>
                <w:sz w:val="28"/>
                <w:szCs w:val="28"/>
                <w:lang w:val="zh-TW"/>
              </w:rPr>
              <w:lastRenderedPageBreak/>
              <w:t>本原則所稱酬金，係指會員公司參酌業務人員提供金融商品或服務予客戶之業績</w:t>
            </w:r>
            <w:proofErr w:type="gramStart"/>
            <w:r w:rsidRPr="00086E55">
              <w:rPr>
                <w:rFonts w:ascii="標楷體" w:eastAsia="標楷體" w:hAnsi="標楷體" w:hint="eastAsia"/>
                <w:color w:val="000000" w:themeColor="text1"/>
                <w:sz w:val="28"/>
                <w:szCs w:val="28"/>
                <w:lang w:val="zh-TW"/>
              </w:rPr>
              <w:t>表現及衡平</w:t>
            </w:r>
            <w:proofErr w:type="gramEnd"/>
            <w:r w:rsidRPr="00086E55">
              <w:rPr>
                <w:rFonts w:ascii="標楷體" w:eastAsia="標楷體" w:hAnsi="標楷體" w:hint="eastAsia"/>
                <w:color w:val="000000" w:themeColor="text1"/>
                <w:sz w:val="28"/>
                <w:szCs w:val="28"/>
                <w:lang w:val="zh-TW"/>
              </w:rPr>
              <w:t>考量客戶權益與各項風險而給予業務人員個人之獎勵金、佣金及其他具有實質獎勵性質之報酬。但不包括年節獎金及其他與業務人員個人業績表現無關之獎金或紅利。</w:t>
            </w:r>
          </w:p>
          <w:p w:rsidR="00AA1ECE" w:rsidRPr="00A023CE" w:rsidRDefault="00AA1ECE" w:rsidP="00A439E3">
            <w:pPr>
              <w:adjustRightInd w:val="0"/>
              <w:snapToGrid w:val="0"/>
              <w:spacing w:afterLines="50" w:line="320" w:lineRule="exact"/>
              <w:ind w:left="31" w:hangingChars="11" w:hanging="31"/>
              <w:jc w:val="both"/>
              <w:rPr>
                <w:rFonts w:ascii="標楷體" w:eastAsia="標楷體" w:hAnsi="標楷體"/>
                <w:color w:val="000000"/>
                <w:sz w:val="28"/>
                <w:szCs w:val="28"/>
              </w:rPr>
            </w:pPr>
          </w:p>
        </w:tc>
        <w:tc>
          <w:tcPr>
            <w:tcW w:w="4820" w:type="dxa"/>
          </w:tcPr>
          <w:p w:rsidR="0070633E" w:rsidRPr="0070633E" w:rsidRDefault="0070633E" w:rsidP="00A439E3">
            <w:pPr>
              <w:adjustRightInd w:val="0"/>
              <w:snapToGrid w:val="0"/>
              <w:spacing w:beforeLines="50" w:afterLines="50" w:line="320" w:lineRule="exact"/>
              <w:jc w:val="both"/>
              <w:rPr>
                <w:rFonts w:ascii="標楷體" w:eastAsia="標楷體" w:hAnsi="標楷體"/>
                <w:color w:val="000000" w:themeColor="text1"/>
                <w:sz w:val="28"/>
                <w:szCs w:val="28"/>
                <w:shd w:val="pct15" w:color="auto" w:fill="FFFFFF"/>
              </w:rPr>
            </w:pPr>
            <w:r w:rsidRPr="00D27793">
              <w:rPr>
                <w:rFonts w:ascii="標楷體" w:eastAsia="標楷體" w:hAnsi="標楷體" w:hint="eastAsia"/>
                <w:color w:val="000000" w:themeColor="text1"/>
                <w:sz w:val="28"/>
                <w:szCs w:val="28"/>
              </w:rPr>
              <w:lastRenderedPageBreak/>
              <w:t>第一項說明：</w:t>
            </w:r>
          </w:p>
          <w:p w:rsidR="00AA1ECE" w:rsidRDefault="00AA1ECE" w:rsidP="00A439E3">
            <w:pPr>
              <w:adjustRightInd w:val="0"/>
              <w:snapToGrid w:val="0"/>
              <w:spacing w:beforeLines="50" w:afterLines="50" w:line="320" w:lineRule="exact"/>
              <w:ind w:left="357"/>
              <w:jc w:val="both"/>
              <w:rPr>
                <w:rFonts w:ascii="標楷體" w:eastAsia="標楷體" w:hAnsi="標楷體"/>
                <w:color w:val="000000" w:themeColor="text1"/>
                <w:sz w:val="28"/>
                <w:szCs w:val="28"/>
              </w:rPr>
            </w:pPr>
            <w:r w:rsidRPr="00A023CE">
              <w:rPr>
                <w:rFonts w:ascii="標楷體" w:eastAsia="標楷體" w:hAnsi="標楷體"/>
                <w:color w:val="000000" w:themeColor="text1"/>
                <w:sz w:val="28"/>
                <w:szCs w:val="28"/>
              </w:rPr>
              <w:t>參考</w:t>
            </w:r>
            <w:r>
              <w:rPr>
                <w:rFonts w:ascii="標楷體" w:eastAsia="標楷體" w:hAnsi="標楷體" w:hint="eastAsia"/>
                <w:color w:val="000000" w:themeColor="text1"/>
                <w:sz w:val="28"/>
                <w:szCs w:val="28"/>
              </w:rPr>
              <w:t>金融消費者保護法第</w:t>
            </w:r>
            <w:r w:rsidR="00710749">
              <w:rPr>
                <w:rFonts w:ascii="標楷體" w:eastAsia="標楷體" w:hAnsi="標楷體" w:hint="eastAsia"/>
                <w:color w:val="000000" w:themeColor="text1"/>
                <w:sz w:val="28"/>
                <w:szCs w:val="28"/>
              </w:rPr>
              <w:t>七</w:t>
            </w:r>
            <w:r>
              <w:rPr>
                <w:rFonts w:ascii="標楷體" w:eastAsia="標楷體" w:hAnsi="標楷體" w:hint="eastAsia"/>
                <w:color w:val="000000" w:themeColor="text1"/>
                <w:sz w:val="28"/>
                <w:szCs w:val="28"/>
              </w:rPr>
              <w:t>條至第</w:t>
            </w:r>
            <w:r w:rsidR="00710749">
              <w:rPr>
                <w:rFonts w:ascii="標楷體" w:eastAsia="標楷體" w:hAnsi="標楷體" w:hint="eastAsia"/>
                <w:color w:val="000000" w:themeColor="text1"/>
                <w:sz w:val="28"/>
                <w:szCs w:val="28"/>
              </w:rPr>
              <w:t>十</w:t>
            </w:r>
            <w:r>
              <w:rPr>
                <w:rFonts w:ascii="標楷體" w:eastAsia="標楷體" w:hAnsi="標楷體" w:hint="eastAsia"/>
                <w:color w:val="000000" w:themeColor="text1"/>
                <w:sz w:val="28"/>
                <w:szCs w:val="28"/>
              </w:rPr>
              <w:t>條文字「</w:t>
            </w:r>
            <w:r w:rsidRPr="00DF3A2F">
              <w:rPr>
                <w:rFonts w:ascii="標楷體" w:eastAsia="標楷體" w:hAnsi="標楷體" w:cs="細明體" w:hint="eastAsia"/>
                <w:color w:val="000000"/>
                <w:kern w:val="0"/>
                <w:sz w:val="28"/>
                <w:szCs w:val="28"/>
                <w:lang w:val="zh-TW"/>
              </w:rPr>
              <w:t>金融商品</w:t>
            </w:r>
            <w:r>
              <w:rPr>
                <w:rFonts w:ascii="標楷體" w:eastAsia="標楷體" w:hAnsi="標楷體" w:cs="細明體" w:hint="eastAsia"/>
                <w:color w:val="000000"/>
                <w:kern w:val="0"/>
                <w:sz w:val="28"/>
                <w:szCs w:val="28"/>
                <w:lang w:val="zh-TW"/>
              </w:rPr>
              <w:t>或</w:t>
            </w:r>
            <w:r w:rsidRPr="00DF3A2F">
              <w:rPr>
                <w:rFonts w:ascii="標楷體" w:eastAsia="標楷體" w:hAnsi="標楷體" w:cs="細明體" w:hint="eastAsia"/>
                <w:color w:val="000000"/>
                <w:kern w:val="0"/>
                <w:sz w:val="28"/>
                <w:szCs w:val="28"/>
                <w:lang w:val="zh-TW"/>
              </w:rPr>
              <w:t>服務</w:t>
            </w:r>
            <w:r>
              <w:rPr>
                <w:rFonts w:ascii="標楷體" w:eastAsia="標楷體" w:hAnsi="標楷體" w:hint="eastAsia"/>
                <w:color w:val="000000" w:themeColor="text1"/>
                <w:sz w:val="28"/>
                <w:szCs w:val="28"/>
              </w:rPr>
              <w:t>」，皆以『提供』稱之。</w:t>
            </w:r>
            <w:r w:rsidR="001E1B7B">
              <w:rPr>
                <w:rFonts w:ascii="標楷體" w:eastAsia="標楷體" w:hAnsi="標楷體" w:hint="eastAsia"/>
                <w:color w:val="000000" w:themeColor="text1"/>
                <w:sz w:val="28"/>
                <w:szCs w:val="28"/>
              </w:rPr>
              <w:t>及</w:t>
            </w:r>
            <w:r w:rsidR="00710749">
              <w:rPr>
                <w:rFonts w:ascii="標楷體" w:eastAsia="標楷體" w:hAnsi="標楷體" w:hint="eastAsia"/>
                <w:color w:val="000000" w:themeColor="text1"/>
                <w:sz w:val="28"/>
                <w:szCs w:val="28"/>
              </w:rPr>
              <w:t>第十一條之</w:t>
            </w:r>
            <w:proofErr w:type="gramStart"/>
            <w:r w:rsidR="00710749">
              <w:rPr>
                <w:rFonts w:ascii="標楷體" w:eastAsia="標楷體" w:hAnsi="標楷體" w:hint="eastAsia"/>
                <w:color w:val="000000" w:themeColor="text1"/>
                <w:sz w:val="28"/>
                <w:szCs w:val="28"/>
              </w:rPr>
              <w:t>一</w:t>
            </w:r>
            <w:proofErr w:type="gramEnd"/>
            <w:r w:rsidR="001E1B7B">
              <w:rPr>
                <w:rFonts w:ascii="標楷體" w:eastAsia="標楷體" w:hAnsi="標楷體" w:hint="eastAsia"/>
                <w:color w:val="000000" w:themeColor="text1"/>
                <w:sz w:val="28"/>
                <w:szCs w:val="28"/>
              </w:rPr>
              <w:t>立</w:t>
            </w:r>
            <w:r w:rsidR="001E1B7B">
              <w:rPr>
                <w:rFonts w:ascii="標楷體" w:eastAsia="標楷體" w:hAnsi="標楷體" w:hint="eastAsia"/>
                <w:color w:val="000000" w:themeColor="text1"/>
                <w:sz w:val="28"/>
                <w:szCs w:val="28"/>
              </w:rPr>
              <w:lastRenderedPageBreak/>
              <w:t>法精神在避免公司業務人員為業績績效而忽略客戶權益及風險，</w:t>
            </w:r>
            <w:proofErr w:type="gramStart"/>
            <w:r w:rsidR="001E1B7B">
              <w:rPr>
                <w:rFonts w:ascii="標楷體" w:eastAsia="標楷體" w:hAnsi="標楷體" w:hint="eastAsia"/>
                <w:color w:val="000000" w:themeColor="text1"/>
                <w:sz w:val="28"/>
                <w:szCs w:val="28"/>
              </w:rPr>
              <w:t>爰</w:t>
            </w:r>
            <w:proofErr w:type="gramEnd"/>
            <w:r w:rsidR="00FB442E" w:rsidRPr="008A23E9">
              <w:rPr>
                <w:rFonts w:ascii="標楷體" w:eastAsia="標楷體" w:hAnsi="標楷體"/>
                <w:color w:val="000000" w:themeColor="text1"/>
                <w:sz w:val="28"/>
                <w:szCs w:val="28"/>
              </w:rPr>
              <w:t>參考</w:t>
            </w:r>
            <w:r w:rsidR="00BA3644">
              <w:rPr>
                <w:rFonts w:ascii="標楷體" w:eastAsia="標楷體" w:hAnsi="標楷體"/>
                <w:color w:val="000000" w:themeColor="text1"/>
                <w:sz w:val="28"/>
                <w:szCs w:val="28"/>
              </w:rPr>
              <w:t>「</w:t>
            </w:r>
            <w:r w:rsidR="00FB442E" w:rsidRPr="008A23E9">
              <w:rPr>
                <w:rFonts w:ascii="標楷體" w:eastAsia="標楷體" w:hAnsi="標楷體"/>
                <w:color w:val="000000" w:themeColor="text1"/>
                <w:sz w:val="28"/>
                <w:szCs w:val="28"/>
              </w:rPr>
              <w:t>證券商公司治理實務守則</w:t>
            </w:r>
            <w:r w:rsidR="00BA3644">
              <w:rPr>
                <w:rFonts w:ascii="標楷體" w:eastAsia="標楷體" w:hAnsi="標楷體"/>
                <w:color w:val="000000" w:themeColor="text1"/>
                <w:sz w:val="28"/>
                <w:szCs w:val="28"/>
              </w:rPr>
              <w:t>」</w:t>
            </w:r>
            <w:r w:rsidR="00710749">
              <w:rPr>
                <w:rFonts w:ascii="標楷體" w:eastAsia="標楷體" w:hAnsi="標楷體"/>
                <w:color w:val="000000" w:themeColor="text1"/>
                <w:sz w:val="28"/>
                <w:szCs w:val="28"/>
              </w:rPr>
              <w:t>第三十五條之一</w:t>
            </w:r>
            <w:r w:rsidR="00FB442E" w:rsidRPr="008A23E9">
              <w:rPr>
                <w:rFonts w:ascii="標楷體" w:eastAsia="標楷體" w:hAnsi="標楷體"/>
                <w:color w:val="000000" w:themeColor="text1"/>
                <w:sz w:val="28"/>
                <w:szCs w:val="28"/>
              </w:rPr>
              <w:t>第</w:t>
            </w:r>
            <w:r w:rsidR="00710749">
              <w:rPr>
                <w:rFonts w:ascii="標楷體" w:eastAsia="標楷體" w:hAnsi="標楷體" w:hint="eastAsia"/>
                <w:color w:val="000000" w:themeColor="text1"/>
                <w:sz w:val="28"/>
                <w:szCs w:val="28"/>
              </w:rPr>
              <w:t>二</w:t>
            </w:r>
            <w:r w:rsidR="00FB442E" w:rsidRPr="008A23E9">
              <w:rPr>
                <w:rFonts w:ascii="標楷體" w:eastAsia="標楷體" w:hAnsi="標楷體"/>
                <w:color w:val="000000" w:themeColor="text1"/>
                <w:sz w:val="28"/>
                <w:szCs w:val="28"/>
              </w:rPr>
              <w:t>項</w:t>
            </w:r>
            <w:r w:rsidR="00FB442E" w:rsidRPr="008A23E9">
              <w:rPr>
                <w:rFonts w:ascii="標楷體" w:eastAsia="標楷體" w:hAnsi="標楷體" w:hint="eastAsia"/>
                <w:color w:val="000000" w:themeColor="text1"/>
                <w:sz w:val="28"/>
                <w:szCs w:val="28"/>
              </w:rPr>
              <w:t>規定</w:t>
            </w:r>
            <w:r w:rsidR="001E1B7B">
              <w:rPr>
                <w:rFonts w:ascii="標楷體" w:eastAsia="標楷體" w:hAnsi="標楷體" w:hint="eastAsia"/>
                <w:color w:val="000000" w:themeColor="text1"/>
                <w:sz w:val="28"/>
                <w:szCs w:val="28"/>
              </w:rPr>
              <w:t>對業務人員予以定義。</w:t>
            </w:r>
          </w:p>
          <w:p w:rsidR="0070633E" w:rsidRPr="0070633E" w:rsidRDefault="0070633E" w:rsidP="00A439E3">
            <w:pPr>
              <w:adjustRightInd w:val="0"/>
              <w:snapToGrid w:val="0"/>
              <w:spacing w:beforeLines="50" w:afterLines="50" w:line="320" w:lineRule="exact"/>
              <w:jc w:val="both"/>
              <w:rPr>
                <w:rFonts w:ascii="標楷體" w:eastAsia="標楷體" w:hAnsi="標楷體"/>
                <w:color w:val="000000" w:themeColor="text1"/>
                <w:sz w:val="28"/>
                <w:szCs w:val="28"/>
                <w:shd w:val="pct15" w:color="auto" w:fill="FFFFFF"/>
              </w:rPr>
            </w:pPr>
            <w:r w:rsidRPr="00D27793">
              <w:rPr>
                <w:rFonts w:ascii="標楷體" w:eastAsia="標楷體" w:hAnsi="標楷體" w:hint="eastAsia"/>
                <w:color w:val="000000" w:themeColor="text1"/>
                <w:sz w:val="28"/>
                <w:szCs w:val="28"/>
              </w:rPr>
              <w:t>第二項說明：</w:t>
            </w:r>
          </w:p>
          <w:p w:rsidR="00AA1ECE" w:rsidRPr="0070633E" w:rsidRDefault="00AA1ECE" w:rsidP="00A439E3">
            <w:pPr>
              <w:numPr>
                <w:ilvl w:val="0"/>
                <w:numId w:val="9"/>
              </w:numPr>
              <w:adjustRightInd w:val="0"/>
              <w:snapToGrid w:val="0"/>
              <w:spacing w:afterLines="50" w:line="320" w:lineRule="exact"/>
              <w:jc w:val="both"/>
              <w:rPr>
                <w:rFonts w:ascii="標楷體" w:eastAsia="標楷體" w:hAnsi="標楷體"/>
                <w:b/>
                <w:color w:val="000000" w:themeColor="text1"/>
                <w:sz w:val="28"/>
                <w:szCs w:val="28"/>
              </w:rPr>
            </w:pPr>
            <w:r w:rsidRPr="000F34C0">
              <w:rPr>
                <w:rFonts w:ascii="標楷體" w:eastAsia="標楷體" w:hAnsi="標楷體"/>
                <w:color w:val="000000" w:themeColor="text1"/>
                <w:sz w:val="28"/>
                <w:szCs w:val="28"/>
              </w:rPr>
              <w:t>參考</w:t>
            </w:r>
            <w:r w:rsidR="00BA3644">
              <w:rPr>
                <w:rFonts w:ascii="標楷體" w:eastAsia="標楷體" w:hAnsi="標楷體" w:hint="eastAsia"/>
                <w:color w:val="000000" w:themeColor="text1"/>
                <w:sz w:val="28"/>
                <w:szCs w:val="28"/>
              </w:rPr>
              <w:t>金融消費者保護法</w:t>
            </w:r>
            <w:r w:rsidR="00204667">
              <w:rPr>
                <w:rFonts w:ascii="標楷體" w:eastAsia="標楷體" w:hAnsi="標楷體" w:hint="eastAsia"/>
                <w:color w:val="000000" w:themeColor="text1"/>
                <w:sz w:val="28"/>
                <w:szCs w:val="28"/>
              </w:rPr>
              <w:t>第十一條之</w:t>
            </w:r>
            <w:proofErr w:type="gramStart"/>
            <w:r w:rsidR="00204667">
              <w:rPr>
                <w:rFonts w:ascii="標楷體" w:eastAsia="標楷體" w:hAnsi="標楷體" w:hint="eastAsia"/>
                <w:color w:val="000000" w:themeColor="text1"/>
                <w:sz w:val="28"/>
                <w:szCs w:val="28"/>
              </w:rPr>
              <w:t>一</w:t>
            </w:r>
            <w:proofErr w:type="gramEnd"/>
            <w:r w:rsidRPr="000F34C0">
              <w:rPr>
                <w:rFonts w:ascii="標楷體" w:eastAsia="標楷體" w:hAnsi="標楷體"/>
                <w:color w:val="000000" w:themeColor="text1"/>
                <w:sz w:val="28"/>
                <w:szCs w:val="28"/>
              </w:rPr>
              <w:t>立法精神：</w:t>
            </w:r>
            <w:r w:rsidRPr="000F34C0">
              <w:rPr>
                <w:rFonts w:ascii="標楷體" w:eastAsia="標楷體" w:hAnsi="標楷體" w:hint="eastAsia"/>
                <w:color w:val="000000" w:themeColor="text1"/>
                <w:sz w:val="28"/>
                <w:szCs w:val="28"/>
              </w:rPr>
              <w:t>酬金制度規範旨在</w:t>
            </w:r>
            <w:r w:rsidRPr="000F34C0">
              <w:rPr>
                <w:rFonts w:ascii="標楷體" w:eastAsia="標楷體" w:hAnsi="標楷體" w:cs="新細明體"/>
                <w:color w:val="000000" w:themeColor="text1"/>
                <w:kern w:val="0"/>
                <w:sz w:val="28"/>
                <w:szCs w:val="28"/>
              </w:rPr>
              <w:t>避免從業人員為爭取業績而</w:t>
            </w:r>
            <w:r w:rsidRPr="00D27793">
              <w:rPr>
                <w:rFonts w:ascii="標楷體" w:eastAsia="標楷體" w:hAnsi="標楷體" w:cs="新細明體"/>
                <w:color w:val="000000" w:themeColor="text1"/>
                <w:kern w:val="0"/>
                <w:sz w:val="28"/>
                <w:szCs w:val="28"/>
              </w:rPr>
              <w:t>不當銷售金融商品或服務</w:t>
            </w:r>
            <w:r w:rsidRPr="000F34C0">
              <w:rPr>
                <w:rFonts w:ascii="標楷體" w:eastAsia="標楷體" w:hAnsi="標楷體" w:cs="新細明體"/>
                <w:color w:val="000000" w:themeColor="text1"/>
                <w:kern w:val="0"/>
                <w:sz w:val="28"/>
                <w:szCs w:val="28"/>
              </w:rPr>
              <w:t>…</w:t>
            </w:r>
            <w:r w:rsidRPr="000F34C0">
              <w:rPr>
                <w:rFonts w:ascii="標楷體" w:eastAsia="標楷體" w:hAnsi="標楷體" w:cs="新細明體" w:hint="eastAsia"/>
                <w:color w:val="000000" w:themeColor="text1"/>
                <w:kern w:val="0"/>
                <w:sz w:val="28"/>
                <w:szCs w:val="28"/>
              </w:rPr>
              <w:t>，及</w:t>
            </w:r>
            <w:r w:rsidR="00BA3644">
              <w:rPr>
                <w:rFonts w:ascii="標楷體" w:eastAsia="標楷體" w:hAnsi="標楷體" w:cs="新細明體" w:hint="eastAsia"/>
                <w:color w:val="000000" w:themeColor="text1"/>
                <w:kern w:val="0"/>
                <w:sz w:val="28"/>
                <w:szCs w:val="28"/>
              </w:rPr>
              <w:t>「</w:t>
            </w:r>
            <w:r w:rsidRPr="000F34C0">
              <w:rPr>
                <w:rFonts w:ascii="標楷體" w:eastAsia="標楷體" w:hAnsi="標楷體"/>
                <w:color w:val="000000" w:themeColor="text1"/>
                <w:sz w:val="28"/>
                <w:szCs w:val="28"/>
              </w:rPr>
              <w:t>信託業薪酬制度之訂定及考核原則</w:t>
            </w:r>
            <w:r w:rsidR="00BA3644">
              <w:rPr>
                <w:rFonts w:ascii="標楷體" w:eastAsia="標楷體" w:hAnsi="標楷體" w:cs="新細明體" w:hint="eastAsia"/>
                <w:color w:val="000000" w:themeColor="text1"/>
                <w:kern w:val="0"/>
                <w:sz w:val="28"/>
                <w:szCs w:val="28"/>
              </w:rPr>
              <w:t>」</w:t>
            </w:r>
            <w:r w:rsidRPr="000F34C0">
              <w:rPr>
                <w:rFonts w:ascii="標楷體" w:eastAsia="標楷體" w:hAnsi="標楷體"/>
                <w:color w:val="000000" w:themeColor="text1"/>
                <w:sz w:val="28"/>
                <w:szCs w:val="28"/>
              </w:rPr>
              <w:t>第</w:t>
            </w:r>
            <w:r w:rsidR="00710749">
              <w:rPr>
                <w:rFonts w:ascii="標楷體" w:eastAsia="標楷體" w:hAnsi="標楷體" w:hint="eastAsia"/>
                <w:color w:val="000000" w:themeColor="text1"/>
                <w:sz w:val="28"/>
                <w:szCs w:val="28"/>
              </w:rPr>
              <w:t>四</w:t>
            </w:r>
            <w:r w:rsidRPr="000F34C0">
              <w:rPr>
                <w:rFonts w:ascii="標楷體" w:eastAsia="標楷體" w:hAnsi="標楷體"/>
                <w:color w:val="000000" w:themeColor="text1"/>
                <w:sz w:val="28"/>
                <w:szCs w:val="28"/>
              </w:rPr>
              <w:t>條有關</w:t>
            </w:r>
            <w:r w:rsidRPr="00B140DE">
              <w:rPr>
                <w:rFonts w:ascii="標楷體" w:eastAsia="標楷體" w:hAnsi="標楷體"/>
                <w:color w:val="000000" w:themeColor="text1"/>
                <w:sz w:val="28"/>
                <w:szCs w:val="28"/>
              </w:rPr>
              <w:t>浮動</w:t>
            </w:r>
            <w:proofErr w:type="gramStart"/>
            <w:r w:rsidRPr="00B140DE">
              <w:rPr>
                <w:rFonts w:ascii="標楷體" w:eastAsia="標楷體" w:hAnsi="標楷體"/>
                <w:color w:val="000000" w:themeColor="text1"/>
                <w:sz w:val="28"/>
                <w:szCs w:val="28"/>
              </w:rPr>
              <w:t>獎酬規定</w:t>
            </w:r>
            <w:proofErr w:type="gramEnd"/>
            <w:r w:rsidR="00B140DE">
              <w:rPr>
                <w:rFonts w:ascii="標楷體" w:eastAsia="標楷體" w:hAnsi="標楷體" w:hint="eastAsia"/>
                <w:color w:val="000000" w:themeColor="text1"/>
                <w:sz w:val="28"/>
                <w:szCs w:val="28"/>
              </w:rPr>
              <w:t>、</w:t>
            </w:r>
            <w:r w:rsidRPr="000F34C0">
              <w:rPr>
                <w:rFonts w:ascii="標楷體" w:eastAsia="標楷體" w:hAnsi="標楷體"/>
                <w:color w:val="000000" w:themeColor="text1"/>
                <w:sz w:val="28"/>
                <w:szCs w:val="28"/>
              </w:rPr>
              <w:t>並</w:t>
            </w:r>
            <w:r w:rsidRPr="000F34C0">
              <w:rPr>
                <w:rFonts w:ascii="標楷體" w:eastAsia="標楷體" w:hAnsi="標楷體" w:cs="新細明體" w:hint="eastAsia"/>
                <w:color w:val="000000" w:themeColor="text1"/>
                <w:kern w:val="0"/>
                <w:sz w:val="28"/>
                <w:szCs w:val="28"/>
              </w:rPr>
              <w:t>考量</w:t>
            </w:r>
            <w:r w:rsidR="00B140DE">
              <w:rPr>
                <w:rFonts w:ascii="標楷體" w:eastAsia="標楷體" w:hAnsi="標楷體" w:cs="新細明體" w:hint="eastAsia"/>
                <w:color w:val="000000" w:themeColor="text1"/>
                <w:kern w:val="0"/>
                <w:sz w:val="28"/>
                <w:szCs w:val="28"/>
              </w:rPr>
              <w:t>在</w:t>
            </w:r>
            <w:r w:rsidRPr="000F34C0">
              <w:rPr>
                <w:rFonts w:ascii="標楷體" w:eastAsia="標楷體" w:hAnsi="標楷體" w:cs="新細明體" w:hint="eastAsia"/>
                <w:color w:val="000000" w:themeColor="text1"/>
                <w:kern w:val="0"/>
                <w:sz w:val="28"/>
                <w:szCs w:val="28"/>
              </w:rPr>
              <w:t>公司治理原則</w:t>
            </w:r>
            <w:r w:rsidR="00B140DE">
              <w:rPr>
                <w:rFonts w:ascii="標楷體" w:eastAsia="標楷體" w:hAnsi="標楷體" w:cs="新細明體" w:hint="eastAsia"/>
                <w:color w:val="000000" w:themeColor="text1"/>
                <w:kern w:val="0"/>
                <w:sz w:val="28"/>
                <w:szCs w:val="28"/>
              </w:rPr>
              <w:t>之下</w:t>
            </w:r>
            <w:r w:rsidRPr="000F34C0">
              <w:rPr>
                <w:rFonts w:ascii="標楷體" w:eastAsia="標楷體" w:hAnsi="標楷體" w:cs="新細明體" w:hint="eastAsia"/>
                <w:color w:val="000000" w:themeColor="text1"/>
                <w:kern w:val="0"/>
                <w:sz w:val="28"/>
                <w:szCs w:val="28"/>
              </w:rPr>
              <w:t>，會員</w:t>
            </w:r>
            <w:r w:rsidRPr="000F34C0">
              <w:rPr>
                <w:rFonts w:ascii="標楷體" w:eastAsia="標楷體" w:hAnsi="標楷體" w:hint="eastAsia"/>
                <w:color w:val="000000" w:themeColor="text1"/>
                <w:sz w:val="28"/>
                <w:szCs w:val="28"/>
              </w:rPr>
              <w:t>公司應有依其業務屬性、差異性個別訂定較具</w:t>
            </w:r>
            <w:proofErr w:type="gramStart"/>
            <w:r w:rsidRPr="000F34C0">
              <w:rPr>
                <w:rFonts w:ascii="標楷體" w:eastAsia="標楷體" w:hAnsi="標楷體" w:hint="eastAsia"/>
                <w:color w:val="000000" w:themeColor="text1"/>
                <w:sz w:val="28"/>
                <w:szCs w:val="28"/>
              </w:rPr>
              <w:t>彈性之薪酬</w:t>
            </w:r>
            <w:proofErr w:type="gramEnd"/>
            <w:r w:rsidRPr="000F34C0">
              <w:rPr>
                <w:rFonts w:ascii="標楷體" w:eastAsia="標楷體" w:hAnsi="標楷體" w:hint="eastAsia"/>
                <w:color w:val="000000" w:themeColor="text1"/>
                <w:sz w:val="28"/>
                <w:szCs w:val="28"/>
              </w:rPr>
              <w:t>給付制度</w:t>
            </w:r>
            <w:r w:rsidRPr="000F34C0">
              <w:rPr>
                <w:rFonts w:ascii="標楷體" w:eastAsia="標楷體" w:hAnsi="標楷體"/>
                <w:color w:val="000000" w:themeColor="text1"/>
                <w:sz w:val="28"/>
                <w:szCs w:val="28"/>
              </w:rPr>
              <w:t>,</w:t>
            </w:r>
            <w:r w:rsidR="00B140DE">
              <w:rPr>
                <w:rFonts w:ascii="標楷體" w:eastAsia="標楷體" w:hAnsi="標楷體"/>
                <w:color w:val="000000" w:themeColor="text1"/>
                <w:sz w:val="28"/>
                <w:szCs w:val="28"/>
              </w:rPr>
              <w:t xml:space="preserve"> </w:t>
            </w:r>
            <w:proofErr w:type="gramStart"/>
            <w:r w:rsidR="00B140DE">
              <w:rPr>
                <w:rFonts w:ascii="標楷體" w:eastAsia="標楷體" w:hAnsi="標楷體"/>
                <w:color w:val="000000" w:themeColor="text1"/>
                <w:sz w:val="28"/>
                <w:szCs w:val="28"/>
              </w:rPr>
              <w:t>爰</w:t>
            </w:r>
            <w:proofErr w:type="gramEnd"/>
            <w:r w:rsidR="00B140DE">
              <w:rPr>
                <w:rFonts w:ascii="標楷體" w:eastAsia="標楷體" w:hAnsi="標楷體" w:hint="eastAsia"/>
                <w:color w:val="000000"/>
                <w:sz w:val="28"/>
                <w:szCs w:val="28"/>
              </w:rPr>
              <w:t>與業績有關之業務人員酬金，宜</w:t>
            </w:r>
            <w:r w:rsidR="00B140DE">
              <w:rPr>
                <w:rFonts w:ascii="標楷體" w:eastAsia="標楷體" w:hAnsi="標楷體"/>
                <w:color w:val="000000" w:themeColor="text1"/>
                <w:sz w:val="28"/>
                <w:szCs w:val="28"/>
              </w:rPr>
              <w:t>明確</w:t>
            </w:r>
            <w:r w:rsidR="00B140DE">
              <w:rPr>
                <w:rFonts w:ascii="標楷體" w:eastAsia="標楷體" w:hAnsi="標楷體" w:hint="eastAsia"/>
                <w:color w:val="000000" w:themeColor="text1"/>
                <w:sz w:val="28"/>
                <w:szCs w:val="28"/>
              </w:rPr>
              <w:t>化為</w:t>
            </w:r>
            <w:r w:rsidR="00BA2EF5">
              <w:rPr>
                <w:rFonts w:ascii="標楷體" w:eastAsia="標楷體" w:hAnsi="標楷體" w:hint="eastAsia"/>
                <w:color w:val="000000" w:themeColor="text1"/>
                <w:sz w:val="28"/>
                <w:szCs w:val="28"/>
              </w:rPr>
              <w:t>具</w:t>
            </w:r>
            <w:r w:rsidR="00B140DE" w:rsidRPr="00550C02">
              <w:rPr>
                <w:rFonts w:ascii="標楷體" w:eastAsia="標楷體" w:hAnsi="標楷體"/>
                <w:color w:val="000000" w:themeColor="text1"/>
                <w:sz w:val="28"/>
                <w:szCs w:val="28"/>
              </w:rPr>
              <w:t>浮動</w:t>
            </w:r>
            <w:r w:rsidR="00B140DE">
              <w:rPr>
                <w:rFonts w:ascii="標楷體" w:eastAsia="標楷體" w:hAnsi="標楷體" w:hint="eastAsia"/>
                <w:color w:val="000000" w:themeColor="text1"/>
                <w:sz w:val="28"/>
                <w:szCs w:val="28"/>
              </w:rPr>
              <w:t>性質</w:t>
            </w:r>
            <w:r w:rsidR="00BA2EF5">
              <w:rPr>
                <w:rFonts w:ascii="標楷體" w:eastAsia="標楷體" w:hAnsi="標楷體" w:hint="eastAsia"/>
                <w:color w:val="000000" w:themeColor="text1"/>
                <w:sz w:val="28"/>
                <w:szCs w:val="28"/>
              </w:rPr>
              <w:t>者</w:t>
            </w:r>
            <w:r w:rsidR="00BA2EF5">
              <w:rPr>
                <w:rFonts w:ascii="標楷體" w:eastAsia="標楷體" w:hAnsi="標楷體"/>
                <w:color w:val="000000" w:themeColor="text1"/>
                <w:sz w:val="28"/>
                <w:szCs w:val="28"/>
              </w:rPr>
              <w:t>（</w:t>
            </w:r>
            <w:r w:rsidR="00BA2EF5" w:rsidRPr="000F34C0">
              <w:rPr>
                <w:rFonts w:ascii="標楷體" w:eastAsia="標楷體" w:hAnsi="標楷體"/>
                <w:color w:val="000000" w:themeColor="text1"/>
                <w:sz w:val="28"/>
                <w:szCs w:val="28"/>
              </w:rPr>
              <w:t>不包含</w:t>
            </w:r>
            <w:r w:rsidR="00BA2EF5">
              <w:rPr>
                <w:rFonts w:ascii="標楷體" w:eastAsia="標楷體" w:hAnsi="標楷體"/>
                <w:color w:val="000000" w:themeColor="text1"/>
                <w:sz w:val="28"/>
                <w:szCs w:val="28"/>
              </w:rPr>
              <w:t>單純之</w:t>
            </w:r>
            <w:r w:rsidR="00BA2EF5" w:rsidRPr="000F34C0">
              <w:rPr>
                <w:rFonts w:ascii="標楷體" w:eastAsia="標楷體" w:hAnsi="標楷體"/>
                <w:color w:val="000000" w:themeColor="text1"/>
                <w:sz w:val="28"/>
                <w:szCs w:val="28"/>
              </w:rPr>
              <w:t>固定</w:t>
            </w:r>
            <w:r w:rsidR="00BA2EF5">
              <w:rPr>
                <w:rFonts w:ascii="標楷體" w:eastAsia="標楷體" w:hAnsi="標楷體"/>
                <w:color w:val="000000" w:themeColor="text1"/>
                <w:sz w:val="28"/>
                <w:szCs w:val="28"/>
              </w:rPr>
              <w:t>性</w:t>
            </w:r>
            <w:r w:rsidR="00BA2EF5" w:rsidRPr="000F34C0">
              <w:rPr>
                <w:rFonts w:ascii="標楷體" w:eastAsia="標楷體" w:hAnsi="標楷體"/>
                <w:color w:val="000000" w:themeColor="text1"/>
                <w:sz w:val="28"/>
                <w:szCs w:val="28"/>
              </w:rPr>
              <w:t>薪資</w:t>
            </w:r>
            <w:r w:rsidR="00BA2EF5">
              <w:rPr>
                <w:rFonts w:ascii="標楷體" w:eastAsia="標楷體" w:hAnsi="標楷體"/>
                <w:color w:val="000000" w:themeColor="text1"/>
                <w:sz w:val="28"/>
                <w:szCs w:val="28"/>
              </w:rPr>
              <w:t>）</w:t>
            </w:r>
            <w:r w:rsidR="00BA2EF5">
              <w:rPr>
                <w:rFonts w:ascii="標楷體" w:eastAsia="標楷體" w:hAnsi="標楷體" w:hint="eastAsia"/>
                <w:color w:val="000000" w:themeColor="text1"/>
                <w:sz w:val="28"/>
                <w:szCs w:val="28"/>
              </w:rPr>
              <w:t>；</w:t>
            </w:r>
            <w:proofErr w:type="gramStart"/>
            <w:r w:rsidR="00B140DE">
              <w:rPr>
                <w:rFonts w:ascii="標楷體" w:eastAsia="標楷體" w:hAnsi="標楷體" w:hint="eastAsia"/>
                <w:color w:val="000000" w:themeColor="text1"/>
                <w:sz w:val="28"/>
                <w:szCs w:val="28"/>
              </w:rPr>
              <w:t>另</w:t>
            </w:r>
            <w:proofErr w:type="gramEnd"/>
            <w:r w:rsidR="00B140DE">
              <w:rPr>
                <w:rFonts w:ascii="標楷體" w:eastAsia="標楷體" w:hAnsi="標楷體" w:hint="eastAsia"/>
                <w:color w:val="000000" w:themeColor="text1"/>
                <w:sz w:val="28"/>
                <w:szCs w:val="28"/>
              </w:rPr>
              <w:t>，</w:t>
            </w:r>
            <w:r w:rsidRPr="000F34C0">
              <w:rPr>
                <w:rFonts w:ascii="標楷體" w:eastAsia="標楷體" w:hAnsi="標楷體"/>
                <w:color w:val="000000" w:themeColor="text1"/>
                <w:sz w:val="28"/>
                <w:szCs w:val="28"/>
              </w:rPr>
              <w:t>考量酬金</w:t>
            </w:r>
            <w:r w:rsidRPr="000F34C0">
              <w:rPr>
                <w:rFonts w:ascii="標楷體" w:eastAsia="標楷體" w:hAnsi="標楷體" w:hint="eastAsia"/>
                <w:color w:val="000000" w:themeColor="text1"/>
                <w:sz w:val="28"/>
                <w:szCs w:val="28"/>
              </w:rPr>
              <w:t>若無明確</w:t>
            </w:r>
            <w:r w:rsidRPr="000F34C0">
              <w:rPr>
                <w:rFonts w:ascii="標楷體" w:eastAsia="標楷體" w:hAnsi="標楷體"/>
                <w:color w:val="000000" w:themeColor="text1"/>
                <w:sz w:val="28"/>
                <w:szCs w:val="28"/>
              </w:rPr>
              <w:t>定義</w:t>
            </w:r>
            <w:r w:rsidRPr="000F34C0">
              <w:rPr>
                <w:rFonts w:ascii="標楷體" w:eastAsia="標楷體" w:hAnsi="標楷體" w:hint="eastAsia"/>
                <w:color w:val="000000" w:themeColor="text1"/>
                <w:sz w:val="28"/>
                <w:szCs w:val="28"/>
              </w:rPr>
              <w:t>將</w:t>
            </w:r>
            <w:r w:rsidRPr="000F34C0">
              <w:rPr>
                <w:rFonts w:ascii="標楷體" w:eastAsia="標楷體" w:hAnsi="標楷體"/>
                <w:color w:val="000000" w:themeColor="text1"/>
                <w:sz w:val="28"/>
                <w:szCs w:val="28"/>
              </w:rPr>
              <w:t>可能衍生</w:t>
            </w:r>
            <w:r w:rsidRPr="000F34C0">
              <w:rPr>
                <w:rFonts w:ascii="標楷體" w:eastAsia="標楷體" w:hAnsi="標楷體" w:hint="eastAsia"/>
                <w:color w:val="000000" w:themeColor="text1"/>
                <w:sz w:val="28"/>
                <w:szCs w:val="28"/>
              </w:rPr>
              <w:t>諸項</w:t>
            </w:r>
            <w:r w:rsidR="001E3977">
              <w:rPr>
                <w:rFonts w:ascii="標楷體" w:eastAsia="標楷體" w:hAnsi="標楷體" w:hint="eastAsia"/>
                <w:color w:val="000000" w:themeColor="text1"/>
                <w:sz w:val="28"/>
                <w:szCs w:val="28"/>
              </w:rPr>
              <w:t>適</w:t>
            </w:r>
            <w:r w:rsidRPr="000F34C0">
              <w:rPr>
                <w:rFonts w:ascii="標楷體" w:eastAsia="標楷體" w:hAnsi="標楷體" w:hint="eastAsia"/>
                <w:color w:val="000000" w:themeColor="text1"/>
                <w:sz w:val="28"/>
                <w:szCs w:val="28"/>
              </w:rPr>
              <w:t>用法規之</w:t>
            </w:r>
            <w:r w:rsidRPr="000F34C0">
              <w:rPr>
                <w:rFonts w:ascii="標楷體" w:eastAsia="標楷體" w:hAnsi="標楷體"/>
                <w:color w:val="000000" w:themeColor="text1"/>
                <w:sz w:val="28"/>
                <w:szCs w:val="28"/>
              </w:rPr>
              <w:t>複雜度，</w:t>
            </w:r>
            <w:proofErr w:type="gramStart"/>
            <w:r w:rsidRPr="000F34C0">
              <w:rPr>
                <w:rFonts w:ascii="標楷體" w:eastAsia="標楷體" w:hAnsi="標楷體"/>
                <w:color w:val="000000" w:themeColor="text1"/>
                <w:sz w:val="28"/>
                <w:szCs w:val="28"/>
              </w:rPr>
              <w:t>爰</w:t>
            </w:r>
            <w:proofErr w:type="gramEnd"/>
            <w:r w:rsidR="004454CD">
              <w:rPr>
                <w:rFonts w:ascii="標楷體" w:eastAsia="標楷體" w:hAnsi="標楷體" w:hint="eastAsia"/>
                <w:color w:val="000000" w:themeColor="text1"/>
                <w:sz w:val="28"/>
                <w:szCs w:val="28"/>
              </w:rPr>
              <w:t>本原則定義酬金，</w:t>
            </w:r>
            <w:r w:rsidRPr="000F34C0">
              <w:rPr>
                <w:rFonts w:ascii="標楷體" w:eastAsia="標楷體" w:hAnsi="標楷體"/>
                <w:color w:val="000000" w:themeColor="text1"/>
                <w:sz w:val="28"/>
                <w:szCs w:val="28"/>
              </w:rPr>
              <w:t>以</w:t>
            </w:r>
            <w:r w:rsidR="00812BB5">
              <w:rPr>
                <w:rFonts w:ascii="標楷體" w:eastAsia="標楷體" w:hAnsi="標楷體" w:hint="eastAsia"/>
                <w:color w:val="000000" w:themeColor="text1"/>
                <w:sz w:val="28"/>
                <w:szCs w:val="28"/>
              </w:rPr>
              <w:t>會員公司參酌</w:t>
            </w:r>
            <w:r w:rsidR="00BA2EF5">
              <w:rPr>
                <w:rFonts w:ascii="標楷體" w:eastAsia="標楷體" w:hAnsi="標楷體" w:hint="eastAsia"/>
                <w:color w:val="000000"/>
                <w:sz w:val="28"/>
                <w:szCs w:val="28"/>
              </w:rPr>
              <w:t>業務人員</w:t>
            </w:r>
            <w:r w:rsidR="00812BB5" w:rsidRPr="00086E55">
              <w:rPr>
                <w:rFonts w:ascii="標楷體" w:eastAsia="標楷體" w:hAnsi="標楷體" w:hint="eastAsia"/>
                <w:color w:val="000000" w:themeColor="text1"/>
                <w:sz w:val="28"/>
                <w:szCs w:val="28"/>
                <w:lang w:val="zh-TW"/>
              </w:rPr>
              <w:t>提供金融商品或服務予客戶之業績</w:t>
            </w:r>
            <w:proofErr w:type="gramStart"/>
            <w:r w:rsidR="00812BB5" w:rsidRPr="00086E55">
              <w:rPr>
                <w:rFonts w:ascii="標楷體" w:eastAsia="標楷體" w:hAnsi="標楷體" w:hint="eastAsia"/>
                <w:color w:val="000000" w:themeColor="text1"/>
                <w:sz w:val="28"/>
                <w:szCs w:val="28"/>
                <w:lang w:val="zh-TW"/>
              </w:rPr>
              <w:t>表現及衡平</w:t>
            </w:r>
            <w:proofErr w:type="gramEnd"/>
            <w:r w:rsidR="00812BB5" w:rsidRPr="00086E55">
              <w:rPr>
                <w:rFonts w:ascii="標楷體" w:eastAsia="標楷體" w:hAnsi="標楷體" w:hint="eastAsia"/>
                <w:color w:val="000000" w:themeColor="text1"/>
                <w:sz w:val="28"/>
                <w:szCs w:val="28"/>
                <w:lang w:val="zh-TW"/>
              </w:rPr>
              <w:t>考量客戶權益與各項風險</w:t>
            </w:r>
            <w:r w:rsidR="001E3977">
              <w:rPr>
                <w:rFonts w:ascii="標楷體" w:eastAsia="標楷體" w:hAnsi="標楷體"/>
                <w:color w:val="000000" w:themeColor="text1"/>
                <w:sz w:val="28"/>
                <w:szCs w:val="28"/>
              </w:rPr>
              <w:t>而給予</w:t>
            </w:r>
            <w:r w:rsidR="00BA2EF5">
              <w:rPr>
                <w:rFonts w:ascii="標楷體" w:eastAsia="標楷體" w:hAnsi="標楷體" w:hint="eastAsia"/>
                <w:color w:val="000000"/>
                <w:sz w:val="28"/>
                <w:szCs w:val="28"/>
              </w:rPr>
              <w:t>業務人員</w:t>
            </w:r>
            <w:r w:rsidR="001E3977">
              <w:rPr>
                <w:rFonts w:ascii="標楷體" w:eastAsia="標楷體" w:hAnsi="標楷體"/>
                <w:color w:val="000000" w:themeColor="text1"/>
                <w:sz w:val="28"/>
                <w:szCs w:val="28"/>
              </w:rPr>
              <w:t>個人</w:t>
            </w:r>
            <w:r w:rsidRPr="000F34C0">
              <w:rPr>
                <w:rFonts w:ascii="標楷體" w:eastAsia="標楷體" w:hAnsi="標楷體" w:cs="新細明體" w:hint="eastAsia"/>
                <w:color w:val="000000" w:themeColor="text1"/>
                <w:kern w:val="0"/>
                <w:sz w:val="28"/>
                <w:szCs w:val="28"/>
              </w:rPr>
              <w:t>之</w:t>
            </w:r>
            <w:r w:rsidR="00CF1B16" w:rsidRPr="00086E55">
              <w:rPr>
                <w:rFonts w:ascii="標楷體" w:eastAsia="標楷體" w:hAnsi="標楷體" w:hint="eastAsia"/>
                <w:color w:val="000000" w:themeColor="text1"/>
                <w:sz w:val="28"/>
                <w:szCs w:val="28"/>
                <w:lang w:val="zh-TW"/>
              </w:rPr>
              <w:t>獎勵金、佣金及其他具有實質獎勵性質之報酬</w:t>
            </w:r>
            <w:r w:rsidR="00BA2EF5">
              <w:rPr>
                <w:rFonts w:ascii="標楷體" w:eastAsia="標楷體" w:hAnsi="標楷體" w:hint="eastAsia"/>
                <w:color w:val="000000" w:themeColor="text1"/>
                <w:sz w:val="28"/>
                <w:szCs w:val="28"/>
                <w:lang w:val="zh-TW"/>
              </w:rPr>
              <w:t>，</w:t>
            </w:r>
            <w:r w:rsidRPr="000F34C0">
              <w:rPr>
                <w:rFonts w:ascii="標楷體" w:eastAsia="標楷體" w:hAnsi="標楷體" w:cs="新細明體" w:hint="eastAsia"/>
                <w:color w:val="000000" w:themeColor="text1"/>
                <w:kern w:val="0"/>
                <w:sz w:val="28"/>
                <w:szCs w:val="28"/>
              </w:rPr>
              <w:t>為</w:t>
            </w:r>
            <w:r w:rsidRPr="000F34C0">
              <w:rPr>
                <w:rFonts w:ascii="標楷體" w:eastAsia="標楷體" w:hAnsi="標楷體"/>
                <w:color w:val="000000" w:themeColor="text1"/>
                <w:sz w:val="28"/>
                <w:szCs w:val="28"/>
              </w:rPr>
              <w:t>本原則</w:t>
            </w:r>
            <w:r w:rsidR="00FB5A39">
              <w:rPr>
                <w:rFonts w:ascii="標楷體" w:eastAsia="標楷體" w:hAnsi="標楷體" w:hint="eastAsia"/>
                <w:color w:val="000000" w:themeColor="text1"/>
                <w:sz w:val="28"/>
                <w:szCs w:val="28"/>
              </w:rPr>
              <w:t>之</w:t>
            </w:r>
            <w:r w:rsidRPr="000F34C0">
              <w:rPr>
                <w:rFonts w:ascii="標楷體" w:eastAsia="標楷體" w:hAnsi="標楷體"/>
                <w:color w:val="000000" w:themeColor="text1"/>
                <w:sz w:val="28"/>
                <w:szCs w:val="28"/>
              </w:rPr>
              <w:t>酬金</w:t>
            </w:r>
            <w:r w:rsidRPr="000F34C0">
              <w:rPr>
                <w:rFonts w:ascii="標楷體" w:eastAsia="標楷體" w:hAnsi="標楷體" w:cs="新細明體" w:hint="eastAsia"/>
                <w:color w:val="000000" w:themeColor="text1"/>
                <w:kern w:val="0"/>
                <w:sz w:val="28"/>
                <w:szCs w:val="28"/>
              </w:rPr>
              <w:t>範疇。</w:t>
            </w:r>
          </w:p>
          <w:p w:rsidR="00C44C07" w:rsidRPr="00C44C07" w:rsidRDefault="00E11CBB" w:rsidP="00A439E3">
            <w:pPr>
              <w:numPr>
                <w:ilvl w:val="0"/>
                <w:numId w:val="9"/>
              </w:numPr>
              <w:adjustRightInd w:val="0"/>
              <w:snapToGrid w:val="0"/>
              <w:spacing w:afterLines="100" w:line="320" w:lineRule="exact"/>
              <w:ind w:left="357" w:hanging="35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第二項但書排除項目，</w:t>
            </w:r>
            <w:r w:rsidR="004A2519">
              <w:rPr>
                <w:rFonts w:ascii="標楷體" w:eastAsia="標楷體" w:hAnsi="標楷體" w:hint="eastAsia"/>
                <w:color w:val="000000" w:themeColor="text1"/>
                <w:sz w:val="28"/>
                <w:szCs w:val="28"/>
              </w:rPr>
              <w:t>係</w:t>
            </w:r>
            <w:r>
              <w:rPr>
                <w:rFonts w:ascii="標楷體" w:eastAsia="標楷體" w:hAnsi="標楷體" w:hint="eastAsia"/>
                <w:color w:val="000000" w:themeColor="text1"/>
                <w:sz w:val="28"/>
                <w:szCs w:val="28"/>
              </w:rPr>
              <w:t>與</w:t>
            </w:r>
            <w:proofErr w:type="gramStart"/>
            <w:r w:rsidR="00812BB5">
              <w:rPr>
                <w:rFonts w:ascii="標楷體" w:eastAsia="標楷體" w:hAnsi="標楷體" w:hint="eastAsia"/>
                <w:color w:val="000000" w:themeColor="text1"/>
                <w:sz w:val="28"/>
                <w:szCs w:val="28"/>
              </w:rPr>
              <w:t>前開</w:t>
            </w:r>
            <w:r w:rsidR="001D6104">
              <w:rPr>
                <w:rFonts w:ascii="標楷體" w:eastAsia="標楷體" w:hAnsi="標楷體" w:hint="eastAsia"/>
                <w:color w:val="000000" w:themeColor="text1"/>
                <w:sz w:val="28"/>
                <w:szCs w:val="28"/>
              </w:rPr>
              <w:t>依</w:t>
            </w:r>
            <w:r w:rsidRPr="001268E3">
              <w:rPr>
                <w:rFonts w:ascii="標楷體" w:eastAsia="標楷體" w:hAnsi="標楷體" w:hint="eastAsia"/>
                <w:color w:val="000000"/>
                <w:sz w:val="28"/>
                <w:szCs w:val="28"/>
              </w:rPr>
              <w:t>業務</w:t>
            </w:r>
            <w:proofErr w:type="gramEnd"/>
            <w:r w:rsidRPr="001268E3">
              <w:rPr>
                <w:rFonts w:ascii="標楷體" w:eastAsia="標楷體" w:hAnsi="標楷體" w:hint="eastAsia"/>
                <w:color w:val="000000"/>
                <w:sz w:val="28"/>
                <w:szCs w:val="28"/>
              </w:rPr>
              <w:t>人員</w:t>
            </w:r>
            <w:r w:rsidRPr="001268E3">
              <w:rPr>
                <w:rFonts w:ascii="標楷體" w:eastAsia="標楷體" w:hAnsi="標楷體" w:hint="eastAsia"/>
                <w:color w:val="000000"/>
                <w:sz w:val="28"/>
                <w:szCs w:val="28"/>
                <w:lang w:val="zh-TW"/>
              </w:rPr>
              <w:t>個人</w:t>
            </w:r>
            <w:r w:rsidR="001D6104">
              <w:rPr>
                <w:rFonts w:ascii="標楷體" w:eastAsia="標楷體" w:hAnsi="標楷體" w:hint="eastAsia"/>
                <w:color w:val="000000"/>
                <w:sz w:val="28"/>
                <w:szCs w:val="28"/>
                <w:lang w:val="zh-TW"/>
              </w:rPr>
              <w:t>業績</w:t>
            </w:r>
            <w:r>
              <w:rPr>
                <w:rFonts w:ascii="標楷體" w:eastAsia="標楷體" w:hAnsi="標楷體" w:hint="eastAsia"/>
                <w:color w:val="000000"/>
                <w:sz w:val="28"/>
                <w:szCs w:val="28"/>
                <w:lang w:val="zh-TW"/>
              </w:rPr>
              <w:t>表現</w:t>
            </w:r>
            <w:r w:rsidR="001D6104">
              <w:rPr>
                <w:rFonts w:ascii="標楷體" w:eastAsia="標楷體" w:hAnsi="標楷體" w:hint="eastAsia"/>
                <w:color w:val="000000"/>
                <w:sz w:val="28"/>
                <w:szCs w:val="28"/>
                <w:lang w:val="zh-TW"/>
              </w:rPr>
              <w:t>而給</w:t>
            </w:r>
            <w:r w:rsidR="00812BB5">
              <w:rPr>
                <w:rFonts w:ascii="標楷體" w:eastAsia="標楷體" w:hAnsi="標楷體" w:hint="eastAsia"/>
                <w:color w:val="000000"/>
                <w:sz w:val="28"/>
                <w:szCs w:val="28"/>
                <w:lang w:val="zh-TW"/>
              </w:rPr>
              <w:t>予</w:t>
            </w:r>
            <w:r w:rsidR="00812BB5" w:rsidRPr="001268E3">
              <w:rPr>
                <w:rFonts w:ascii="標楷體" w:eastAsia="標楷體" w:hAnsi="標楷體" w:hint="eastAsia"/>
                <w:color w:val="000000"/>
                <w:sz w:val="28"/>
                <w:szCs w:val="28"/>
              </w:rPr>
              <w:t>業務人員</w:t>
            </w:r>
            <w:r w:rsidR="00812BB5">
              <w:rPr>
                <w:rFonts w:ascii="標楷體" w:eastAsia="標楷體" w:hAnsi="標楷體" w:hint="eastAsia"/>
                <w:color w:val="000000"/>
                <w:sz w:val="28"/>
                <w:szCs w:val="28"/>
                <w:lang w:val="zh-TW"/>
              </w:rPr>
              <w:t>個人</w:t>
            </w:r>
            <w:r>
              <w:rPr>
                <w:rFonts w:ascii="標楷體" w:eastAsia="標楷體" w:hAnsi="標楷體" w:hint="eastAsia"/>
                <w:color w:val="000000"/>
                <w:sz w:val="28"/>
                <w:szCs w:val="28"/>
                <w:lang w:val="zh-TW"/>
              </w:rPr>
              <w:t>之</w:t>
            </w:r>
            <w:r w:rsidRPr="00E52483">
              <w:rPr>
                <w:rFonts w:ascii="標楷體" w:eastAsia="標楷體" w:hAnsi="標楷體" w:hint="eastAsia"/>
                <w:color w:val="000000"/>
                <w:sz w:val="28"/>
                <w:szCs w:val="28"/>
                <w:lang w:val="zh-TW"/>
              </w:rPr>
              <w:t>獎勵金</w:t>
            </w:r>
            <w:r w:rsidR="001D6104">
              <w:rPr>
                <w:rFonts w:ascii="標楷體" w:eastAsia="標楷體" w:hAnsi="標楷體" w:hint="eastAsia"/>
                <w:color w:val="000000"/>
                <w:sz w:val="28"/>
                <w:szCs w:val="28"/>
                <w:lang w:val="zh-TW"/>
              </w:rPr>
              <w:t>等</w:t>
            </w:r>
            <w:proofErr w:type="gramStart"/>
            <w:r>
              <w:rPr>
                <w:rFonts w:ascii="標楷體" w:eastAsia="標楷體" w:hAnsi="標楷體" w:hint="eastAsia"/>
                <w:color w:val="000000"/>
                <w:sz w:val="28"/>
                <w:szCs w:val="28"/>
                <w:lang w:val="zh-TW"/>
              </w:rPr>
              <w:t>無涉</w:t>
            </w:r>
            <w:r w:rsidR="004A2519">
              <w:rPr>
                <w:rFonts w:ascii="標楷體" w:eastAsia="標楷體" w:hAnsi="標楷體" w:hint="eastAsia"/>
                <w:color w:val="000000"/>
                <w:sz w:val="28"/>
                <w:szCs w:val="28"/>
                <w:lang w:val="zh-TW"/>
              </w:rPr>
              <w:t>者</w:t>
            </w:r>
            <w:proofErr w:type="gramEnd"/>
            <w:r>
              <w:rPr>
                <w:rFonts w:ascii="標楷體" w:eastAsia="標楷體" w:hAnsi="標楷體" w:hint="eastAsia"/>
                <w:color w:val="000000"/>
                <w:sz w:val="28"/>
                <w:szCs w:val="28"/>
                <w:lang w:val="zh-TW"/>
              </w:rPr>
              <w:t>。考量</w:t>
            </w:r>
            <w:r w:rsidR="001E1B7B">
              <w:rPr>
                <w:rFonts w:ascii="標楷體" w:eastAsia="標楷體" w:hAnsi="標楷體" w:hint="eastAsia"/>
                <w:sz w:val="28"/>
                <w:szCs w:val="28"/>
              </w:rPr>
              <w:t>年節獎金</w:t>
            </w:r>
            <w:r>
              <w:rPr>
                <w:rFonts w:ascii="標楷體" w:eastAsia="標楷體" w:hAnsi="標楷體" w:hint="eastAsia"/>
                <w:sz w:val="28"/>
                <w:szCs w:val="28"/>
              </w:rPr>
              <w:t>發放屬各行各業之慣例；一般公司行號為鼓勵員工的團隊合作與奉獻，亦多會就對公司整體營運有貢獻之員工予以一定之鼓勵，</w:t>
            </w:r>
            <w:proofErr w:type="gramStart"/>
            <w:r>
              <w:rPr>
                <w:rFonts w:ascii="標楷體" w:eastAsia="標楷體" w:hAnsi="標楷體" w:hint="eastAsia"/>
                <w:sz w:val="28"/>
                <w:szCs w:val="28"/>
              </w:rPr>
              <w:t>爰</w:t>
            </w:r>
            <w:proofErr w:type="gramEnd"/>
            <w:r w:rsidRPr="00E52483">
              <w:rPr>
                <w:rFonts w:ascii="標楷體" w:eastAsia="標楷體" w:hAnsi="標楷體" w:hint="eastAsia"/>
                <w:color w:val="000000"/>
                <w:sz w:val="28"/>
                <w:szCs w:val="28"/>
                <w:lang w:val="zh-TW"/>
              </w:rPr>
              <w:t>年</w:t>
            </w:r>
            <w:r>
              <w:rPr>
                <w:rFonts w:ascii="標楷體" w:eastAsia="標楷體" w:hAnsi="標楷體" w:hint="eastAsia"/>
                <w:color w:val="000000"/>
                <w:sz w:val="28"/>
                <w:szCs w:val="28"/>
                <w:lang w:val="zh-TW"/>
              </w:rPr>
              <w:t>節獎金及</w:t>
            </w:r>
            <w:r w:rsidR="00CE624A" w:rsidRPr="00086E55">
              <w:rPr>
                <w:rFonts w:ascii="標楷體" w:eastAsia="標楷體" w:hAnsi="標楷體" w:hint="eastAsia"/>
                <w:color w:val="000000" w:themeColor="text1"/>
                <w:sz w:val="28"/>
                <w:szCs w:val="28"/>
                <w:lang w:val="zh-TW"/>
              </w:rPr>
              <w:t>其他與業務人員個人業績表現無關之獎金或紅利</w:t>
            </w:r>
            <w:r>
              <w:rPr>
                <w:rFonts w:ascii="標楷體" w:eastAsia="標楷體" w:hAnsi="標楷體" w:hint="eastAsia"/>
                <w:color w:val="000000"/>
                <w:sz w:val="28"/>
                <w:szCs w:val="28"/>
                <w:lang w:val="zh-TW"/>
              </w:rPr>
              <w:t>應予除外規範</w:t>
            </w:r>
            <w:r w:rsidR="00AA1ECE" w:rsidRPr="00A023CE">
              <w:rPr>
                <w:rFonts w:ascii="標楷體" w:eastAsia="標楷體" w:hAnsi="標楷體" w:hint="eastAsia"/>
                <w:color w:val="000000" w:themeColor="text1"/>
                <w:sz w:val="28"/>
                <w:szCs w:val="28"/>
              </w:rPr>
              <w:t>。</w:t>
            </w:r>
          </w:p>
        </w:tc>
      </w:tr>
      <w:tr w:rsidR="00AA1ECE" w:rsidTr="004C714F">
        <w:tc>
          <w:tcPr>
            <w:tcW w:w="5103" w:type="dxa"/>
          </w:tcPr>
          <w:p w:rsidR="00AA1ECE" w:rsidRPr="00742315" w:rsidRDefault="00AA1ECE" w:rsidP="00A439E3">
            <w:pPr>
              <w:adjustRightInd w:val="0"/>
              <w:snapToGrid w:val="0"/>
              <w:spacing w:afterLines="50" w:line="320" w:lineRule="exact"/>
              <w:jc w:val="both"/>
              <w:rPr>
                <w:rFonts w:ascii="標楷體" w:eastAsia="標楷體" w:hAnsi="標楷體"/>
                <w:color w:val="000000"/>
                <w:sz w:val="28"/>
                <w:szCs w:val="28"/>
              </w:rPr>
            </w:pPr>
            <w:r w:rsidRPr="00742315">
              <w:rPr>
                <w:rFonts w:ascii="標楷體" w:eastAsia="標楷體" w:hAnsi="標楷體" w:hint="eastAsia"/>
                <w:color w:val="000000"/>
                <w:sz w:val="28"/>
                <w:szCs w:val="28"/>
              </w:rPr>
              <w:lastRenderedPageBreak/>
              <w:t>第</w:t>
            </w:r>
            <w:r w:rsidR="00742315" w:rsidRPr="00742315">
              <w:rPr>
                <w:rFonts w:ascii="標楷體" w:eastAsia="標楷體" w:hAnsi="標楷體" w:hint="eastAsia"/>
                <w:color w:val="000000"/>
                <w:sz w:val="28"/>
                <w:szCs w:val="28"/>
              </w:rPr>
              <w:t>五</w:t>
            </w:r>
            <w:r w:rsidRPr="00742315">
              <w:rPr>
                <w:rFonts w:ascii="標楷體" w:eastAsia="標楷體" w:hAnsi="標楷體" w:hint="eastAsia"/>
                <w:color w:val="000000"/>
                <w:sz w:val="28"/>
                <w:szCs w:val="28"/>
              </w:rPr>
              <w:t>條</w:t>
            </w:r>
          </w:p>
          <w:p w:rsidR="00742315" w:rsidRPr="0052681E" w:rsidRDefault="00742315" w:rsidP="00A439E3">
            <w:pPr>
              <w:adjustRightInd w:val="0"/>
              <w:snapToGrid w:val="0"/>
              <w:spacing w:afterLines="50" w:line="320" w:lineRule="exact"/>
              <w:ind w:left="2"/>
              <w:jc w:val="both"/>
              <w:rPr>
                <w:rFonts w:ascii="標楷體" w:eastAsia="標楷體" w:hAnsi="標楷體"/>
                <w:color w:val="000000" w:themeColor="text1"/>
                <w:sz w:val="28"/>
                <w:szCs w:val="28"/>
              </w:rPr>
            </w:pPr>
            <w:r w:rsidRPr="0052681E">
              <w:rPr>
                <w:rFonts w:ascii="標楷體" w:eastAsia="標楷體" w:hAnsi="標楷體" w:hint="eastAsia"/>
                <w:color w:val="000000" w:themeColor="text1"/>
                <w:sz w:val="28"/>
                <w:szCs w:val="28"/>
              </w:rPr>
              <w:t>會員公司</w:t>
            </w:r>
            <w:r w:rsidR="00392DB0" w:rsidRPr="0052681E">
              <w:rPr>
                <w:rFonts w:ascii="標楷體" w:eastAsia="標楷體" w:hAnsi="標楷體" w:hint="eastAsia"/>
                <w:color w:val="000000" w:themeColor="text1"/>
                <w:sz w:val="28"/>
                <w:szCs w:val="28"/>
              </w:rPr>
              <w:t>訂定</w:t>
            </w:r>
            <w:r w:rsidRPr="0052681E">
              <w:rPr>
                <w:rFonts w:ascii="標楷體" w:eastAsia="標楷體" w:hAnsi="標楷體" w:hint="eastAsia"/>
                <w:color w:val="000000" w:themeColor="text1"/>
                <w:sz w:val="28"/>
                <w:szCs w:val="28"/>
              </w:rPr>
              <w:t>提供非投資型金融商品或服務之</w:t>
            </w:r>
            <w:r w:rsidR="00392DB0" w:rsidRPr="0052681E">
              <w:rPr>
                <w:rFonts w:ascii="標楷體" w:eastAsia="標楷體" w:hAnsi="標楷體" w:hint="eastAsia"/>
                <w:color w:val="000000" w:themeColor="text1"/>
                <w:sz w:val="28"/>
                <w:szCs w:val="28"/>
              </w:rPr>
              <w:t>業務人員</w:t>
            </w:r>
            <w:r w:rsidRPr="0052681E">
              <w:rPr>
                <w:rFonts w:ascii="標楷體" w:eastAsia="標楷體" w:hAnsi="標楷體" w:hint="eastAsia"/>
                <w:color w:val="000000" w:themeColor="text1"/>
                <w:sz w:val="28"/>
                <w:szCs w:val="28"/>
              </w:rPr>
              <w:t>酬金制度，應符合合理性原則。</w:t>
            </w:r>
          </w:p>
          <w:p w:rsidR="00742315" w:rsidRPr="0052681E" w:rsidRDefault="00742315" w:rsidP="00A439E3">
            <w:pPr>
              <w:adjustRightInd w:val="0"/>
              <w:snapToGrid w:val="0"/>
              <w:spacing w:afterLines="50" w:line="320" w:lineRule="exact"/>
              <w:jc w:val="both"/>
              <w:rPr>
                <w:rFonts w:ascii="標楷體" w:eastAsia="標楷體" w:hAnsi="標楷體"/>
                <w:color w:val="000000" w:themeColor="text1"/>
                <w:sz w:val="28"/>
                <w:szCs w:val="28"/>
              </w:rPr>
            </w:pPr>
            <w:r w:rsidRPr="0052681E">
              <w:rPr>
                <w:rFonts w:ascii="標楷體" w:eastAsia="標楷體" w:hAnsi="標楷體" w:hint="eastAsia"/>
                <w:color w:val="000000" w:themeColor="text1"/>
                <w:sz w:val="28"/>
                <w:szCs w:val="28"/>
              </w:rPr>
              <w:lastRenderedPageBreak/>
              <w:t>會員公司訂定提供投資型金融商品或服務之業務人員酬金制度，除應符合前項原則外，並應遵守下列原則：</w:t>
            </w:r>
          </w:p>
          <w:p w:rsidR="00742315" w:rsidRPr="0052681E" w:rsidRDefault="00742315" w:rsidP="00A439E3">
            <w:pPr>
              <w:pStyle w:val="a3"/>
              <w:numPr>
                <w:ilvl w:val="0"/>
                <w:numId w:val="8"/>
              </w:numPr>
              <w:adjustRightInd w:val="0"/>
              <w:snapToGrid w:val="0"/>
              <w:spacing w:afterLines="50" w:line="320" w:lineRule="exact"/>
              <w:ind w:leftChars="0"/>
              <w:jc w:val="both"/>
              <w:rPr>
                <w:rFonts w:ascii="標楷體" w:eastAsia="標楷體" w:hAnsi="標楷體"/>
                <w:color w:val="000000" w:themeColor="text1"/>
                <w:sz w:val="28"/>
                <w:szCs w:val="28"/>
              </w:rPr>
            </w:pPr>
            <w:r w:rsidRPr="0052681E">
              <w:rPr>
                <w:rFonts w:ascii="標楷體" w:eastAsia="標楷體" w:hAnsi="標楷體" w:hint="eastAsia"/>
                <w:color w:val="000000" w:themeColor="text1"/>
                <w:sz w:val="28"/>
                <w:szCs w:val="28"/>
              </w:rPr>
              <w:t>應併予綜合考量會員公司未來風險調整後之績效，並配合</w:t>
            </w:r>
            <w:r w:rsidR="00392DB0" w:rsidRPr="0052681E">
              <w:rPr>
                <w:rFonts w:ascii="標楷體" w:eastAsia="標楷體" w:hAnsi="標楷體" w:hint="eastAsia"/>
                <w:color w:val="000000" w:themeColor="text1"/>
                <w:sz w:val="28"/>
                <w:szCs w:val="28"/>
              </w:rPr>
              <w:t>會員</w:t>
            </w:r>
            <w:r w:rsidRPr="0052681E">
              <w:rPr>
                <w:rFonts w:ascii="標楷體" w:eastAsia="標楷體" w:hAnsi="標楷體" w:hint="eastAsia"/>
                <w:color w:val="000000" w:themeColor="text1"/>
                <w:sz w:val="28"/>
                <w:szCs w:val="28"/>
              </w:rPr>
              <w:t>公司長期整體獲利、股東利益等因素。</w:t>
            </w:r>
          </w:p>
          <w:p w:rsidR="00742315" w:rsidRPr="001268E3" w:rsidRDefault="00742315" w:rsidP="00A439E3">
            <w:pPr>
              <w:pStyle w:val="a3"/>
              <w:numPr>
                <w:ilvl w:val="0"/>
                <w:numId w:val="8"/>
              </w:numPr>
              <w:adjustRightInd w:val="0"/>
              <w:snapToGrid w:val="0"/>
              <w:spacing w:afterLines="50" w:line="320" w:lineRule="exact"/>
              <w:ind w:leftChars="0"/>
              <w:jc w:val="both"/>
              <w:rPr>
                <w:rFonts w:ascii="標楷體" w:eastAsia="標楷體" w:hAnsi="標楷體"/>
                <w:sz w:val="28"/>
                <w:szCs w:val="28"/>
                <w:shd w:val="pct15" w:color="auto" w:fill="FFFFFF"/>
              </w:rPr>
            </w:pPr>
            <w:r w:rsidRPr="001268E3">
              <w:rPr>
                <w:rFonts w:ascii="標楷體" w:eastAsia="標楷體" w:hAnsi="標楷體" w:hint="eastAsia"/>
                <w:sz w:val="28"/>
                <w:szCs w:val="28"/>
              </w:rPr>
              <w:t>應確保不會有引導業務人員為追求酬金而從事逾越會員公司風險胃納之行為，且不會影響業務人員提供金融商品或服務予客戶之客觀性與公正性。</w:t>
            </w:r>
          </w:p>
          <w:p w:rsidR="00742315" w:rsidRPr="001268E3" w:rsidRDefault="00742315" w:rsidP="00A439E3">
            <w:pPr>
              <w:pStyle w:val="a3"/>
              <w:numPr>
                <w:ilvl w:val="0"/>
                <w:numId w:val="8"/>
              </w:numPr>
              <w:adjustRightInd w:val="0"/>
              <w:snapToGrid w:val="0"/>
              <w:spacing w:afterLines="50" w:line="320" w:lineRule="exact"/>
              <w:ind w:leftChars="0"/>
              <w:jc w:val="both"/>
              <w:rPr>
                <w:rFonts w:ascii="標楷體" w:eastAsia="標楷體" w:hAnsi="標楷體"/>
                <w:sz w:val="28"/>
                <w:szCs w:val="28"/>
                <w:shd w:val="pct15" w:color="auto" w:fill="FFFFFF"/>
              </w:rPr>
            </w:pPr>
            <w:r w:rsidRPr="001268E3">
              <w:rPr>
                <w:rFonts w:ascii="標楷體" w:eastAsia="標楷體" w:hAnsi="標楷體" w:hint="eastAsia"/>
                <w:sz w:val="28"/>
                <w:szCs w:val="28"/>
              </w:rPr>
              <w:t>對各種金融商品或服務訂定之酬金，應具合理性，不得差異過大，避免造成誘引業務人員有專對特定之金融商品或服務進行銷售或提供服務之行為。</w:t>
            </w:r>
          </w:p>
          <w:p w:rsidR="00742315" w:rsidRPr="001268E3" w:rsidRDefault="00742315" w:rsidP="00A439E3">
            <w:pPr>
              <w:pStyle w:val="a3"/>
              <w:numPr>
                <w:ilvl w:val="0"/>
                <w:numId w:val="8"/>
              </w:numPr>
              <w:adjustRightInd w:val="0"/>
              <w:snapToGrid w:val="0"/>
              <w:spacing w:afterLines="50" w:line="320" w:lineRule="exact"/>
              <w:ind w:leftChars="0"/>
              <w:jc w:val="both"/>
              <w:rPr>
                <w:rFonts w:ascii="標楷體" w:eastAsia="標楷體" w:hAnsi="標楷體"/>
                <w:sz w:val="28"/>
                <w:szCs w:val="28"/>
                <w:shd w:val="pct15" w:color="auto" w:fill="FFFFFF"/>
              </w:rPr>
            </w:pPr>
            <w:r w:rsidRPr="001268E3">
              <w:rPr>
                <w:rFonts w:ascii="標楷體" w:eastAsia="標楷體" w:hAnsi="標楷體" w:hint="eastAsia"/>
                <w:sz w:val="28"/>
                <w:szCs w:val="28"/>
              </w:rPr>
              <w:t>應注意業務人員是否有勸誘客戶於顯不相當之短期間內，以多次提前終止再投資或頻繁交易之方式不當賺取酬金之情事。</w:t>
            </w:r>
          </w:p>
          <w:p w:rsidR="00742315" w:rsidRPr="001268E3" w:rsidRDefault="00742315" w:rsidP="00A439E3">
            <w:pPr>
              <w:pStyle w:val="a3"/>
              <w:numPr>
                <w:ilvl w:val="0"/>
                <w:numId w:val="8"/>
              </w:numPr>
              <w:adjustRightInd w:val="0"/>
              <w:snapToGrid w:val="0"/>
              <w:spacing w:afterLines="50" w:line="320" w:lineRule="exact"/>
              <w:ind w:leftChars="0"/>
              <w:jc w:val="both"/>
              <w:rPr>
                <w:rFonts w:ascii="標楷體" w:eastAsia="標楷體" w:hAnsi="標楷體"/>
                <w:sz w:val="28"/>
                <w:szCs w:val="28"/>
                <w:shd w:val="pct15" w:color="auto" w:fill="FFFFFF"/>
              </w:rPr>
            </w:pPr>
            <w:r w:rsidRPr="001268E3">
              <w:rPr>
                <w:rFonts w:ascii="標楷體" w:eastAsia="標楷體" w:hAnsi="標楷體" w:hint="eastAsia"/>
                <w:sz w:val="28"/>
                <w:szCs w:val="28"/>
              </w:rPr>
              <w:t>考量金融商品或服務之業績時，應避免直接與特定金融商品銷售或服務之業績連結，並應綜合考量非財務指標。</w:t>
            </w:r>
          </w:p>
          <w:p w:rsidR="00742315" w:rsidRPr="001268E3" w:rsidRDefault="00742315" w:rsidP="00A439E3">
            <w:pPr>
              <w:adjustRightInd w:val="0"/>
              <w:snapToGrid w:val="0"/>
              <w:spacing w:afterLines="50" w:line="320" w:lineRule="exact"/>
              <w:jc w:val="both"/>
              <w:rPr>
                <w:rFonts w:ascii="標楷體" w:eastAsia="標楷體" w:hAnsi="標楷體"/>
                <w:color w:val="000000" w:themeColor="text1"/>
                <w:sz w:val="28"/>
                <w:szCs w:val="28"/>
                <w:shd w:val="pct15" w:color="auto" w:fill="FFFFFF"/>
              </w:rPr>
            </w:pPr>
            <w:r w:rsidRPr="001268E3">
              <w:rPr>
                <w:rFonts w:ascii="標楷體" w:eastAsia="標楷體" w:hAnsi="標楷體" w:hint="eastAsia"/>
                <w:color w:val="000000" w:themeColor="text1"/>
                <w:sz w:val="28"/>
                <w:szCs w:val="28"/>
              </w:rPr>
              <w:t>會員公司訂定業務人員之酬金制度，除應遵守前二項規定外，並應衡平考量客戶權益、金融商品或服務對會員公司與客戶可能產生之各項風險等因素而訂定，不得僅考量金融商品或服務之業績目標達成情形。</w:t>
            </w:r>
          </w:p>
          <w:p w:rsidR="00AA1ECE" w:rsidRPr="00742315" w:rsidRDefault="00AA1ECE" w:rsidP="009804BE">
            <w:pPr>
              <w:spacing w:line="320" w:lineRule="exact"/>
              <w:ind w:left="566" w:hangingChars="202" w:hanging="566"/>
              <w:jc w:val="both"/>
              <w:rPr>
                <w:rFonts w:ascii="標楷體" w:eastAsia="標楷體" w:hAnsi="標楷體"/>
                <w:color w:val="000000"/>
                <w:sz w:val="28"/>
                <w:szCs w:val="28"/>
              </w:rPr>
            </w:pPr>
          </w:p>
        </w:tc>
        <w:tc>
          <w:tcPr>
            <w:tcW w:w="4820" w:type="dxa"/>
          </w:tcPr>
          <w:p w:rsidR="00AA1ECE" w:rsidRPr="00480980" w:rsidRDefault="00AA1ECE" w:rsidP="00A439E3">
            <w:pPr>
              <w:adjustRightInd w:val="0"/>
              <w:snapToGrid w:val="0"/>
              <w:spacing w:beforeLines="50" w:afterLines="50" w:line="320" w:lineRule="exact"/>
              <w:ind w:left="456" w:hangingChars="163" w:hanging="456"/>
              <w:jc w:val="both"/>
              <w:rPr>
                <w:rFonts w:ascii="標楷體" w:eastAsia="標楷體" w:hAnsi="標楷體"/>
                <w:color w:val="000000"/>
                <w:sz w:val="28"/>
                <w:szCs w:val="28"/>
              </w:rPr>
            </w:pPr>
            <w:r w:rsidRPr="00480980">
              <w:rPr>
                <w:rFonts w:ascii="標楷體" w:eastAsia="標楷體" w:hAnsi="標楷體" w:hint="eastAsia"/>
                <w:color w:val="000000"/>
                <w:sz w:val="28"/>
                <w:szCs w:val="28"/>
              </w:rPr>
              <w:lastRenderedPageBreak/>
              <w:t>第一項說明：</w:t>
            </w:r>
          </w:p>
          <w:p w:rsidR="00070C95" w:rsidRDefault="005723D2" w:rsidP="00A439E3">
            <w:pPr>
              <w:pStyle w:val="a3"/>
              <w:adjustRightInd w:val="0"/>
              <w:snapToGrid w:val="0"/>
              <w:spacing w:beforeLines="50" w:afterLines="50" w:line="320" w:lineRule="exact"/>
              <w:ind w:leftChars="0" w:left="34"/>
              <w:jc w:val="both"/>
              <w:rPr>
                <w:rFonts w:ascii="標楷體" w:eastAsia="標楷體" w:hAnsi="標楷體"/>
                <w:color w:val="000000"/>
                <w:sz w:val="28"/>
                <w:szCs w:val="28"/>
              </w:rPr>
            </w:pPr>
            <w:r w:rsidRPr="00EE6A53">
              <w:rPr>
                <w:rFonts w:ascii="標楷體" w:eastAsia="標楷體" w:hAnsi="標楷體" w:hint="eastAsia"/>
                <w:color w:val="000000" w:themeColor="text1"/>
                <w:sz w:val="28"/>
                <w:szCs w:val="28"/>
                <w:lang w:val="zh-TW"/>
              </w:rPr>
              <w:t>考量</w:t>
            </w:r>
            <w:r w:rsidRPr="00EE6A53">
              <w:rPr>
                <w:rFonts w:ascii="標楷體" w:eastAsia="標楷體" w:hAnsi="標楷體" w:hint="eastAsia"/>
                <w:color w:val="000000" w:themeColor="text1"/>
                <w:sz w:val="28"/>
                <w:szCs w:val="28"/>
              </w:rPr>
              <w:t>酬金制度規範旨在</w:t>
            </w:r>
            <w:r w:rsidRPr="00EE6A53">
              <w:rPr>
                <w:rFonts w:ascii="標楷體" w:eastAsia="標楷體" w:hAnsi="標楷體" w:cs="新細明體"/>
                <w:color w:val="000000" w:themeColor="text1"/>
                <w:kern w:val="0"/>
                <w:sz w:val="28"/>
                <w:szCs w:val="28"/>
              </w:rPr>
              <w:t>避免從業人員為爭取業績而不當銷售金融商品或服務</w:t>
            </w:r>
            <w:r>
              <w:rPr>
                <w:rFonts w:ascii="標楷體" w:eastAsia="標楷體" w:hAnsi="標楷體" w:cs="新細明體"/>
                <w:color w:val="000000" w:themeColor="text1"/>
                <w:kern w:val="0"/>
                <w:sz w:val="28"/>
                <w:szCs w:val="28"/>
              </w:rPr>
              <w:t>予客戶</w:t>
            </w:r>
            <w:r w:rsidRPr="00EE6A53">
              <w:rPr>
                <w:rFonts w:ascii="標楷體" w:eastAsia="標楷體" w:hAnsi="標楷體" w:cs="新細明體"/>
                <w:color w:val="000000" w:themeColor="text1"/>
                <w:kern w:val="0"/>
                <w:sz w:val="28"/>
                <w:szCs w:val="28"/>
              </w:rPr>
              <w:t>，爰本原則宜</w:t>
            </w:r>
            <w:r>
              <w:rPr>
                <w:rFonts w:ascii="標楷體" w:eastAsia="標楷體" w:hAnsi="標楷體" w:cs="新細明體" w:hint="eastAsia"/>
                <w:color w:val="000000" w:themeColor="text1"/>
                <w:kern w:val="0"/>
                <w:sz w:val="28"/>
                <w:szCs w:val="28"/>
              </w:rPr>
              <w:t>有依</w:t>
            </w:r>
            <w:r w:rsidR="00E018C8">
              <w:rPr>
                <w:rFonts w:ascii="標楷體" w:eastAsia="標楷體" w:hAnsi="標楷體" w:cs="新細明體" w:hint="eastAsia"/>
                <w:color w:val="000000" w:themeColor="text1"/>
                <w:kern w:val="0"/>
                <w:sz w:val="28"/>
                <w:szCs w:val="28"/>
              </w:rPr>
              <w:t>業務屬性</w:t>
            </w:r>
            <w:r w:rsidR="00E018C8">
              <w:rPr>
                <w:rFonts w:ascii="標楷體" w:eastAsia="標楷體" w:hAnsi="標楷體" w:cs="新細明體" w:hint="eastAsia"/>
                <w:color w:val="000000" w:themeColor="text1"/>
                <w:kern w:val="0"/>
                <w:sz w:val="28"/>
                <w:szCs w:val="28"/>
              </w:rPr>
              <w:lastRenderedPageBreak/>
              <w:t>及商品與服務之</w:t>
            </w:r>
            <w:r>
              <w:rPr>
                <w:rFonts w:ascii="標楷體" w:eastAsia="標楷體" w:hAnsi="標楷體" w:cs="新細明體" w:hint="eastAsia"/>
                <w:color w:val="000000" w:themeColor="text1"/>
                <w:kern w:val="0"/>
                <w:sz w:val="28"/>
                <w:szCs w:val="28"/>
              </w:rPr>
              <w:t>風險性高低而為分級管理之必要</w:t>
            </w:r>
            <w:r w:rsidRPr="00EE6A53">
              <w:rPr>
                <w:rFonts w:ascii="標楷體" w:eastAsia="標楷體" w:hAnsi="標楷體" w:cs="新細明體"/>
                <w:color w:val="000000" w:themeColor="text1"/>
                <w:kern w:val="0"/>
                <w:sz w:val="28"/>
                <w:szCs w:val="28"/>
              </w:rPr>
              <w:t>。</w:t>
            </w:r>
          </w:p>
          <w:p w:rsidR="005723D2" w:rsidRDefault="005723D2" w:rsidP="00A439E3">
            <w:pPr>
              <w:pStyle w:val="a3"/>
              <w:adjustRightInd w:val="0"/>
              <w:snapToGrid w:val="0"/>
              <w:spacing w:beforeLines="50" w:afterLines="50" w:line="320" w:lineRule="exact"/>
              <w:ind w:leftChars="0" w:left="34"/>
              <w:jc w:val="both"/>
              <w:rPr>
                <w:rFonts w:ascii="標楷體" w:eastAsia="標楷體" w:hAnsi="標楷體"/>
                <w:color w:val="000000" w:themeColor="text1"/>
                <w:sz w:val="28"/>
                <w:szCs w:val="28"/>
                <w:lang w:val="zh-TW"/>
              </w:rPr>
            </w:pPr>
            <w:r w:rsidRPr="00EB555F">
              <w:rPr>
                <w:rFonts w:ascii="標楷體" w:eastAsia="標楷體" w:hAnsi="標楷體"/>
                <w:color w:val="000000"/>
                <w:sz w:val="28"/>
                <w:szCs w:val="28"/>
              </w:rPr>
              <w:t>證券商經營業務種類及提供商品或服務之法律行為屬性眾多，風險性高低亦不同，有些業務量占比</w:t>
            </w:r>
            <w:r>
              <w:rPr>
                <w:rFonts w:ascii="標楷體" w:eastAsia="標楷體" w:hAnsi="標楷體"/>
                <w:color w:val="000000"/>
                <w:sz w:val="28"/>
                <w:szCs w:val="28"/>
              </w:rPr>
              <w:t>雖</w:t>
            </w:r>
            <w:r w:rsidRPr="00EB555F">
              <w:rPr>
                <w:rFonts w:ascii="標楷體" w:eastAsia="標楷體" w:hAnsi="標楷體"/>
                <w:color w:val="000000"/>
                <w:sz w:val="28"/>
                <w:szCs w:val="28"/>
              </w:rPr>
              <w:t>高，但風險</w:t>
            </w:r>
            <w:r w:rsidR="001A7120">
              <w:rPr>
                <w:rFonts w:ascii="標楷體" w:eastAsia="標楷體" w:hAnsi="標楷體"/>
                <w:color w:val="000000"/>
                <w:sz w:val="28"/>
                <w:szCs w:val="28"/>
              </w:rPr>
              <w:t>較</w:t>
            </w:r>
            <w:r w:rsidRPr="00EB555F">
              <w:rPr>
                <w:rFonts w:ascii="標楷體" w:eastAsia="標楷體" w:hAnsi="標楷體"/>
                <w:color w:val="000000"/>
                <w:sz w:val="28"/>
                <w:szCs w:val="28"/>
              </w:rPr>
              <w:t>低</w:t>
            </w:r>
            <w:r>
              <w:rPr>
                <w:rFonts w:ascii="標楷體" w:eastAsia="標楷體" w:hAnsi="標楷體"/>
                <w:color w:val="000000"/>
                <w:sz w:val="28"/>
                <w:szCs w:val="28"/>
              </w:rPr>
              <w:t>或</w:t>
            </w:r>
            <w:r w:rsidR="001A7120">
              <w:rPr>
                <w:rFonts w:ascii="標楷體" w:eastAsia="標楷體" w:hAnsi="標楷體"/>
                <w:color w:val="000000"/>
                <w:sz w:val="28"/>
                <w:szCs w:val="28"/>
              </w:rPr>
              <w:t>有些</w:t>
            </w:r>
            <w:r>
              <w:rPr>
                <w:rFonts w:ascii="標楷體" w:eastAsia="標楷體" w:hAnsi="標楷體"/>
                <w:color w:val="000000"/>
                <w:sz w:val="28"/>
                <w:szCs w:val="28"/>
              </w:rPr>
              <w:t>業務量占比低且風險也低，</w:t>
            </w:r>
            <w:r w:rsidR="0077202E">
              <w:rPr>
                <w:rFonts w:ascii="標楷體" w:eastAsia="標楷體" w:hAnsi="標楷體"/>
                <w:color w:val="000000"/>
                <w:sz w:val="28"/>
                <w:szCs w:val="28"/>
              </w:rPr>
              <w:t>實</w:t>
            </w:r>
            <w:r w:rsidRPr="00EB555F">
              <w:rPr>
                <w:rFonts w:ascii="標楷體" w:eastAsia="標楷體" w:hAnsi="標楷體"/>
                <w:color w:val="000000"/>
                <w:sz w:val="28"/>
                <w:szCs w:val="28"/>
              </w:rPr>
              <w:t>有做不同等級管理</w:t>
            </w:r>
            <w:r w:rsidR="0077202E">
              <w:rPr>
                <w:rFonts w:ascii="標楷體" w:eastAsia="標楷體" w:hAnsi="標楷體"/>
                <w:color w:val="000000"/>
                <w:sz w:val="28"/>
                <w:szCs w:val="28"/>
              </w:rPr>
              <w:t>之需求與必要</w:t>
            </w:r>
            <w:r w:rsidRPr="00EB555F">
              <w:rPr>
                <w:rFonts w:ascii="標楷體" w:eastAsia="標楷體" w:hAnsi="標楷體"/>
                <w:color w:val="000000"/>
                <w:sz w:val="28"/>
                <w:szCs w:val="28"/>
              </w:rPr>
              <w:t>。</w:t>
            </w:r>
            <w:r w:rsidR="001A7120">
              <w:rPr>
                <w:rFonts w:ascii="標楷體" w:eastAsia="標楷體" w:hAnsi="標楷體"/>
                <w:color w:val="000000"/>
                <w:sz w:val="28"/>
                <w:szCs w:val="28"/>
              </w:rPr>
              <w:t>爰</w:t>
            </w:r>
            <w:r>
              <w:rPr>
                <w:rFonts w:ascii="標楷體" w:eastAsia="標楷體" w:hAnsi="標楷體"/>
                <w:color w:val="000000"/>
                <w:sz w:val="28"/>
                <w:szCs w:val="28"/>
              </w:rPr>
              <w:t>金融消費者保護法</w:t>
            </w:r>
            <w:r w:rsidR="00E018C8">
              <w:rPr>
                <w:rFonts w:ascii="標楷體" w:eastAsia="標楷體" w:hAnsi="標楷體"/>
                <w:color w:val="000000"/>
                <w:sz w:val="28"/>
                <w:szCs w:val="28"/>
              </w:rPr>
              <w:t>相關子法正面表列「</w:t>
            </w:r>
            <w:r w:rsidR="00E018C8" w:rsidRPr="00EB555F">
              <w:rPr>
                <w:rFonts w:ascii="標楷體" w:eastAsia="標楷體" w:hAnsi="標楷體"/>
                <w:color w:val="000000"/>
                <w:sz w:val="28"/>
                <w:szCs w:val="28"/>
              </w:rPr>
              <w:t>投資型金融商品或服務</w:t>
            </w:r>
            <w:r w:rsidR="00E018C8">
              <w:rPr>
                <w:rFonts w:ascii="標楷體" w:eastAsia="標楷體" w:hAnsi="標楷體"/>
                <w:color w:val="000000"/>
                <w:sz w:val="28"/>
                <w:szCs w:val="28"/>
              </w:rPr>
              <w:t>」以外之</w:t>
            </w:r>
            <w:r>
              <w:rPr>
                <w:rFonts w:ascii="標楷體" w:eastAsia="標楷體" w:hAnsi="標楷體"/>
                <w:color w:val="000000"/>
                <w:sz w:val="28"/>
                <w:szCs w:val="28"/>
              </w:rPr>
              <w:t>「</w:t>
            </w:r>
            <w:r w:rsidRPr="00EB555F">
              <w:rPr>
                <w:rFonts w:ascii="標楷體" w:eastAsia="標楷體" w:hAnsi="標楷體"/>
                <w:color w:val="000000"/>
                <w:sz w:val="28"/>
                <w:szCs w:val="28"/>
              </w:rPr>
              <w:t>非投資型金融商品或服務</w:t>
            </w:r>
            <w:r>
              <w:rPr>
                <w:rFonts w:ascii="標楷體" w:eastAsia="標楷體" w:hAnsi="標楷體"/>
                <w:color w:val="000000"/>
                <w:sz w:val="28"/>
                <w:szCs w:val="28"/>
              </w:rPr>
              <w:t>」</w:t>
            </w:r>
            <w:r w:rsidRPr="00EB555F">
              <w:rPr>
                <w:rFonts w:ascii="標楷體" w:eastAsia="標楷體" w:hAnsi="標楷體"/>
                <w:color w:val="000000"/>
                <w:sz w:val="28"/>
                <w:szCs w:val="28"/>
              </w:rPr>
              <w:t>，</w:t>
            </w:r>
            <w:r w:rsidR="00E018C8">
              <w:rPr>
                <w:rFonts w:ascii="標楷體" w:eastAsia="標楷體" w:hAnsi="標楷體"/>
                <w:color w:val="000000"/>
                <w:sz w:val="28"/>
                <w:szCs w:val="28"/>
              </w:rPr>
              <w:t>考量其對公司及對客戶之風險屬性低，宜以</w:t>
            </w:r>
            <w:r w:rsidRPr="00EB555F">
              <w:rPr>
                <w:rFonts w:ascii="標楷體" w:eastAsia="標楷體" w:hAnsi="標楷體"/>
                <w:color w:val="000000"/>
                <w:sz w:val="28"/>
                <w:szCs w:val="28"/>
              </w:rPr>
              <w:t>低度管理</w:t>
            </w:r>
            <w:r w:rsidR="00E018C8">
              <w:rPr>
                <w:rFonts w:ascii="標楷體" w:eastAsia="標楷體" w:hAnsi="標楷體"/>
                <w:color w:val="000000"/>
                <w:sz w:val="28"/>
                <w:szCs w:val="28"/>
              </w:rPr>
              <w:t>為之</w:t>
            </w:r>
            <w:r w:rsidRPr="00EB555F">
              <w:rPr>
                <w:rFonts w:ascii="標楷體" w:eastAsia="標楷體" w:hAnsi="標楷體"/>
                <w:color w:val="000000"/>
                <w:sz w:val="28"/>
                <w:szCs w:val="28"/>
              </w:rPr>
              <w:t>。</w:t>
            </w:r>
          </w:p>
          <w:p w:rsidR="002B0C00" w:rsidRPr="00EB555F" w:rsidRDefault="00CB4ADB" w:rsidP="00A439E3">
            <w:pPr>
              <w:adjustRightInd w:val="0"/>
              <w:snapToGrid w:val="0"/>
              <w:spacing w:beforeLines="50" w:afterLines="50" w:line="320" w:lineRule="exact"/>
              <w:ind w:leftChars="14" w:left="34" w:firstLineChars="1" w:firstLine="3"/>
              <w:jc w:val="both"/>
              <w:rPr>
                <w:rFonts w:ascii="標楷體" w:eastAsia="標楷體" w:hAnsi="標楷體"/>
                <w:color w:val="000000" w:themeColor="text1"/>
                <w:sz w:val="28"/>
                <w:szCs w:val="28"/>
                <w:lang w:val="zh-TW"/>
              </w:rPr>
            </w:pPr>
            <w:r w:rsidRPr="00EB555F">
              <w:rPr>
                <w:rFonts w:ascii="標楷體" w:eastAsia="標楷體" w:hAnsi="標楷體"/>
                <w:color w:val="000000"/>
                <w:sz w:val="28"/>
                <w:szCs w:val="28"/>
              </w:rPr>
              <w:t>以</w:t>
            </w:r>
            <w:r w:rsidR="00AA1ECE" w:rsidRPr="00EB555F">
              <w:rPr>
                <w:rFonts w:ascii="標楷體" w:eastAsia="標楷體" w:hAnsi="標楷體"/>
                <w:color w:val="000000"/>
                <w:sz w:val="28"/>
                <w:szCs w:val="28"/>
              </w:rPr>
              <w:t>受託買賣</w:t>
            </w:r>
            <w:r w:rsidRPr="00EB555F">
              <w:rPr>
                <w:rFonts w:ascii="標楷體" w:eastAsia="標楷體" w:hAnsi="標楷體"/>
                <w:color w:val="000000"/>
                <w:sz w:val="28"/>
                <w:szCs w:val="28"/>
              </w:rPr>
              <w:t>為例，屬「非投資型金融商品或服務」</w:t>
            </w:r>
            <w:r w:rsidR="00AA1ECE" w:rsidRPr="00EB555F">
              <w:rPr>
                <w:rFonts w:ascii="標楷體" w:eastAsia="標楷體" w:hAnsi="標楷體"/>
                <w:color w:val="000000"/>
                <w:sz w:val="28"/>
                <w:szCs w:val="28"/>
              </w:rPr>
              <w:t>，</w:t>
            </w:r>
            <w:r w:rsidRPr="00EB555F">
              <w:rPr>
                <w:rFonts w:ascii="標楷體" w:eastAsia="標楷體" w:hAnsi="標楷體"/>
                <w:color w:val="000000"/>
                <w:sz w:val="28"/>
                <w:szCs w:val="28"/>
              </w:rPr>
              <w:t>係客戶主動下單交易</w:t>
            </w:r>
            <w:r w:rsidR="002B0C00" w:rsidRPr="00EB555F">
              <w:rPr>
                <w:rFonts w:ascii="標楷體" w:eastAsia="標楷體" w:hAnsi="標楷體"/>
                <w:color w:val="000000"/>
                <w:sz w:val="28"/>
                <w:szCs w:val="28"/>
              </w:rPr>
              <w:t>、營業員</w:t>
            </w:r>
            <w:r w:rsidRPr="00EB555F">
              <w:rPr>
                <w:rFonts w:ascii="標楷體" w:eastAsia="標楷體" w:hAnsi="標楷體" w:hint="eastAsia"/>
                <w:color w:val="000000" w:themeColor="text1"/>
                <w:sz w:val="28"/>
                <w:szCs w:val="28"/>
                <w:lang w:val="zh-TW"/>
              </w:rPr>
              <w:t>被動提供客戶服務</w:t>
            </w:r>
            <w:r w:rsidR="00E018C8">
              <w:rPr>
                <w:rFonts w:ascii="標楷體" w:eastAsia="標楷體" w:hAnsi="標楷體" w:hint="eastAsia"/>
                <w:color w:val="000000" w:themeColor="text1"/>
                <w:sz w:val="28"/>
                <w:szCs w:val="28"/>
                <w:lang w:val="zh-TW"/>
              </w:rPr>
              <w:t>；</w:t>
            </w:r>
            <w:r w:rsidR="00AA1ECE" w:rsidRPr="00EB555F">
              <w:rPr>
                <w:rFonts w:ascii="標楷體" w:eastAsia="標楷體" w:hAnsi="標楷體" w:hint="eastAsia"/>
                <w:color w:val="000000" w:themeColor="text1"/>
                <w:sz w:val="28"/>
                <w:szCs w:val="28"/>
                <w:lang w:val="zh-TW"/>
              </w:rPr>
              <w:t>營業員受託買賣集中市場有價證券的行紀行為及商品或服務，較無風險性</w:t>
            </w:r>
            <w:r w:rsidRPr="00EB555F">
              <w:rPr>
                <w:rFonts w:ascii="標楷體" w:eastAsia="標楷體" w:hAnsi="標楷體" w:hint="eastAsia"/>
                <w:color w:val="000000" w:themeColor="text1"/>
                <w:sz w:val="28"/>
                <w:szCs w:val="28"/>
                <w:lang w:val="zh-TW"/>
              </w:rPr>
              <w:t>；</w:t>
            </w:r>
            <w:r w:rsidR="00AA1ECE" w:rsidRPr="00EB555F">
              <w:rPr>
                <w:rFonts w:ascii="標楷體" w:eastAsia="標楷體" w:hAnsi="標楷體" w:hint="eastAsia"/>
                <w:color w:val="000000" w:themeColor="text1"/>
                <w:sz w:val="28"/>
                <w:szCs w:val="28"/>
                <w:lang w:val="zh-TW"/>
              </w:rPr>
              <w:t>受託</w:t>
            </w:r>
            <w:r w:rsidR="002B0C00" w:rsidRPr="00EB555F">
              <w:rPr>
                <w:rFonts w:ascii="標楷體" w:eastAsia="標楷體" w:hAnsi="標楷體" w:hint="eastAsia"/>
                <w:color w:val="000000" w:themeColor="text1"/>
                <w:sz w:val="28"/>
                <w:szCs w:val="28"/>
                <w:lang w:val="zh-TW"/>
              </w:rPr>
              <w:t>買賣</w:t>
            </w:r>
            <w:r w:rsidR="00AA1ECE" w:rsidRPr="00EB555F">
              <w:rPr>
                <w:rFonts w:ascii="標楷體" w:eastAsia="標楷體" w:hAnsi="標楷體" w:hint="eastAsia"/>
                <w:color w:val="000000" w:themeColor="text1"/>
                <w:sz w:val="28"/>
                <w:szCs w:val="28"/>
                <w:lang w:val="zh-TW"/>
              </w:rPr>
              <w:t>行紀關係之營業員，其</w:t>
            </w:r>
            <w:r w:rsidR="00E018C8">
              <w:rPr>
                <w:rFonts w:ascii="標楷體" w:eastAsia="標楷體" w:hAnsi="標楷體" w:hint="eastAsia"/>
                <w:color w:val="000000" w:themeColor="text1"/>
                <w:sz w:val="28"/>
                <w:szCs w:val="28"/>
                <w:lang w:val="zh-TW"/>
              </w:rPr>
              <w:t>接單獎金亦來自客戶主動下單之手續費佣金；</w:t>
            </w:r>
            <w:r w:rsidR="00AA1ECE" w:rsidRPr="00EB555F">
              <w:rPr>
                <w:rFonts w:ascii="標楷體" w:eastAsia="標楷體" w:hAnsi="標楷體" w:hint="eastAsia"/>
                <w:color w:val="000000" w:themeColor="text1"/>
                <w:sz w:val="28"/>
                <w:szCs w:val="28"/>
                <w:lang w:val="zh-TW"/>
              </w:rPr>
              <w:t>且營業員於簽訂聘僱契約時即已約定勞動報酬條件，</w:t>
            </w:r>
            <w:r w:rsidR="0086796B">
              <w:rPr>
                <w:rFonts w:ascii="標楷體" w:eastAsia="標楷體" w:hAnsi="標楷體" w:hint="eastAsia"/>
                <w:color w:val="000000" w:themeColor="text1"/>
                <w:sz w:val="28"/>
                <w:szCs w:val="28"/>
                <w:lang w:val="zh-TW"/>
              </w:rPr>
              <w:t>公司</w:t>
            </w:r>
            <w:r w:rsidR="00AA1ECE" w:rsidRPr="00EB555F">
              <w:rPr>
                <w:rFonts w:ascii="標楷體" w:eastAsia="標楷體" w:hAnsi="標楷體" w:hint="eastAsia"/>
                <w:color w:val="000000" w:themeColor="text1"/>
                <w:sz w:val="28"/>
                <w:szCs w:val="28"/>
                <w:lang w:val="zh-TW"/>
              </w:rPr>
              <w:t>不宜逕行毀約</w:t>
            </w:r>
            <w:r w:rsidR="00E018C8">
              <w:rPr>
                <w:rFonts w:ascii="標楷體" w:eastAsia="標楷體" w:hAnsi="標楷體" w:hint="eastAsia"/>
                <w:color w:val="000000" w:themeColor="text1"/>
                <w:sz w:val="28"/>
                <w:szCs w:val="28"/>
                <w:lang w:val="zh-TW"/>
              </w:rPr>
              <w:t>，基於以上諸項因素考量，受託買賣</w:t>
            </w:r>
            <w:r w:rsidR="007D56B7">
              <w:rPr>
                <w:rFonts w:ascii="標楷體" w:eastAsia="標楷體" w:hAnsi="標楷體" w:hint="eastAsia"/>
                <w:color w:val="000000" w:themeColor="text1"/>
                <w:sz w:val="28"/>
                <w:szCs w:val="28"/>
                <w:lang w:val="zh-TW"/>
              </w:rPr>
              <w:t>（及公司其他低風險性之服務）之酬金制度宜允為差別性之低度管理</w:t>
            </w:r>
            <w:r w:rsidRPr="00EB555F">
              <w:rPr>
                <w:rFonts w:ascii="標楷體" w:eastAsia="標楷體" w:hAnsi="標楷體" w:hint="eastAsia"/>
                <w:color w:val="000000" w:themeColor="text1"/>
                <w:sz w:val="28"/>
                <w:szCs w:val="28"/>
                <w:lang w:val="zh-TW"/>
              </w:rPr>
              <w:t>。</w:t>
            </w:r>
          </w:p>
          <w:p w:rsidR="00AA1ECE" w:rsidRDefault="00AA1ECE" w:rsidP="00A439E3">
            <w:pPr>
              <w:adjustRightInd w:val="0"/>
              <w:snapToGrid w:val="0"/>
              <w:spacing w:beforeLines="50" w:afterLines="50" w:line="320" w:lineRule="exact"/>
              <w:ind w:leftChars="14" w:left="34" w:firstLineChars="1" w:firstLine="3"/>
              <w:jc w:val="both"/>
              <w:rPr>
                <w:rFonts w:ascii="標楷體" w:eastAsia="標楷體" w:hAnsi="標楷體"/>
                <w:color w:val="000000" w:themeColor="text1"/>
                <w:sz w:val="28"/>
                <w:szCs w:val="28"/>
                <w:lang w:val="zh-TW"/>
              </w:rPr>
            </w:pPr>
            <w:r w:rsidRPr="002B0C00">
              <w:rPr>
                <w:rFonts w:ascii="標楷體" w:eastAsia="標楷體" w:hAnsi="標楷體" w:cs="新細明體"/>
                <w:color w:val="000000" w:themeColor="text1"/>
                <w:kern w:val="0"/>
                <w:sz w:val="28"/>
                <w:szCs w:val="28"/>
              </w:rPr>
              <w:t>故第一項</w:t>
            </w:r>
            <w:r w:rsidR="00D67513" w:rsidRPr="002B0C00">
              <w:rPr>
                <w:rFonts w:ascii="標楷體" w:eastAsia="標楷體" w:hAnsi="標楷體" w:hint="eastAsia"/>
                <w:color w:val="000000"/>
                <w:sz w:val="28"/>
                <w:szCs w:val="28"/>
              </w:rPr>
              <w:t>業務人員提供</w:t>
            </w:r>
            <w:r w:rsidRPr="002B0C00">
              <w:rPr>
                <w:rFonts w:ascii="標楷體" w:eastAsia="標楷體" w:hAnsi="標楷體" w:hint="eastAsia"/>
                <w:color w:val="000000"/>
                <w:sz w:val="28"/>
                <w:szCs w:val="28"/>
              </w:rPr>
              <w:t>『非投資型</w:t>
            </w:r>
            <w:r w:rsidR="00CB4ADB" w:rsidRPr="002B0C00">
              <w:rPr>
                <w:rFonts w:ascii="標楷體" w:eastAsia="標楷體" w:hAnsi="標楷體" w:hint="eastAsia"/>
                <w:color w:val="000000"/>
                <w:sz w:val="28"/>
                <w:szCs w:val="28"/>
              </w:rPr>
              <w:t>金融</w:t>
            </w:r>
            <w:r w:rsidRPr="002B0C00">
              <w:rPr>
                <w:rFonts w:ascii="標楷體" w:eastAsia="標楷體" w:hAnsi="標楷體" w:hint="eastAsia"/>
                <w:color w:val="000000"/>
                <w:sz w:val="28"/>
                <w:szCs w:val="28"/>
              </w:rPr>
              <w:t>商品</w:t>
            </w:r>
            <w:r w:rsidR="00CB4ADB" w:rsidRPr="002B0C00">
              <w:rPr>
                <w:rFonts w:ascii="標楷體" w:eastAsia="標楷體" w:hAnsi="標楷體" w:hint="eastAsia"/>
                <w:color w:val="000000"/>
                <w:sz w:val="28"/>
                <w:szCs w:val="28"/>
              </w:rPr>
              <w:t>或服務</w:t>
            </w:r>
            <w:r w:rsidRPr="002B0C00">
              <w:rPr>
                <w:rFonts w:ascii="標楷體" w:eastAsia="標楷體" w:hAnsi="標楷體" w:hint="eastAsia"/>
                <w:color w:val="000000"/>
                <w:sz w:val="28"/>
                <w:szCs w:val="28"/>
              </w:rPr>
              <w:t>』之酬金制度，</w:t>
            </w:r>
            <w:r w:rsidR="005723D2" w:rsidRPr="005723D2">
              <w:rPr>
                <w:rFonts w:ascii="標楷體" w:eastAsia="標楷體" w:hAnsi="標楷體" w:cs="細明體" w:hint="eastAsia"/>
                <w:color w:val="000000" w:themeColor="text1"/>
                <w:kern w:val="0"/>
                <w:sz w:val="28"/>
                <w:szCs w:val="28"/>
                <w:lang w:val="zh-TW"/>
              </w:rPr>
              <w:t>不論</w:t>
            </w:r>
            <w:r w:rsidR="005723D2" w:rsidRPr="005723D2">
              <w:rPr>
                <w:rFonts w:ascii="標楷體" w:eastAsia="標楷體" w:hAnsi="標楷體" w:hint="eastAsia"/>
                <w:color w:val="000000" w:themeColor="text1"/>
                <w:sz w:val="28"/>
                <w:szCs w:val="28"/>
              </w:rPr>
              <w:t>所提供金融商品或服務行為類型之法律</w:t>
            </w:r>
            <w:r w:rsidR="005723D2">
              <w:rPr>
                <w:rFonts w:ascii="標楷體" w:eastAsia="標楷體" w:hAnsi="標楷體" w:hint="eastAsia"/>
                <w:color w:val="000000" w:themeColor="text1"/>
                <w:sz w:val="28"/>
                <w:szCs w:val="28"/>
              </w:rPr>
              <w:t>行為</w:t>
            </w:r>
            <w:r w:rsidR="005723D2" w:rsidRPr="005723D2">
              <w:rPr>
                <w:rFonts w:ascii="標楷體" w:eastAsia="標楷體" w:hAnsi="標楷體" w:hint="eastAsia"/>
                <w:color w:val="000000" w:themeColor="text1"/>
                <w:sz w:val="28"/>
                <w:szCs w:val="28"/>
              </w:rPr>
              <w:t>關係屬受託、信託、銷售、交易、承銷、股代</w:t>
            </w:r>
            <w:r w:rsidR="001F498D">
              <w:rPr>
                <w:rFonts w:ascii="標楷體" w:eastAsia="標楷體" w:hAnsi="標楷體" w:hint="eastAsia"/>
                <w:color w:val="000000" w:themeColor="text1"/>
                <w:kern w:val="0"/>
                <w:sz w:val="28"/>
                <w:szCs w:val="28"/>
              </w:rPr>
              <w:t>、財務顧問、</w:t>
            </w:r>
            <w:r w:rsidR="00155875">
              <w:rPr>
                <w:rFonts w:ascii="標楷體" w:eastAsia="標楷體" w:hAnsi="標楷體" w:hint="eastAsia"/>
                <w:color w:val="000000" w:themeColor="text1"/>
                <w:sz w:val="28"/>
                <w:szCs w:val="28"/>
              </w:rPr>
              <w:t>共同行銷、跨業合作</w:t>
            </w:r>
            <w:r w:rsidR="00155875">
              <w:rPr>
                <w:rFonts w:ascii="標楷體" w:eastAsia="標楷體" w:hAnsi="標楷體"/>
                <w:color w:val="000000" w:themeColor="text1"/>
                <w:sz w:val="28"/>
                <w:szCs w:val="28"/>
              </w:rPr>
              <w:t>…、</w:t>
            </w:r>
            <w:r w:rsidR="005723D2" w:rsidRPr="005723D2">
              <w:rPr>
                <w:rFonts w:ascii="標楷體" w:eastAsia="標楷體" w:hAnsi="標楷體" w:hint="eastAsia"/>
                <w:color w:val="000000" w:themeColor="text1"/>
                <w:sz w:val="28"/>
                <w:szCs w:val="28"/>
              </w:rPr>
              <w:t>其他服務等，只要屬對公司及對客戶風險度較低之行為屬性，</w:t>
            </w:r>
            <w:r w:rsidRPr="002B0C00">
              <w:rPr>
                <w:rFonts w:ascii="標楷體" w:eastAsia="標楷體" w:hAnsi="標楷體" w:hint="eastAsia"/>
                <w:color w:val="000000"/>
                <w:sz w:val="28"/>
                <w:szCs w:val="28"/>
              </w:rPr>
              <w:t>宜以低度管理並以符合合理性原則及回歸公司治理為已足</w:t>
            </w:r>
            <w:r w:rsidRPr="002B0C00">
              <w:rPr>
                <w:rFonts w:ascii="標楷體" w:eastAsia="標楷體" w:hAnsi="標楷體" w:hint="eastAsia"/>
                <w:color w:val="000000" w:themeColor="text1"/>
                <w:sz w:val="28"/>
                <w:szCs w:val="28"/>
                <w:lang w:val="zh-TW"/>
              </w:rPr>
              <w:t>。</w:t>
            </w:r>
          </w:p>
          <w:p w:rsidR="002C763B" w:rsidRDefault="002C763B" w:rsidP="00A439E3">
            <w:pPr>
              <w:adjustRightInd w:val="0"/>
              <w:snapToGrid w:val="0"/>
              <w:spacing w:beforeLines="50" w:afterLines="50" w:line="320" w:lineRule="exact"/>
              <w:ind w:leftChars="190" w:left="456" w:firstLineChars="1" w:firstLine="3"/>
              <w:jc w:val="both"/>
              <w:rPr>
                <w:rFonts w:ascii="標楷體" w:eastAsia="標楷體" w:hAnsi="標楷體"/>
                <w:color w:val="000000" w:themeColor="text1"/>
                <w:sz w:val="28"/>
                <w:szCs w:val="28"/>
                <w:lang w:val="zh-TW"/>
              </w:rPr>
            </w:pPr>
          </w:p>
          <w:p w:rsidR="00E018C8" w:rsidRDefault="00E018C8" w:rsidP="00A439E3">
            <w:pPr>
              <w:adjustRightInd w:val="0"/>
              <w:snapToGrid w:val="0"/>
              <w:spacing w:afterLines="50" w:line="320" w:lineRule="exact"/>
              <w:jc w:val="both"/>
              <w:rPr>
                <w:rFonts w:ascii="標楷體" w:eastAsia="標楷體" w:hAnsi="標楷體"/>
                <w:color w:val="000000"/>
                <w:sz w:val="28"/>
                <w:szCs w:val="28"/>
              </w:rPr>
            </w:pPr>
            <w:r w:rsidRPr="00480980">
              <w:rPr>
                <w:rFonts w:ascii="標楷體" w:eastAsia="標楷體" w:hAnsi="標楷體"/>
                <w:color w:val="000000"/>
                <w:sz w:val="28"/>
                <w:szCs w:val="28"/>
              </w:rPr>
              <w:t>第二項說明：</w:t>
            </w:r>
          </w:p>
          <w:p w:rsidR="00AA1ECE" w:rsidRPr="00E018C8" w:rsidRDefault="00E018C8" w:rsidP="00A439E3">
            <w:pPr>
              <w:adjustRightInd w:val="0"/>
              <w:snapToGrid w:val="0"/>
              <w:spacing w:afterLines="5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考量</w:t>
            </w:r>
            <w:r w:rsidR="00AA1ECE" w:rsidRPr="00E073F7">
              <w:rPr>
                <w:rFonts w:ascii="標楷體" w:eastAsia="標楷體" w:hAnsi="標楷體" w:hint="eastAsia"/>
                <w:color w:val="000000" w:themeColor="text1"/>
                <w:sz w:val="28"/>
                <w:szCs w:val="28"/>
                <w:shd w:val="clear" w:color="auto" w:fill="FFFFFF" w:themeFill="background1"/>
                <w:lang w:val="zh-TW"/>
              </w:rPr>
              <w:t>「金融</w:t>
            </w:r>
            <w:r w:rsidR="00392DB0" w:rsidRPr="0052681E">
              <w:rPr>
                <w:rFonts w:ascii="標楷體" w:eastAsia="標楷體" w:hAnsi="標楷體" w:hint="eastAsia"/>
                <w:color w:val="000000" w:themeColor="text1"/>
                <w:sz w:val="28"/>
                <w:szCs w:val="28"/>
                <w:shd w:val="clear" w:color="auto" w:fill="FFFFFF" w:themeFill="background1"/>
                <w:lang w:val="zh-TW"/>
              </w:rPr>
              <w:t>服務</w:t>
            </w:r>
            <w:r w:rsidR="00AA1ECE" w:rsidRPr="0052681E">
              <w:rPr>
                <w:rFonts w:ascii="標楷體" w:eastAsia="標楷體" w:hAnsi="標楷體" w:hint="eastAsia"/>
                <w:color w:val="000000" w:themeColor="text1"/>
                <w:sz w:val="28"/>
                <w:szCs w:val="28"/>
                <w:shd w:val="clear" w:color="auto" w:fill="FFFFFF" w:themeFill="background1"/>
                <w:lang w:val="zh-TW"/>
              </w:rPr>
              <w:t>業確保金融商品或服務適合金融消費者辦法」第</w:t>
            </w:r>
            <w:r w:rsidR="00710749">
              <w:rPr>
                <w:rFonts w:ascii="標楷體" w:eastAsia="標楷體" w:hAnsi="標楷體" w:hint="eastAsia"/>
                <w:color w:val="000000" w:themeColor="text1"/>
                <w:sz w:val="28"/>
                <w:szCs w:val="28"/>
                <w:shd w:val="clear" w:color="auto" w:fill="FFFFFF" w:themeFill="background1"/>
                <w:lang w:val="zh-TW"/>
              </w:rPr>
              <w:t>五</w:t>
            </w:r>
            <w:r w:rsidR="00AA1ECE" w:rsidRPr="00E073F7">
              <w:rPr>
                <w:rFonts w:ascii="標楷體" w:eastAsia="標楷體" w:hAnsi="標楷體" w:hint="eastAsia"/>
                <w:color w:val="000000" w:themeColor="text1"/>
                <w:sz w:val="28"/>
                <w:szCs w:val="28"/>
                <w:shd w:val="clear" w:color="auto" w:fill="FFFFFF" w:themeFill="background1"/>
                <w:lang w:val="zh-TW"/>
              </w:rPr>
              <w:t>條及「</w:t>
            </w:r>
            <w:hyperlink r:id="rId9" w:history="1">
              <w:r w:rsidR="00AA1ECE" w:rsidRPr="00E073F7">
                <w:rPr>
                  <w:rFonts w:ascii="標楷體" w:eastAsia="標楷體" w:hAnsi="標楷體" w:hint="eastAsia"/>
                  <w:color w:val="000000" w:themeColor="text1"/>
                  <w:sz w:val="28"/>
                  <w:szCs w:val="28"/>
                  <w:shd w:val="clear" w:color="auto" w:fill="FFFFFF" w:themeFill="background1"/>
                </w:rPr>
                <w:t>金融服務業提供金融商品或服務前說明契約重要內容及揭露風險辦法</w:t>
              </w:r>
            </w:hyperlink>
            <w:r w:rsidR="00AA1ECE" w:rsidRPr="00E073F7">
              <w:rPr>
                <w:rFonts w:ascii="標楷體" w:eastAsia="標楷體" w:hAnsi="標楷體" w:hint="eastAsia"/>
                <w:color w:val="000000" w:themeColor="text1"/>
                <w:sz w:val="28"/>
                <w:szCs w:val="28"/>
                <w:shd w:val="clear" w:color="auto" w:fill="FFFFFF" w:themeFill="background1"/>
                <w:lang w:val="zh-TW"/>
              </w:rPr>
              <w:t>」第</w:t>
            </w:r>
            <w:r w:rsidR="00710749">
              <w:rPr>
                <w:rFonts w:ascii="標楷體" w:eastAsia="標楷體" w:hAnsi="標楷體" w:hint="eastAsia"/>
                <w:color w:val="000000" w:themeColor="text1"/>
                <w:sz w:val="28"/>
                <w:szCs w:val="28"/>
                <w:shd w:val="clear" w:color="auto" w:fill="FFFFFF" w:themeFill="background1"/>
                <w:lang w:val="zh-TW"/>
              </w:rPr>
              <w:t>六</w:t>
            </w:r>
            <w:r w:rsidR="00AA1ECE" w:rsidRPr="003C757B">
              <w:rPr>
                <w:rFonts w:ascii="標楷體" w:eastAsia="標楷體" w:hAnsi="標楷體" w:hint="eastAsia"/>
                <w:color w:val="000000" w:themeColor="text1"/>
                <w:sz w:val="28"/>
                <w:szCs w:val="28"/>
                <w:lang w:val="zh-TW"/>
              </w:rPr>
              <w:t>條</w:t>
            </w:r>
            <w:r w:rsidR="00AA1ECE">
              <w:rPr>
                <w:rFonts w:ascii="標楷體" w:eastAsia="標楷體" w:hAnsi="標楷體" w:hint="eastAsia"/>
                <w:color w:val="000000" w:themeColor="text1"/>
                <w:sz w:val="28"/>
                <w:szCs w:val="28"/>
                <w:lang w:val="zh-TW"/>
              </w:rPr>
              <w:t>，皆</w:t>
            </w:r>
            <w:r w:rsidR="00E85652">
              <w:rPr>
                <w:rFonts w:ascii="標楷體" w:eastAsia="標楷體" w:hAnsi="標楷體" w:hint="eastAsia"/>
                <w:color w:val="000000" w:themeColor="text1"/>
                <w:sz w:val="28"/>
                <w:szCs w:val="28"/>
                <w:lang w:val="zh-TW"/>
              </w:rPr>
              <w:t>正面表列</w:t>
            </w:r>
            <w:r w:rsidR="00AA1ECE" w:rsidRPr="003C757B">
              <w:rPr>
                <w:rFonts w:ascii="標楷體" w:eastAsia="標楷體" w:hAnsi="標楷體" w:hint="eastAsia"/>
                <w:color w:val="000000" w:themeColor="text1"/>
                <w:sz w:val="28"/>
                <w:szCs w:val="28"/>
                <w:lang w:val="zh-TW"/>
              </w:rPr>
              <w:t>『</w:t>
            </w:r>
            <w:r w:rsidR="00AA1ECE" w:rsidRPr="003C757B">
              <w:rPr>
                <w:rFonts w:ascii="標楷體" w:eastAsia="標楷體" w:hAnsi="標楷體" w:cs="細明體" w:hint="eastAsia"/>
                <w:color w:val="000000"/>
                <w:sz w:val="28"/>
                <w:szCs w:val="28"/>
              </w:rPr>
              <w:t>投資型金融商品或服務</w:t>
            </w:r>
            <w:r w:rsidR="00AA1ECE" w:rsidRPr="003C757B">
              <w:rPr>
                <w:rFonts w:ascii="標楷體" w:eastAsia="標楷體" w:hAnsi="標楷體" w:hint="eastAsia"/>
                <w:color w:val="000000" w:themeColor="text1"/>
                <w:sz w:val="28"/>
                <w:szCs w:val="28"/>
                <w:lang w:val="zh-TW"/>
              </w:rPr>
              <w:t>』</w:t>
            </w:r>
            <w:r w:rsidR="00AA1ECE">
              <w:rPr>
                <w:rFonts w:ascii="標楷體" w:eastAsia="標楷體" w:hAnsi="標楷體" w:hint="eastAsia"/>
                <w:color w:val="000000" w:themeColor="text1"/>
                <w:sz w:val="28"/>
                <w:szCs w:val="28"/>
                <w:lang w:val="zh-TW"/>
              </w:rPr>
              <w:t>包含</w:t>
            </w:r>
            <w:r w:rsidR="0086796B">
              <w:rPr>
                <w:rFonts w:ascii="標楷體" w:eastAsia="標楷體" w:hAnsi="標楷體" w:hint="eastAsia"/>
                <w:color w:val="000000" w:themeColor="text1"/>
                <w:sz w:val="28"/>
                <w:szCs w:val="28"/>
                <w:lang w:val="zh-TW"/>
              </w:rPr>
              <w:t>以</w:t>
            </w:r>
            <w:r w:rsidR="00AA1ECE">
              <w:rPr>
                <w:rFonts w:ascii="標楷體" w:eastAsia="標楷體" w:hAnsi="標楷體" w:hint="eastAsia"/>
                <w:color w:val="000000" w:themeColor="text1"/>
                <w:sz w:val="28"/>
                <w:szCs w:val="28"/>
                <w:lang w:val="zh-TW"/>
              </w:rPr>
              <w:t>下列</w:t>
            </w:r>
            <w:r w:rsidR="0086796B">
              <w:rPr>
                <w:rFonts w:ascii="標楷體" w:eastAsia="標楷體" w:hAnsi="標楷體" w:hint="eastAsia"/>
                <w:color w:val="000000" w:themeColor="text1"/>
                <w:sz w:val="28"/>
                <w:szCs w:val="28"/>
                <w:lang w:val="zh-TW"/>
              </w:rPr>
              <w:t>示之</w:t>
            </w:r>
            <w:r w:rsidR="00AA1ECE">
              <w:rPr>
                <w:rFonts w:ascii="標楷體" w:eastAsia="標楷體" w:hAnsi="標楷體" w:hint="eastAsia"/>
                <w:color w:val="000000" w:themeColor="text1"/>
                <w:sz w:val="28"/>
                <w:szCs w:val="28"/>
                <w:lang w:val="zh-TW"/>
              </w:rPr>
              <w:t>商品</w:t>
            </w:r>
            <w:r w:rsidR="0086796B">
              <w:rPr>
                <w:rFonts w:ascii="標楷體" w:eastAsia="標楷體" w:hAnsi="標楷體" w:hint="eastAsia"/>
                <w:color w:val="000000" w:themeColor="text1"/>
                <w:sz w:val="28"/>
                <w:szCs w:val="28"/>
                <w:lang w:val="zh-TW"/>
              </w:rPr>
              <w:t>或服務，</w:t>
            </w:r>
            <w:proofErr w:type="gramStart"/>
            <w:r w:rsidR="00E85652">
              <w:rPr>
                <w:rFonts w:ascii="標楷體" w:eastAsia="標楷體" w:hAnsi="標楷體" w:hint="eastAsia"/>
                <w:color w:val="000000" w:themeColor="text1"/>
                <w:sz w:val="28"/>
                <w:szCs w:val="28"/>
                <w:lang w:val="zh-TW"/>
              </w:rPr>
              <w:lastRenderedPageBreak/>
              <w:t>蓋</w:t>
            </w:r>
            <w:r w:rsidR="0086796B">
              <w:rPr>
                <w:rFonts w:ascii="標楷體" w:eastAsia="標楷體" w:hAnsi="標楷體" w:hint="eastAsia"/>
                <w:color w:val="000000" w:themeColor="text1"/>
                <w:sz w:val="28"/>
                <w:szCs w:val="28"/>
                <w:lang w:val="zh-TW"/>
              </w:rPr>
              <w:t>此等</w:t>
            </w:r>
            <w:proofErr w:type="gramEnd"/>
            <w:r w:rsidR="0086796B">
              <w:rPr>
                <w:rFonts w:ascii="標楷體" w:eastAsia="標楷體" w:hAnsi="標楷體"/>
                <w:color w:val="000000"/>
                <w:sz w:val="28"/>
                <w:szCs w:val="28"/>
              </w:rPr>
              <w:t>「</w:t>
            </w:r>
            <w:r w:rsidR="0086796B" w:rsidRPr="00EB555F">
              <w:rPr>
                <w:rFonts w:ascii="標楷體" w:eastAsia="標楷體" w:hAnsi="標楷體"/>
                <w:color w:val="000000"/>
                <w:sz w:val="28"/>
                <w:szCs w:val="28"/>
              </w:rPr>
              <w:t>投資型金融商品或服務」</w:t>
            </w:r>
            <w:r w:rsidR="00EF1A8F" w:rsidRPr="00EF1A8F">
              <w:rPr>
                <w:rFonts w:ascii="標楷體" w:eastAsia="標楷體" w:hAnsi="標楷體" w:hint="eastAsia"/>
                <w:color w:val="000000" w:themeColor="text1"/>
                <w:sz w:val="28"/>
                <w:szCs w:val="28"/>
              </w:rPr>
              <w:t>對公司及客戶</w:t>
            </w:r>
            <w:r w:rsidR="0086796B">
              <w:rPr>
                <w:rFonts w:ascii="標楷體" w:eastAsia="標楷體" w:hAnsi="標楷體"/>
                <w:color w:val="000000"/>
                <w:sz w:val="28"/>
                <w:szCs w:val="28"/>
              </w:rPr>
              <w:t>風險性</w:t>
            </w:r>
            <w:r w:rsidR="00126E33">
              <w:rPr>
                <w:rFonts w:ascii="標楷體" w:eastAsia="標楷體" w:hAnsi="標楷體"/>
                <w:color w:val="000000"/>
                <w:sz w:val="28"/>
                <w:szCs w:val="28"/>
              </w:rPr>
              <w:t>相對較</w:t>
            </w:r>
            <w:r w:rsidR="0086796B">
              <w:rPr>
                <w:rFonts w:ascii="標楷體" w:eastAsia="標楷體" w:hAnsi="標楷體"/>
                <w:color w:val="000000"/>
                <w:sz w:val="28"/>
                <w:szCs w:val="28"/>
              </w:rPr>
              <w:t>高</w:t>
            </w:r>
            <w:r w:rsidR="00126E33">
              <w:rPr>
                <w:rFonts w:ascii="標楷體" w:eastAsia="標楷體" w:hAnsi="標楷體"/>
                <w:color w:val="000000"/>
                <w:sz w:val="28"/>
                <w:szCs w:val="28"/>
              </w:rPr>
              <w:t>、商品不易明瞭</w:t>
            </w:r>
            <w:r w:rsidR="0086796B">
              <w:rPr>
                <w:rFonts w:ascii="標楷體" w:eastAsia="標楷體" w:hAnsi="標楷體"/>
                <w:color w:val="000000"/>
                <w:sz w:val="28"/>
                <w:szCs w:val="28"/>
              </w:rPr>
              <w:t>，主管機關</w:t>
            </w:r>
            <w:proofErr w:type="gramStart"/>
            <w:r w:rsidR="0086796B">
              <w:rPr>
                <w:rFonts w:ascii="標楷體" w:eastAsia="標楷體" w:hAnsi="標楷體"/>
                <w:color w:val="000000"/>
                <w:sz w:val="28"/>
                <w:szCs w:val="28"/>
              </w:rPr>
              <w:t>爰</w:t>
            </w:r>
            <w:proofErr w:type="gramEnd"/>
            <w:r w:rsidR="0086796B">
              <w:rPr>
                <w:rFonts w:ascii="標楷體" w:eastAsia="標楷體" w:hAnsi="標楷體"/>
                <w:color w:val="000000"/>
                <w:sz w:val="28"/>
                <w:szCs w:val="28"/>
              </w:rPr>
              <w:t>特別立法規範應對客戶做</w:t>
            </w:r>
            <w:r w:rsidR="0086796B">
              <w:rPr>
                <w:rFonts w:ascii="標楷體" w:eastAsia="標楷體" w:hAnsi="標楷體" w:hint="eastAsia"/>
                <w:color w:val="000000"/>
                <w:sz w:val="28"/>
                <w:szCs w:val="28"/>
              </w:rPr>
              <w:t>KYC、KYP</w:t>
            </w:r>
            <w:r>
              <w:rPr>
                <w:rFonts w:ascii="標楷體" w:eastAsia="標楷體" w:hAnsi="標楷體" w:hint="eastAsia"/>
                <w:color w:val="000000"/>
                <w:sz w:val="28"/>
                <w:szCs w:val="28"/>
              </w:rPr>
              <w:t>及說明契約重要內容與告知風險，故</w:t>
            </w:r>
            <w:r w:rsidR="00E85652">
              <w:rPr>
                <w:rFonts w:ascii="標楷體" w:eastAsia="標楷體" w:hAnsi="標楷體" w:hint="eastAsia"/>
                <w:color w:val="000000"/>
                <w:sz w:val="28"/>
                <w:szCs w:val="28"/>
              </w:rPr>
              <w:t>於</w:t>
            </w:r>
            <w:r w:rsidR="0086796B">
              <w:rPr>
                <w:rFonts w:ascii="標楷體" w:eastAsia="標楷體" w:hAnsi="標楷體" w:hint="eastAsia"/>
                <w:color w:val="000000"/>
                <w:sz w:val="28"/>
                <w:szCs w:val="28"/>
              </w:rPr>
              <w:t>本原則</w:t>
            </w:r>
            <w:r w:rsidR="00E85652">
              <w:rPr>
                <w:rFonts w:ascii="標楷體" w:eastAsia="標楷體" w:hAnsi="標楷體" w:hint="eastAsia"/>
                <w:color w:val="000000"/>
                <w:sz w:val="28"/>
                <w:szCs w:val="28"/>
              </w:rPr>
              <w:t>亦訂</w:t>
            </w:r>
            <w:r w:rsidR="0086796B">
              <w:rPr>
                <w:rFonts w:ascii="標楷體" w:eastAsia="標楷體" w:hAnsi="標楷體" w:hint="eastAsia"/>
                <w:color w:val="000000"/>
                <w:sz w:val="28"/>
                <w:szCs w:val="28"/>
              </w:rPr>
              <w:t>有</w:t>
            </w:r>
            <w:r>
              <w:rPr>
                <w:rFonts w:ascii="標楷體" w:eastAsia="標楷體" w:hAnsi="標楷體" w:hint="eastAsia"/>
                <w:color w:val="000000"/>
                <w:sz w:val="28"/>
                <w:szCs w:val="28"/>
              </w:rPr>
              <w:t>較高之要求，除合理性原則外，並應遵守本項各款</w:t>
            </w:r>
            <w:r w:rsidR="00E85652">
              <w:rPr>
                <w:rFonts w:ascii="標楷體" w:eastAsia="標楷體" w:hAnsi="標楷體" w:hint="eastAsia"/>
                <w:color w:val="000000"/>
                <w:sz w:val="28"/>
                <w:szCs w:val="28"/>
              </w:rPr>
              <w:t>規定。</w:t>
            </w:r>
            <w:r w:rsidRPr="00E018C8">
              <w:rPr>
                <w:rFonts w:ascii="標楷體" w:eastAsia="標楷體" w:hAnsi="標楷體"/>
                <w:color w:val="000000"/>
                <w:sz w:val="28"/>
                <w:szCs w:val="28"/>
              </w:rPr>
              <w:t xml:space="preserve"> </w:t>
            </w:r>
          </w:p>
          <w:p w:rsidR="00126E33" w:rsidRPr="00126E33" w:rsidRDefault="00F7659B" w:rsidP="00A439E3">
            <w:pPr>
              <w:adjustRightInd w:val="0"/>
              <w:snapToGrid w:val="0"/>
              <w:spacing w:afterLines="50" w:line="320" w:lineRule="exact"/>
              <w:ind w:left="391" w:hangingChars="163" w:hanging="391"/>
              <w:jc w:val="both"/>
              <w:rPr>
                <w:rFonts w:ascii="標楷體" w:eastAsia="標楷體" w:hAnsi="標楷體"/>
                <w:color w:val="000000" w:themeColor="text1"/>
                <w:szCs w:val="24"/>
                <w:lang w:val="zh-TW"/>
              </w:rPr>
            </w:pPr>
            <w:r>
              <w:rPr>
                <w:rFonts w:ascii="標楷體" w:eastAsia="標楷體" w:hAnsi="標楷體" w:hint="eastAsia"/>
                <w:color w:val="000000" w:themeColor="text1"/>
                <w:kern w:val="0"/>
                <w:szCs w:val="24"/>
                <w:lang w:val="zh-TW"/>
              </w:rPr>
              <w:t>上開法規之</w:t>
            </w:r>
            <w:r w:rsidR="00126E33" w:rsidRPr="00126E33">
              <w:rPr>
                <w:rFonts w:ascii="標楷體" w:eastAsia="標楷體" w:hAnsi="標楷體" w:hint="eastAsia"/>
                <w:color w:val="000000" w:themeColor="text1"/>
                <w:szCs w:val="24"/>
                <w:lang w:val="zh-TW"/>
              </w:rPr>
              <w:t>『</w:t>
            </w:r>
            <w:r w:rsidR="00126E33" w:rsidRPr="00126E33">
              <w:rPr>
                <w:rFonts w:ascii="標楷體" w:eastAsia="標楷體" w:hAnsi="標楷體" w:cs="細明體" w:hint="eastAsia"/>
                <w:color w:val="000000"/>
                <w:szCs w:val="24"/>
              </w:rPr>
              <w:t>投資型金融商品或服務</w:t>
            </w:r>
            <w:r w:rsidR="00126E33" w:rsidRPr="00126E33">
              <w:rPr>
                <w:rFonts w:ascii="標楷體" w:eastAsia="標楷體" w:hAnsi="標楷體" w:hint="eastAsia"/>
                <w:color w:val="000000" w:themeColor="text1"/>
                <w:szCs w:val="24"/>
                <w:lang w:val="zh-TW"/>
              </w:rPr>
              <w:t>』包含：</w:t>
            </w:r>
          </w:p>
          <w:p w:rsidR="00AA1ECE" w:rsidRPr="006D21D0" w:rsidRDefault="00AA1ECE" w:rsidP="009804BE">
            <w:pPr>
              <w:pStyle w:val="HTML"/>
              <w:numPr>
                <w:ilvl w:val="0"/>
                <w:numId w:val="7"/>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信託業辦理特定金錢信託業務或特定有價證券信託業務，受託投資國內外有價證券、短期票券或結構型商品。</w:t>
            </w:r>
          </w:p>
          <w:p w:rsidR="00AA1ECE" w:rsidRPr="006D21D0" w:rsidRDefault="00AA1ECE" w:rsidP="009804BE">
            <w:pPr>
              <w:pStyle w:val="HTML"/>
              <w:numPr>
                <w:ilvl w:val="0"/>
                <w:numId w:val="7"/>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信託業辦理具運用決定權之金錢信託或有價證券信託，以財務規劃或資產負債配置為目的，受託投資國內外有價證券、短期票券或結構型商品。</w:t>
            </w:r>
          </w:p>
          <w:p w:rsidR="00AA1ECE" w:rsidRPr="006D21D0" w:rsidRDefault="00AA1ECE" w:rsidP="009804BE">
            <w:pPr>
              <w:pStyle w:val="HTML"/>
              <w:numPr>
                <w:ilvl w:val="0"/>
                <w:numId w:val="7"/>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信託業運用信託財產於黃金或衍生性金融商品。</w:t>
            </w:r>
          </w:p>
          <w:p w:rsidR="00AA1ECE" w:rsidRPr="006D21D0" w:rsidRDefault="00AA1ECE" w:rsidP="009804BE">
            <w:pPr>
              <w:pStyle w:val="HTML"/>
              <w:numPr>
                <w:ilvl w:val="0"/>
                <w:numId w:val="7"/>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共同信託基金業務。</w:t>
            </w:r>
          </w:p>
          <w:p w:rsidR="00AA1ECE" w:rsidRPr="006D21D0" w:rsidRDefault="00AA1ECE" w:rsidP="009804BE">
            <w:pPr>
              <w:pStyle w:val="HTML"/>
              <w:numPr>
                <w:ilvl w:val="0"/>
                <w:numId w:val="7"/>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信託資金集合管理運用帳戶業務。</w:t>
            </w:r>
          </w:p>
          <w:p w:rsidR="00AA1ECE" w:rsidRPr="006D21D0" w:rsidRDefault="00AA1ECE" w:rsidP="009804BE">
            <w:pPr>
              <w:pStyle w:val="HTML"/>
              <w:numPr>
                <w:ilvl w:val="0"/>
                <w:numId w:val="7"/>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銀行與客戶承作之衍生性金融商品及結構型商品業務。</w:t>
            </w:r>
          </w:p>
          <w:p w:rsidR="00AA1ECE" w:rsidRPr="006D21D0" w:rsidRDefault="00AA1ECE" w:rsidP="009804BE">
            <w:pPr>
              <w:pStyle w:val="HTML"/>
              <w:numPr>
                <w:ilvl w:val="0"/>
                <w:numId w:val="7"/>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黃金及貴金屬業務。</w:t>
            </w:r>
          </w:p>
          <w:p w:rsidR="00AA1ECE" w:rsidRPr="006D21D0" w:rsidRDefault="00AA1ECE" w:rsidP="009804BE">
            <w:pPr>
              <w:pStyle w:val="HTML"/>
              <w:numPr>
                <w:ilvl w:val="0"/>
                <w:numId w:val="7"/>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受託買賣非集中市場交易且具衍生性商品性質之外國有價證券業務。</w:t>
            </w:r>
          </w:p>
          <w:p w:rsidR="00AA1ECE" w:rsidRPr="006D21D0" w:rsidRDefault="00AA1ECE" w:rsidP="009804BE">
            <w:pPr>
              <w:pStyle w:val="HTML"/>
              <w:numPr>
                <w:ilvl w:val="0"/>
                <w:numId w:val="7"/>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證券商營業處所經營衍生性金融商品及槓桿交易商經營槓桿保證金契約交易業務。</w:t>
            </w:r>
          </w:p>
          <w:p w:rsidR="00AA1ECE" w:rsidRPr="006D21D0" w:rsidRDefault="00AA1ECE" w:rsidP="009804BE">
            <w:pPr>
              <w:pStyle w:val="HTML"/>
              <w:shd w:val="clear" w:color="auto" w:fill="FFFFFF" w:themeFill="background1"/>
              <w:adjustRightInd w:val="0"/>
              <w:snapToGrid w:val="0"/>
              <w:spacing w:line="320" w:lineRule="exact"/>
              <w:jc w:val="both"/>
              <w:rPr>
                <w:rFonts w:ascii="標楷體" w:eastAsia="標楷體" w:hAnsi="標楷體"/>
                <w:color w:val="000000"/>
                <w:sz w:val="26"/>
                <w:szCs w:val="26"/>
              </w:rPr>
            </w:pPr>
            <w:r w:rsidRPr="006D21D0">
              <w:rPr>
                <w:rFonts w:ascii="標楷體" w:eastAsia="標楷體" w:hAnsi="標楷體" w:hint="eastAsia"/>
                <w:color w:val="000000"/>
                <w:sz w:val="26"/>
                <w:szCs w:val="26"/>
              </w:rPr>
              <w:t>10.證券投資信託基金及境外基金。</w:t>
            </w:r>
          </w:p>
          <w:p w:rsidR="00AA1ECE" w:rsidRPr="006D21D0" w:rsidRDefault="00AA1ECE" w:rsidP="009804BE">
            <w:pPr>
              <w:pStyle w:val="HTML"/>
              <w:shd w:val="clear" w:color="auto" w:fill="FFFFFF" w:themeFill="background1"/>
              <w:spacing w:line="320" w:lineRule="exact"/>
              <w:jc w:val="both"/>
              <w:rPr>
                <w:rFonts w:ascii="標楷體" w:eastAsia="標楷體" w:hAnsi="標楷體"/>
                <w:color w:val="000000"/>
                <w:sz w:val="26"/>
                <w:szCs w:val="26"/>
              </w:rPr>
            </w:pPr>
            <w:r w:rsidRPr="006D21D0">
              <w:rPr>
                <w:rFonts w:ascii="標楷體" w:eastAsia="標楷體" w:hAnsi="標楷體" w:hint="eastAsia"/>
                <w:color w:val="000000"/>
                <w:sz w:val="26"/>
                <w:szCs w:val="26"/>
              </w:rPr>
              <w:t>11.期貨信託基金。</w:t>
            </w:r>
          </w:p>
          <w:p w:rsidR="00AA1ECE" w:rsidRPr="006D21D0" w:rsidRDefault="00AA1ECE" w:rsidP="009804BE">
            <w:pPr>
              <w:pStyle w:val="HTML"/>
              <w:shd w:val="clear" w:color="auto" w:fill="FFFFFF" w:themeFill="background1"/>
              <w:spacing w:line="320" w:lineRule="exact"/>
              <w:jc w:val="both"/>
              <w:rPr>
                <w:rFonts w:ascii="標楷體" w:eastAsia="標楷體" w:hAnsi="標楷體"/>
                <w:color w:val="000000"/>
                <w:sz w:val="26"/>
                <w:szCs w:val="26"/>
              </w:rPr>
            </w:pPr>
            <w:r w:rsidRPr="006D21D0">
              <w:rPr>
                <w:rFonts w:ascii="標楷體" w:eastAsia="標楷體" w:hAnsi="標楷體" w:hint="eastAsia"/>
                <w:color w:val="000000"/>
                <w:sz w:val="26"/>
                <w:szCs w:val="26"/>
              </w:rPr>
              <w:t>12.全權委託投資業務。</w:t>
            </w:r>
          </w:p>
          <w:p w:rsidR="00AA1ECE" w:rsidRPr="006D21D0" w:rsidRDefault="00AA1ECE" w:rsidP="009804BE">
            <w:pPr>
              <w:pStyle w:val="HTML"/>
              <w:shd w:val="clear" w:color="auto" w:fill="FFFFFF" w:themeFill="background1"/>
              <w:spacing w:line="320" w:lineRule="exact"/>
              <w:jc w:val="both"/>
              <w:rPr>
                <w:rFonts w:ascii="標楷體" w:eastAsia="標楷體" w:hAnsi="標楷體"/>
                <w:color w:val="000000"/>
                <w:sz w:val="26"/>
                <w:szCs w:val="26"/>
              </w:rPr>
            </w:pPr>
            <w:r w:rsidRPr="006D21D0">
              <w:rPr>
                <w:rFonts w:ascii="標楷體" w:eastAsia="標楷體" w:hAnsi="標楷體" w:hint="eastAsia"/>
                <w:color w:val="000000"/>
                <w:sz w:val="26"/>
                <w:szCs w:val="26"/>
              </w:rPr>
              <w:t>13.全權委託期貨交易業務。</w:t>
            </w:r>
          </w:p>
          <w:p w:rsidR="00AA1ECE" w:rsidRDefault="00AA1ECE" w:rsidP="00A439E3">
            <w:pPr>
              <w:pStyle w:val="HTML"/>
              <w:shd w:val="clear" w:color="auto" w:fill="FFFFFF" w:themeFill="background1"/>
              <w:spacing w:afterLines="50" w:line="320" w:lineRule="exact"/>
              <w:jc w:val="both"/>
              <w:rPr>
                <w:rFonts w:ascii="標楷體" w:eastAsia="標楷體" w:hAnsi="標楷體"/>
                <w:color w:val="000000"/>
                <w:sz w:val="26"/>
                <w:szCs w:val="26"/>
              </w:rPr>
            </w:pPr>
            <w:r w:rsidRPr="006D21D0">
              <w:rPr>
                <w:rFonts w:ascii="標楷體" w:eastAsia="標楷體" w:hAnsi="標楷體" w:hint="eastAsia"/>
                <w:color w:val="000000"/>
                <w:sz w:val="26"/>
                <w:szCs w:val="26"/>
              </w:rPr>
              <w:t>14.投資型保險業務。</w:t>
            </w:r>
          </w:p>
          <w:p w:rsidR="00025490" w:rsidRPr="006D21D0" w:rsidRDefault="00025490" w:rsidP="00A439E3">
            <w:pPr>
              <w:pStyle w:val="HTML"/>
              <w:shd w:val="clear" w:color="auto" w:fill="FFFFFF" w:themeFill="background1"/>
              <w:spacing w:afterLines="50" w:line="320" w:lineRule="exact"/>
              <w:jc w:val="both"/>
              <w:rPr>
                <w:rFonts w:ascii="標楷體" w:eastAsia="標楷體" w:hAnsi="標楷體"/>
                <w:color w:val="000000"/>
                <w:sz w:val="26"/>
                <w:szCs w:val="26"/>
              </w:rPr>
            </w:pPr>
          </w:p>
          <w:p w:rsidR="00AA1ECE" w:rsidRPr="00025490" w:rsidRDefault="00025490" w:rsidP="00A439E3">
            <w:pPr>
              <w:adjustRightInd w:val="0"/>
              <w:snapToGrid w:val="0"/>
              <w:spacing w:afterLines="50" w:line="320" w:lineRule="exact"/>
              <w:ind w:left="599" w:hangingChars="214" w:hanging="599"/>
              <w:jc w:val="both"/>
              <w:rPr>
                <w:rFonts w:ascii="標楷體" w:eastAsia="標楷體" w:hAnsi="標楷體"/>
                <w:color w:val="000000" w:themeColor="text1"/>
                <w:sz w:val="28"/>
                <w:szCs w:val="28"/>
                <w:shd w:val="pct15" w:color="auto" w:fill="FFFFFF"/>
                <w:lang w:val="zh-TW"/>
              </w:rPr>
            </w:pPr>
            <w:r w:rsidRPr="00480980">
              <w:rPr>
                <w:rFonts w:ascii="標楷體" w:eastAsia="標楷體" w:hAnsi="標楷體"/>
                <w:color w:val="000000" w:themeColor="text1"/>
                <w:sz w:val="28"/>
                <w:szCs w:val="28"/>
                <w:lang w:val="zh-TW"/>
              </w:rPr>
              <w:t>第二項各款說明：</w:t>
            </w:r>
          </w:p>
          <w:p w:rsidR="00AA1ECE" w:rsidRPr="008A23E9" w:rsidRDefault="00AA1ECE" w:rsidP="00A439E3">
            <w:pPr>
              <w:pStyle w:val="a3"/>
              <w:numPr>
                <w:ilvl w:val="0"/>
                <w:numId w:val="5"/>
              </w:numPr>
              <w:adjustRightInd w:val="0"/>
              <w:snapToGrid w:val="0"/>
              <w:spacing w:afterLines="50" w:line="320" w:lineRule="exact"/>
              <w:ind w:leftChars="0"/>
              <w:jc w:val="both"/>
              <w:rPr>
                <w:rFonts w:ascii="標楷體" w:eastAsia="標楷體" w:hAnsi="標楷體"/>
                <w:color w:val="000000"/>
                <w:sz w:val="28"/>
                <w:szCs w:val="28"/>
              </w:rPr>
            </w:pPr>
            <w:r>
              <w:rPr>
                <w:rFonts w:ascii="標楷體" w:eastAsia="標楷體" w:hAnsi="標楷體"/>
                <w:color w:val="000000"/>
                <w:sz w:val="28"/>
                <w:szCs w:val="28"/>
              </w:rPr>
              <w:t>第</w:t>
            </w:r>
            <w:r w:rsidR="00D67513">
              <w:rPr>
                <w:rFonts w:ascii="標楷體" w:eastAsia="標楷體" w:hAnsi="標楷體" w:hint="eastAsia"/>
                <w:color w:val="000000"/>
                <w:sz w:val="28"/>
                <w:szCs w:val="28"/>
              </w:rPr>
              <w:t>一</w:t>
            </w:r>
            <w:r>
              <w:rPr>
                <w:rFonts w:ascii="標楷體" w:eastAsia="標楷體" w:hAnsi="標楷體"/>
                <w:color w:val="000000"/>
                <w:sz w:val="28"/>
                <w:szCs w:val="28"/>
              </w:rPr>
              <w:t>款：</w:t>
            </w:r>
            <w:r w:rsidRPr="008A23E9">
              <w:rPr>
                <w:rFonts w:ascii="標楷體" w:eastAsia="標楷體" w:hAnsi="標楷體"/>
                <w:color w:val="000000" w:themeColor="text1"/>
                <w:sz w:val="28"/>
                <w:szCs w:val="28"/>
              </w:rPr>
              <w:t>參考</w:t>
            </w:r>
            <w:r w:rsidR="00FD3413">
              <w:rPr>
                <w:rFonts w:ascii="標楷體" w:eastAsia="標楷體" w:hAnsi="標楷體"/>
                <w:color w:val="000000" w:themeColor="text1"/>
                <w:sz w:val="28"/>
                <w:szCs w:val="28"/>
              </w:rPr>
              <w:t>「</w:t>
            </w:r>
            <w:r w:rsidRPr="008A23E9">
              <w:rPr>
                <w:rFonts w:ascii="標楷體" w:eastAsia="標楷體" w:hAnsi="標楷體"/>
                <w:color w:val="000000" w:themeColor="text1"/>
                <w:sz w:val="28"/>
                <w:szCs w:val="28"/>
              </w:rPr>
              <w:t>證券商公司治理實務守則</w:t>
            </w:r>
            <w:r w:rsidR="007C755E">
              <w:rPr>
                <w:rFonts w:ascii="標楷體" w:eastAsia="標楷體" w:hAnsi="標楷體"/>
                <w:color w:val="000000" w:themeColor="text1"/>
                <w:sz w:val="28"/>
                <w:szCs w:val="28"/>
              </w:rPr>
              <w:t>」</w:t>
            </w:r>
            <w:r w:rsidR="00710749">
              <w:rPr>
                <w:rFonts w:ascii="標楷體" w:eastAsia="標楷體" w:hAnsi="標楷體"/>
                <w:color w:val="000000" w:themeColor="text1"/>
                <w:sz w:val="28"/>
                <w:szCs w:val="28"/>
              </w:rPr>
              <w:t>第三十五條之一</w:t>
            </w:r>
            <w:r w:rsidRPr="008A23E9">
              <w:rPr>
                <w:rFonts w:ascii="標楷體" w:eastAsia="標楷體" w:hAnsi="標楷體"/>
                <w:color w:val="000000" w:themeColor="text1"/>
                <w:sz w:val="28"/>
                <w:szCs w:val="28"/>
              </w:rPr>
              <w:t>第</w:t>
            </w:r>
            <w:r w:rsidR="00710749">
              <w:rPr>
                <w:rFonts w:ascii="標楷體" w:eastAsia="標楷體" w:hAnsi="標楷體" w:hint="eastAsia"/>
                <w:color w:val="000000" w:themeColor="text1"/>
                <w:sz w:val="28"/>
                <w:szCs w:val="28"/>
              </w:rPr>
              <w:t>一</w:t>
            </w:r>
            <w:r w:rsidRPr="008A23E9">
              <w:rPr>
                <w:rFonts w:ascii="標楷體" w:eastAsia="標楷體" w:hAnsi="標楷體"/>
                <w:color w:val="000000" w:themeColor="text1"/>
                <w:sz w:val="28"/>
                <w:szCs w:val="28"/>
              </w:rPr>
              <w:t>項第</w:t>
            </w:r>
            <w:r w:rsidR="00710749">
              <w:rPr>
                <w:rFonts w:ascii="標楷體" w:eastAsia="標楷體" w:hAnsi="標楷體" w:hint="eastAsia"/>
                <w:color w:val="000000" w:themeColor="text1"/>
                <w:sz w:val="28"/>
                <w:szCs w:val="28"/>
              </w:rPr>
              <w:t>一</w:t>
            </w:r>
            <w:r w:rsidRPr="008A23E9">
              <w:rPr>
                <w:rFonts w:ascii="標楷體" w:eastAsia="標楷體" w:hAnsi="標楷體"/>
                <w:color w:val="000000" w:themeColor="text1"/>
                <w:sz w:val="28"/>
                <w:szCs w:val="28"/>
              </w:rPr>
              <w:t>款</w:t>
            </w:r>
            <w:r w:rsidRPr="008A23E9">
              <w:rPr>
                <w:rFonts w:ascii="標楷體" w:eastAsia="標楷體" w:hAnsi="標楷體" w:hint="eastAsia"/>
                <w:color w:val="000000" w:themeColor="text1"/>
                <w:sz w:val="28"/>
                <w:szCs w:val="28"/>
              </w:rPr>
              <w:t>規定</w:t>
            </w:r>
            <w:r>
              <w:rPr>
                <w:rFonts w:ascii="標楷體" w:eastAsia="標楷體" w:hAnsi="標楷體" w:hint="eastAsia"/>
                <w:color w:val="000000" w:themeColor="text1"/>
                <w:sz w:val="28"/>
                <w:szCs w:val="28"/>
              </w:rPr>
              <w:t>，要求會員公司訂定酬金制度應</w:t>
            </w:r>
            <w:r w:rsidR="00A7494B">
              <w:rPr>
                <w:rFonts w:ascii="標楷體" w:eastAsia="標楷體" w:hAnsi="標楷體" w:hint="eastAsia"/>
                <w:color w:val="000000" w:themeColor="text1"/>
                <w:sz w:val="28"/>
                <w:szCs w:val="28"/>
              </w:rPr>
              <w:t>綜合</w:t>
            </w:r>
            <w:r>
              <w:rPr>
                <w:rFonts w:ascii="標楷體" w:eastAsia="標楷體" w:hAnsi="標楷體" w:hint="eastAsia"/>
                <w:color w:val="000000" w:themeColor="text1"/>
                <w:sz w:val="28"/>
                <w:szCs w:val="28"/>
              </w:rPr>
              <w:t>考量金融商品或服務</w:t>
            </w:r>
            <w:r w:rsidRPr="004D7153">
              <w:rPr>
                <w:rFonts w:ascii="標楷體" w:eastAsia="標楷體" w:hAnsi="標楷體" w:hint="eastAsia"/>
                <w:color w:val="000000"/>
                <w:sz w:val="28"/>
                <w:szCs w:val="28"/>
              </w:rPr>
              <w:t>可能</w:t>
            </w:r>
            <w:r>
              <w:rPr>
                <w:rFonts w:ascii="標楷體" w:eastAsia="標楷體" w:hAnsi="標楷體" w:hint="eastAsia"/>
                <w:color w:val="000000"/>
                <w:sz w:val="28"/>
                <w:szCs w:val="28"/>
              </w:rPr>
              <w:t>對</w:t>
            </w:r>
            <w:r>
              <w:rPr>
                <w:rFonts w:ascii="標楷體" w:eastAsia="標楷體" w:hAnsi="標楷體" w:hint="eastAsia"/>
                <w:color w:val="000000" w:themeColor="text1"/>
                <w:sz w:val="28"/>
                <w:szCs w:val="28"/>
              </w:rPr>
              <w:t>公司</w:t>
            </w:r>
            <w:r w:rsidRPr="004D7153">
              <w:rPr>
                <w:rFonts w:ascii="標楷體" w:eastAsia="標楷體" w:hAnsi="標楷體" w:hint="eastAsia"/>
                <w:color w:val="000000"/>
                <w:sz w:val="28"/>
                <w:szCs w:val="28"/>
              </w:rPr>
              <w:t>產生之</w:t>
            </w:r>
            <w:r>
              <w:rPr>
                <w:rFonts w:ascii="標楷體" w:eastAsia="標楷體" w:hAnsi="標楷體" w:hint="eastAsia"/>
                <w:color w:val="000000" w:themeColor="text1"/>
                <w:sz w:val="28"/>
                <w:szCs w:val="28"/>
              </w:rPr>
              <w:t>風險</w:t>
            </w:r>
            <w:r w:rsidR="00930516">
              <w:rPr>
                <w:rFonts w:ascii="標楷體" w:eastAsia="標楷體" w:hAnsi="標楷體" w:hint="eastAsia"/>
                <w:color w:val="000000" w:themeColor="text1"/>
                <w:sz w:val="28"/>
                <w:szCs w:val="28"/>
              </w:rPr>
              <w:t>及長期獲利與股東利益</w:t>
            </w:r>
            <w:r w:rsidR="00A7494B">
              <w:rPr>
                <w:rFonts w:ascii="標楷體" w:eastAsia="標楷體" w:hAnsi="標楷體" w:hint="eastAsia"/>
                <w:color w:val="000000" w:themeColor="text1"/>
                <w:sz w:val="28"/>
                <w:szCs w:val="28"/>
              </w:rPr>
              <w:t>等因素</w:t>
            </w:r>
            <w:r w:rsidRPr="008A23E9">
              <w:rPr>
                <w:rFonts w:ascii="標楷體" w:eastAsia="標楷體" w:hAnsi="標楷體"/>
                <w:color w:val="000000" w:themeColor="text1"/>
                <w:sz w:val="28"/>
                <w:szCs w:val="28"/>
              </w:rPr>
              <w:t>。</w:t>
            </w:r>
          </w:p>
          <w:p w:rsidR="00AA1ECE" w:rsidRPr="00AB7E25" w:rsidRDefault="00AA1ECE" w:rsidP="00A439E3">
            <w:pPr>
              <w:pStyle w:val="a3"/>
              <w:numPr>
                <w:ilvl w:val="0"/>
                <w:numId w:val="5"/>
              </w:numPr>
              <w:adjustRightInd w:val="0"/>
              <w:snapToGrid w:val="0"/>
              <w:spacing w:afterLines="50" w:line="320" w:lineRule="exact"/>
              <w:ind w:leftChars="0"/>
              <w:jc w:val="both"/>
              <w:rPr>
                <w:rFonts w:ascii="標楷體" w:eastAsia="標楷體" w:hAnsi="標楷體"/>
                <w:color w:val="000000"/>
                <w:sz w:val="28"/>
                <w:szCs w:val="28"/>
              </w:rPr>
            </w:pPr>
            <w:r w:rsidRPr="00AB7E25">
              <w:rPr>
                <w:rFonts w:ascii="標楷體" w:eastAsia="標楷體" w:hAnsi="標楷體" w:hint="eastAsia"/>
                <w:color w:val="000000"/>
                <w:sz w:val="28"/>
                <w:szCs w:val="28"/>
              </w:rPr>
              <w:t>第</w:t>
            </w:r>
            <w:r w:rsidR="00D67513">
              <w:rPr>
                <w:rFonts w:ascii="標楷體" w:eastAsia="標楷體" w:hAnsi="標楷體" w:hint="eastAsia"/>
                <w:color w:val="000000"/>
                <w:sz w:val="28"/>
                <w:szCs w:val="28"/>
              </w:rPr>
              <w:t>二</w:t>
            </w:r>
            <w:r w:rsidRPr="00AB7E25">
              <w:rPr>
                <w:rFonts w:ascii="標楷體" w:eastAsia="標楷體" w:hAnsi="標楷體" w:hint="eastAsia"/>
                <w:color w:val="000000"/>
                <w:sz w:val="28"/>
                <w:szCs w:val="28"/>
              </w:rPr>
              <w:t>款:</w:t>
            </w:r>
            <w:r w:rsidRPr="00AB7E25">
              <w:rPr>
                <w:rFonts w:ascii="標楷體" w:eastAsia="標楷體" w:hAnsi="標楷體"/>
                <w:color w:val="000000" w:themeColor="text1"/>
                <w:sz w:val="28"/>
                <w:szCs w:val="28"/>
              </w:rPr>
              <w:t>參考</w:t>
            </w:r>
            <w:r w:rsidR="00FD3413">
              <w:rPr>
                <w:rFonts w:ascii="標楷體" w:eastAsia="標楷體" w:hAnsi="標楷體"/>
                <w:color w:val="000000" w:themeColor="text1"/>
                <w:sz w:val="28"/>
                <w:szCs w:val="28"/>
              </w:rPr>
              <w:t>「</w:t>
            </w:r>
            <w:r w:rsidRPr="00AB7E25">
              <w:rPr>
                <w:rFonts w:ascii="標楷體" w:eastAsia="標楷體" w:hAnsi="標楷體"/>
                <w:color w:val="000000" w:themeColor="text1"/>
                <w:sz w:val="28"/>
                <w:szCs w:val="28"/>
              </w:rPr>
              <w:t>證券商公司治理實務</w:t>
            </w:r>
            <w:r w:rsidRPr="00AB7E25">
              <w:rPr>
                <w:rFonts w:ascii="標楷體" w:eastAsia="標楷體" w:hAnsi="標楷體"/>
                <w:color w:val="000000" w:themeColor="text1"/>
                <w:sz w:val="28"/>
                <w:szCs w:val="28"/>
              </w:rPr>
              <w:lastRenderedPageBreak/>
              <w:t>守則</w:t>
            </w:r>
            <w:r w:rsidR="00FD3413">
              <w:rPr>
                <w:rFonts w:ascii="標楷體" w:eastAsia="標楷體" w:hAnsi="標楷體"/>
                <w:color w:val="000000" w:themeColor="text1"/>
                <w:sz w:val="28"/>
                <w:szCs w:val="28"/>
              </w:rPr>
              <w:t>」</w:t>
            </w:r>
            <w:r w:rsidR="00710749">
              <w:rPr>
                <w:rFonts w:ascii="標楷體" w:eastAsia="標楷體" w:hAnsi="標楷體"/>
                <w:color w:val="000000" w:themeColor="text1"/>
                <w:sz w:val="28"/>
                <w:szCs w:val="28"/>
              </w:rPr>
              <w:t>第三十五條之一</w:t>
            </w:r>
            <w:r w:rsidRPr="00AB7E25">
              <w:rPr>
                <w:rFonts w:ascii="標楷體" w:eastAsia="標楷體" w:hAnsi="標楷體"/>
                <w:color w:val="000000" w:themeColor="text1"/>
                <w:sz w:val="28"/>
                <w:szCs w:val="28"/>
              </w:rPr>
              <w:t>第</w:t>
            </w:r>
            <w:r w:rsidR="00710749">
              <w:rPr>
                <w:rFonts w:ascii="標楷體" w:eastAsia="標楷體" w:hAnsi="標楷體" w:hint="eastAsia"/>
                <w:color w:val="000000" w:themeColor="text1"/>
                <w:sz w:val="28"/>
                <w:szCs w:val="28"/>
              </w:rPr>
              <w:t>一</w:t>
            </w:r>
            <w:r w:rsidRPr="00AB7E25">
              <w:rPr>
                <w:rFonts w:ascii="標楷體" w:eastAsia="標楷體" w:hAnsi="標楷體"/>
                <w:color w:val="000000" w:themeColor="text1"/>
                <w:sz w:val="28"/>
                <w:szCs w:val="28"/>
              </w:rPr>
              <w:t>項第</w:t>
            </w:r>
            <w:r w:rsidR="00710749">
              <w:rPr>
                <w:rFonts w:ascii="標楷體" w:eastAsia="標楷體" w:hAnsi="標楷體" w:hint="eastAsia"/>
                <w:color w:val="000000" w:themeColor="text1"/>
                <w:sz w:val="28"/>
                <w:szCs w:val="28"/>
              </w:rPr>
              <w:t>二</w:t>
            </w:r>
            <w:r w:rsidR="00FD3413">
              <w:rPr>
                <w:rFonts w:ascii="標楷體" w:eastAsia="標楷體" w:hAnsi="標楷體"/>
                <w:color w:val="000000" w:themeColor="text1"/>
                <w:sz w:val="28"/>
                <w:szCs w:val="28"/>
              </w:rPr>
              <w:t>款</w:t>
            </w:r>
            <w:r w:rsidRPr="00AB7E25">
              <w:rPr>
                <w:rFonts w:ascii="標楷體" w:eastAsia="標楷體" w:hAnsi="標楷體"/>
                <w:color w:val="000000" w:themeColor="text1"/>
                <w:sz w:val="28"/>
                <w:szCs w:val="28"/>
              </w:rPr>
              <w:t>及</w:t>
            </w:r>
            <w:r w:rsidR="00FD3413">
              <w:rPr>
                <w:rFonts w:ascii="標楷體" w:eastAsia="標楷體" w:hAnsi="標楷體"/>
                <w:color w:val="000000" w:themeColor="text1"/>
                <w:sz w:val="28"/>
                <w:szCs w:val="28"/>
              </w:rPr>
              <w:t>「</w:t>
            </w:r>
            <w:r w:rsidRPr="00AB7E25">
              <w:rPr>
                <w:rFonts w:ascii="標楷體" w:eastAsia="標楷體" w:hAnsi="標楷體"/>
                <w:color w:val="000000" w:themeColor="text1"/>
                <w:sz w:val="28"/>
                <w:szCs w:val="28"/>
              </w:rPr>
              <w:t>證券櫃檯買賣中心證券商受託買賣有價證券業務人員銷售衍生性金融商品業務規範</w:t>
            </w:r>
            <w:r w:rsidR="00FD3413">
              <w:rPr>
                <w:rFonts w:ascii="標楷體" w:eastAsia="標楷體" w:hAnsi="標楷體"/>
                <w:color w:val="000000" w:themeColor="text1"/>
                <w:sz w:val="28"/>
                <w:szCs w:val="28"/>
              </w:rPr>
              <w:t>」</w:t>
            </w:r>
            <w:r w:rsidRPr="00AB7E25">
              <w:rPr>
                <w:rFonts w:ascii="標楷體" w:eastAsia="標楷體" w:hAnsi="標楷體"/>
                <w:color w:val="000000" w:themeColor="text1"/>
                <w:sz w:val="28"/>
                <w:szCs w:val="28"/>
              </w:rPr>
              <w:t>第</w:t>
            </w:r>
            <w:r w:rsidR="00710749">
              <w:rPr>
                <w:rFonts w:ascii="標楷體" w:eastAsia="標楷體" w:hAnsi="標楷體" w:hint="eastAsia"/>
                <w:color w:val="000000" w:themeColor="text1"/>
                <w:sz w:val="28"/>
                <w:szCs w:val="28"/>
              </w:rPr>
              <w:t>七</w:t>
            </w:r>
            <w:r w:rsidRPr="00AB7E25">
              <w:rPr>
                <w:rFonts w:ascii="標楷體" w:eastAsia="標楷體" w:hAnsi="標楷體"/>
                <w:color w:val="000000" w:themeColor="text1"/>
                <w:sz w:val="28"/>
                <w:szCs w:val="28"/>
              </w:rPr>
              <w:t>條第</w:t>
            </w:r>
            <w:r w:rsidR="00710749">
              <w:rPr>
                <w:rFonts w:ascii="標楷體" w:eastAsia="標楷體" w:hAnsi="標楷體" w:hint="eastAsia"/>
                <w:color w:val="000000" w:themeColor="text1"/>
                <w:sz w:val="28"/>
                <w:szCs w:val="28"/>
              </w:rPr>
              <w:t>一</w:t>
            </w:r>
            <w:r w:rsidRPr="00AB7E25">
              <w:rPr>
                <w:rFonts w:ascii="標楷體" w:eastAsia="標楷體" w:hAnsi="標楷體"/>
                <w:color w:val="000000" w:themeColor="text1"/>
                <w:sz w:val="28"/>
                <w:szCs w:val="28"/>
              </w:rPr>
              <w:t>款規定</w:t>
            </w:r>
            <w:r>
              <w:rPr>
                <w:rFonts w:ascii="標楷體" w:eastAsia="標楷體" w:hAnsi="標楷體" w:hint="eastAsia"/>
                <w:color w:val="000000" w:themeColor="text1"/>
                <w:sz w:val="28"/>
                <w:szCs w:val="28"/>
              </w:rPr>
              <w:t>，要求會員公司訂定</w:t>
            </w:r>
            <w:r w:rsidR="006D50B0">
              <w:rPr>
                <w:rFonts w:ascii="標楷體" w:eastAsia="標楷體" w:hAnsi="標楷體" w:hint="eastAsia"/>
                <w:color w:val="000000" w:themeColor="text1"/>
                <w:sz w:val="28"/>
                <w:szCs w:val="28"/>
              </w:rPr>
              <w:t>之</w:t>
            </w:r>
            <w:r>
              <w:rPr>
                <w:rFonts w:ascii="標楷體" w:eastAsia="標楷體" w:hAnsi="標楷體" w:hint="eastAsia"/>
                <w:color w:val="000000" w:themeColor="text1"/>
                <w:sz w:val="28"/>
                <w:szCs w:val="28"/>
              </w:rPr>
              <w:t>酬金制度應</w:t>
            </w:r>
            <w:r w:rsidR="006D50B0">
              <w:rPr>
                <w:rFonts w:ascii="標楷體" w:eastAsia="標楷體" w:hAnsi="標楷體" w:hint="eastAsia"/>
                <w:color w:val="000000" w:themeColor="text1"/>
                <w:sz w:val="28"/>
                <w:szCs w:val="28"/>
              </w:rPr>
              <w:t>不會有引導業務人員為追求酬金業績而忽略可能引發公司風險、</w:t>
            </w:r>
            <w:r>
              <w:rPr>
                <w:rFonts w:ascii="標楷體" w:eastAsia="標楷體" w:hAnsi="標楷體" w:hint="eastAsia"/>
                <w:color w:val="000000" w:themeColor="text1"/>
                <w:sz w:val="28"/>
                <w:szCs w:val="28"/>
              </w:rPr>
              <w:t>客戶權益</w:t>
            </w:r>
            <w:r w:rsidR="006D50B0">
              <w:rPr>
                <w:rFonts w:ascii="標楷體" w:eastAsia="標楷體" w:hAnsi="標楷體" w:hint="eastAsia"/>
                <w:color w:val="000000" w:themeColor="text1"/>
                <w:sz w:val="28"/>
                <w:szCs w:val="28"/>
              </w:rPr>
              <w:t>、及提供商品或服務應秉持之客觀性與公正性</w:t>
            </w:r>
            <w:r w:rsidRPr="008A23E9">
              <w:rPr>
                <w:rFonts w:ascii="標楷體" w:eastAsia="標楷體" w:hAnsi="標楷體"/>
                <w:color w:val="000000" w:themeColor="text1"/>
                <w:sz w:val="28"/>
                <w:szCs w:val="28"/>
              </w:rPr>
              <w:t>。</w:t>
            </w:r>
          </w:p>
          <w:p w:rsidR="00AA1ECE" w:rsidRDefault="00AA1ECE" w:rsidP="00A439E3">
            <w:pPr>
              <w:pStyle w:val="a3"/>
              <w:numPr>
                <w:ilvl w:val="0"/>
                <w:numId w:val="5"/>
              </w:numPr>
              <w:adjustRightInd w:val="0"/>
              <w:snapToGrid w:val="0"/>
              <w:spacing w:afterLines="50" w:line="320" w:lineRule="exact"/>
              <w:ind w:leftChars="0"/>
              <w:jc w:val="both"/>
              <w:rPr>
                <w:rFonts w:ascii="標楷體" w:eastAsia="標楷體" w:hAnsi="標楷體"/>
                <w:color w:val="000000"/>
                <w:sz w:val="28"/>
                <w:szCs w:val="28"/>
              </w:rPr>
            </w:pPr>
            <w:r w:rsidRPr="00AB7E25">
              <w:rPr>
                <w:rFonts w:ascii="標楷體" w:eastAsia="標楷體" w:hAnsi="標楷體" w:hint="eastAsia"/>
                <w:color w:val="000000"/>
                <w:sz w:val="28"/>
                <w:szCs w:val="28"/>
              </w:rPr>
              <w:t>第</w:t>
            </w:r>
            <w:r w:rsidR="00D67513">
              <w:rPr>
                <w:rFonts w:ascii="標楷體" w:eastAsia="標楷體" w:hAnsi="標楷體" w:hint="eastAsia"/>
                <w:color w:val="000000"/>
                <w:sz w:val="28"/>
                <w:szCs w:val="28"/>
              </w:rPr>
              <w:t>三</w:t>
            </w:r>
            <w:r w:rsidRPr="00AB7E25">
              <w:rPr>
                <w:rFonts w:ascii="標楷體" w:eastAsia="標楷體" w:hAnsi="標楷體" w:hint="eastAsia"/>
                <w:color w:val="000000"/>
                <w:sz w:val="28"/>
                <w:szCs w:val="28"/>
              </w:rPr>
              <w:t>款：</w:t>
            </w:r>
            <w:r w:rsidR="00E71774">
              <w:rPr>
                <w:rFonts w:ascii="標楷體" w:eastAsia="標楷體" w:hAnsi="標楷體" w:hint="eastAsia"/>
                <w:sz w:val="28"/>
                <w:szCs w:val="28"/>
              </w:rPr>
              <w:t>參考</w:t>
            </w:r>
            <w:r w:rsidR="0078051B">
              <w:rPr>
                <w:rFonts w:ascii="標楷體" w:eastAsia="標楷體" w:hAnsi="標楷體" w:hint="eastAsia"/>
                <w:sz w:val="28"/>
                <w:szCs w:val="28"/>
              </w:rPr>
              <w:t>「</w:t>
            </w:r>
            <w:r w:rsidR="00E71774" w:rsidRPr="00AB7E25">
              <w:rPr>
                <w:rFonts w:ascii="標楷體" w:eastAsia="標楷體" w:hAnsi="標楷體" w:hint="eastAsia"/>
                <w:sz w:val="28"/>
                <w:szCs w:val="28"/>
              </w:rPr>
              <w:t>證券櫃檯買賣中心證券商受託買賣有價證券業務人員銷售衍生性金融商品業務規範</w:t>
            </w:r>
            <w:r w:rsidR="009C64EB">
              <w:rPr>
                <w:rFonts w:ascii="標楷體" w:eastAsia="標楷體" w:hAnsi="標楷體" w:hint="eastAsia"/>
                <w:sz w:val="28"/>
                <w:szCs w:val="28"/>
              </w:rPr>
              <w:t>」</w:t>
            </w:r>
            <w:r w:rsidR="00E71774" w:rsidRPr="00AB7E25">
              <w:rPr>
                <w:rFonts w:ascii="標楷體" w:eastAsia="標楷體" w:hAnsi="標楷體" w:hint="eastAsia"/>
                <w:sz w:val="28"/>
                <w:szCs w:val="28"/>
              </w:rPr>
              <w:t>第</w:t>
            </w:r>
            <w:r w:rsidR="00710749">
              <w:rPr>
                <w:rFonts w:ascii="標楷體" w:eastAsia="標楷體" w:hAnsi="標楷體" w:hint="eastAsia"/>
                <w:sz w:val="28"/>
                <w:szCs w:val="28"/>
              </w:rPr>
              <w:t>七</w:t>
            </w:r>
            <w:r w:rsidR="00E71774" w:rsidRPr="00AB7E25">
              <w:rPr>
                <w:rFonts w:ascii="標楷體" w:eastAsia="標楷體" w:hAnsi="標楷體" w:hint="eastAsia"/>
                <w:sz w:val="28"/>
                <w:szCs w:val="28"/>
              </w:rPr>
              <w:t>條第</w:t>
            </w:r>
            <w:r w:rsidR="00710749">
              <w:rPr>
                <w:rFonts w:ascii="標楷體" w:eastAsia="標楷體" w:hAnsi="標楷體" w:hint="eastAsia"/>
                <w:sz w:val="28"/>
                <w:szCs w:val="28"/>
              </w:rPr>
              <w:t>二</w:t>
            </w:r>
            <w:r w:rsidR="00E71774" w:rsidRPr="00AB7E25">
              <w:rPr>
                <w:rFonts w:ascii="標楷體" w:eastAsia="標楷體" w:hAnsi="標楷體" w:hint="eastAsia"/>
                <w:sz w:val="28"/>
                <w:szCs w:val="28"/>
              </w:rPr>
              <w:t>款及</w:t>
            </w:r>
            <w:r w:rsidR="0078051B">
              <w:rPr>
                <w:rFonts w:ascii="標楷體" w:eastAsia="標楷體" w:hAnsi="標楷體" w:hint="eastAsia"/>
                <w:sz w:val="28"/>
                <w:szCs w:val="28"/>
              </w:rPr>
              <w:t>「</w:t>
            </w:r>
            <w:r w:rsidR="00E71774" w:rsidRPr="00AB7E25">
              <w:rPr>
                <w:rFonts w:ascii="標楷體" w:eastAsia="標楷體" w:hAnsi="標楷體" w:hint="eastAsia"/>
                <w:sz w:val="28"/>
                <w:szCs w:val="28"/>
              </w:rPr>
              <w:t>證券商辦理財富管理業務推廣之自律規範</w:t>
            </w:r>
            <w:r w:rsidR="009C64EB">
              <w:rPr>
                <w:rFonts w:ascii="標楷體" w:eastAsia="標楷體" w:hAnsi="標楷體" w:hint="eastAsia"/>
                <w:sz w:val="28"/>
                <w:szCs w:val="28"/>
              </w:rPr>
              <w:t>」</w:t>
            </w:r>
            <w:r w:rsidR="00E71774" w:rsidRPr="00AB7E25">
              <w:rPr>
                <w:rFonts w:ascii="標楷體" w:eastAsia="標楷體" w:hAnsi="標楷體" w:hint="eastAsia"/>
                <w:sz w:val="28"/>
                <w:szCs w:val="28"/>
              </w:rPr>
              <w:t>第</w:t>
            </w:r>
            <w:r w:rsidR="00710749">
              <w:rPr>
                <w:rFonts w:ascii="標楷體" w:eastAsia="標楷體" w:hAnsi="標楷體" w:hint="eastAsia"/>
                <w:sz w:val="28"/>
                <w:szCs w:val="28"/>
              </w:rPr>
              <w:t>四</w:t>
            </w:r>
            <w:r w:rsidR="00E71774" w:rsidRPr="00AB7E25">
              <w:rPr>
                <w:rFonts w:ascii="標楷體" w:eastAsia="標楷體" w:hAnsi="標楷體" w:hint="eastAsia"/>
                <w:sz w:val="28"/>
                <w:szCs w:val="28"/>
              </w:rPr>
              <w:t>條第</w:t>
            </w:r>
            <w:r w:rsidR="00710749">
              <w:rPr>
                <w:rFonts w:ascii="標楷體" w:eastAsia="標楷體" w:hAnsi="標楷體" w:hint="eastAsia"/>
                <w:sz w:val="28"/>
                <w:szCs w:val="28"/>
              </w:rPr>
              <w:t>一</w:t>
            </w:r>
            <w:r w:rsidR="00E71774" w:rsidRPr="00AB7E25">
              <w:rPr>
                <w:rFonts w:ascii="標楷體" w:eastAsia="標楷體" w:hAnsi="標楷體" w:hint="eastAsia"/>
                <w:sz w:val="28"/>
                <w:szCs w:val="28"/>
              </w:rPr>
              <w:t>項第</w:t>
            </w:r>
            <w:r w:rsidR="00710749">
              <w:rPr>
                <w:rFonts w:ascii="標楷體" w:eastAsia="標楷體" w:hAnsi="標楷體" w:hint="eastAsia"/>
                <w:sz w:val="28"/>
                <w:szCs w:val="28"/>
              </w:rPr>
              <w:t>三</w:t>
            </w:r>
            <w:r w:rsidR="00E71774" w:rsidRPr="00AB7E25">
              <w:rPr>
                <w:rFonts w:ascii="標楷體" w:eastAsia="標楷體" w:hAnsi="標楷體" w:hint="eastAsia"/>
                <w:sz w:val="28"/>
                <w:szCs w:val="28"/>
              </w:rPr>
              <w:t>款</w:t>
            </w:r>
            <w:r w:rsidR="00E71774">
              <w:rPr>
                <w:rFonts w:ascii="標楷體" w:eastAsia="標楷體" w:hAnsi="標楷體" w:hint="eastAsia"/>
                <w:sz w:val="28"/>
                <w:szCs w:val="28"/>
              </w:rPr>
              <w:t>規定，但</w:t>
            </w:r>
            <w:r>
              <w:rPr>
                <w:rFonts w:ascii="標楷體" w:eastAsia="標楷體" w:hAnsi="標楷體" w:hint="eastAsia"/>
                <w:sz w:val="28"/>
                <w:szCs w:val="28"/>
              </w:rPr>
              <w:t>考量</w:t>
            </w:r>
            <w:r w:rsidRPr="00AB7E25">
              <w:rPr>
                <w:rFonts w:ascii="標楷體" w:eastAsia="標楷體" w:hAnsi="標楷體" w:hint="eastAsia"/>
                <w:sz w:val="28"/>
                <w:szCs w:val="28"/>
              </w:rPr>
              <w:t>實務運作上不同商品或服務間之酬金差異，係由市場供需、商品架構、公司行銷策略等各種因素所影響，酬金差異</w:t>
            </w:r>
            <w:r w:rsidRPr="00DF6F12">
              <w:rPr>
                <w:rFonts w:ascii="標楷體" w:eastAsia="標楷體" w:hAnsi="標楷體" w:hint="eastAsia"/>
                <w:sz w:val="28"/>
                <w:szCs w:val="28"/>
              </w:rPr>
              <w:t>是否過大</w:t>
            </w:r>
            <w:r>
              <w:rPr>
                <w:rFonts w:ascii="標楷體" w:eastAsia="標楷體" w:hAnsi="標楷體" w:hint="eastAsia"/>
                <w:sz w:val="28"/>
                <w:szCs w:val="28"/>
              </w:rPr>
              <w:t>難有一致性標準，</w:t>
            </w:r>
            <w:proofErr w:type="gramStart"/>
            <w:r>
              <w:rPr>
                <w:rFonts w:ascii="標楷體" w:eastAsia="標楷體" w:hAnsi="標楷體" w:hint="eastAsia"/>
                <w:sz w:val="28"/>
                <w:szCs w:val="28"/>
              </w:rPr>
              <w:t>爰</w:t>
            </w:r>
            <w:proofErr w:type="gramEnd"/>
            <w:r>
              <w:rPr>
                <w:rFonts w:ascii="標楷體" w:eastAsia="標楷體" w:hAnsi="標楷體" w:hint="eastAsia"/>
                <w:sz w:val="28"/>
                <w:szCs w:val="28"/>
              </w:rPr>
              <w:t>本款不要求會員應進行比較</w:t>
            </w:r>
            <w:r>
              <w:rPr>
                <w:rFonts w:ascii="標楷體" w:eastAsia="標楷體" w:hAnsi="標楷體" w:hint="eastAsia"/>
                <w:color w:val="000000"/>
                <w:sz w:val="28"/>
                <w:szCs w:val="28"/>
              </w:rPr>
              <w:t>，</w:t>
            </w:r>
            <w:r w:rsidR="00E71774">
              <w:rPr>
                <w:rFonts w:ascii="標楷體" w:eastAsia="標楷體" w:hAnsi="標楷體" w:hint="eastAsia"/>
                <w:color w:val="000000"/>
                <w:sz w:val="28"/>
                <w:szCs w:val="28"/>
              </w:rPr>
              <w:t>而</w:t>
            </w:r>
            <w:proofErr w:type="gramStart"/>
            <w:r w:rsidRPr="00AB7E25">
              <w:rPr>
                <w:rFonts w:ascii="標楷體" w:eastAsia="標楷體" w:hAnsi="標楷體" w:hint="eastAsia"/>
                <w:color w:val="000000"/>
                <w:sz w:val="28"/>
                <w:szCs w:val="28"/>
              </w:rPr>
              <w:t>予以酌修文字</w:t>
            </w:r>
            <w:proofErr w:type="gramEnd"/>
            <w:r>
              <w:rPr>
                <w:rFonts w:ascii="標楷體" w:eastAsia="標楷體" w:hAnsi="標楷體" w:hint="eastAsia"/>
                <w:color w:val="000000"/>
                <w:sz w:val="28"/>
                <w:szCs w:val="28"/>
              </w:rPr>
              <w:t>，</w:t>
            </w:r>
            <w:r w:rsidR="009037C0">
              <w:rPr>
                <w:rFonts w:ascii="標楷體" w:eastAsia="標楷體" w:hAnsi="標楷體" w:hint="eastAsia"/>
                <w:color w:val="000000"/>
                <w:sz w:val="28"/>
                <w:szCs w:val="28"/>
              </w:rPr>
              <w:t>要求</w:t>
            </w:r>
            <w:r w:rsidR="008F2AC3">
              <w:rPr>
                <w:rFonts w:ascii="標楷體" w:eastAsia="標楷體" w:hAnsi="標楷體" w:hint="eastAsia"/>
                <w:color w:val="000000" w:themeColor="text1"/>
                <w:sz w:val="28"/>
                <w:szCs w:val="28"/>
              </w:rPr>
              <w:t>會員</w:t>
            </w:r>
            <w:r w:rsidR="00DF1CE7">
              <w:rPr>
                <w:rFonts w:ascii="標楷體" w:eastAsia="標楷體" w:hAnsi="標楷體" w:hint="eastAsia"/>
                <w:color w:val="000000" w:themeColor="text1"/>
                <w:sz w:val="28"/>
                <w:szCs w:val="28"/>
              </w:rPr>
              <w:t>對各種金融商品或服務</w:t>
            </w:r>
            <w:r w:rsidR="008F2AC3">
              <w:rPr>
                <w:rFonts w:ascii="標楷體" w:eastAsia="標楷體" w:hAnsi="標楷體" w:hint="eastAsia"/>
                <w:color w:val="000000" w:themeColor="text1"/>
                <w:sz w:val="28"/>
                <w:szCs w:val="28"/>
              </w:rPr>
              <w:t>所訂</w:t>
            </w:r>
            <w:r w:rsidR="00DF1CE7">
              <w:rPr>
                <w:rFonts w:ascii="標楷體" w:eastAsia="標楷體" w:hAnsi="標楷體" w:hint="eastAsia"/>
                <w:color w:val="000000" w:themeColor="text1"/>
                <w:sz w:val="28"/>
                <w:szCs w:val="28"/>
              </w:rPr>
              <w:t>之酬金</w:t>
            </w:r>
            <w:r w:rsidR="008F2AC3">
              <w:rPr>
                <w:rFonts w:ascii="標楷體" w:eastAsia="標楷體" w:hAnsi="標楷體" w:hint="eastAsia"/>
                <w:color w:val="000000" w:themeColor="text1"/>
                <w:sz w:val="28"/>
                <w:szCs w:val="28"/>
              </w:rPr>
              <w:t>，</w:t>
            </w:r>
            <w:r w:rsidR="00DF1CE7">
              <w:rPr>
                <w:rFonts w:ascii="標楷體" w:eastAsia="標楷體" w:hAnsi="標楷體" w:hint="eastAsia"/>
                <w:color w:val="000000" w:themeColor="text1"/>
                <w:sz w:val="28"/>
                <w:szCs w:val="28"/>
              </w:rPr>
              <w:t>應具合理性不得差異過大，以免引發業務人員忽視客戶權益而</w:t>
            </w:r>
            <w:proofErr w:type="gramStart"/>
            <w:r w:rsidR="00DF1CE7">
              <w:rPr>
                <w:rFonts w:ascii="標楷體" w:eastAsia="標楷體" w:hAnsi="標楷體" w:hint="eastAsia"/>
                <w:color w:val="000000" w:themeColor="text1"/>
                <w:sz w:val="28"/>
                <w:szCs w:val="28"/>
              </w:rPr>
              <w:t>專對顯不</w:t>
            </w:r>
            <w:proofErr w:type="gramEnd"/>
            <w:r w:rsidR="00DF1CE7">
              <w:rPr>
                <w:rFonts w:ascii="標楷體" w:eastAsia="標楷體" w:hAnsi="標楷體" w:hint="eastAsia"/>
                <w:color w:val="000000" w:themeColor="text1"/>
                <w:sz w:val="28"/>
                <w:szCs w:val="28"/>
              </w:rPr>
              <w:t>合理之高酬金金融商品或服務進行銷售或提供服務</w:t>
            </w:r>
            <w:r w:rsidRPr="008A23E9">
              <w:rPr>
                <w:rFonts w:ascii="標楷體" w:eastAsia="標楷體" w:hAnsi="標楷體"/>
                <w:color w:val="000000" w:themeColor="text1"/>
                <w:sz w:val="28"/>
                <w:szCs w:val="28"/>
              </w:rPr>
              <w:t>。</w:t>
            </w:r>
          </w:p>
          <w:p w:rsidR="00AA1ECE" w:rsidRPr="00AB7E25" w:rsidRDefault="00AA1ECE" w:rsidP="00A439E3">
            <w:pPr>
              <w:pStyle w:val="a3"/>
              <w:numPr>
                <w:ilvl w:val="0"/>
                <w:numId w:val="5"/>
              </w:numPr>
              <w:adjustRightInd w:val="0"/>
              <w:snapToGrid w:val="0"/>
              <w:spacing w:afterLines="50" w:line="320" w:lineRule="exact"/>
              <w:ind w:leftChars="0"/>
              <w:jc w:val="both"/>
              <w:rPr>
                <w:rFonts w:ascii="標楷體" w:eastAsia="標楷體" w:hAnsi="標楷體"/>
                <w:color w:val="000000"/>
                <w:sz w:val="28"/>
                <w:szCs w:val="28"/>
              </w:rPr>
            </w:pPr>
            <w:r w:rsidRPr="00AB7E25">
              <w:rPr>
                <w:rFonts w:ascii="標楷體" w:eastAsia="標楷體" w:hAnsi="標楷體" w:hint="eastAsia"/>
                <w:sz w:val="28"/>
                <w:szCs w:val="28"/>
              </w:rPr>
              <w:t>第</w:t>
            </w:r>
            <w:r w:rsidR="00D67513">
              <w:rPr>
                <w:rFonts w:ascii="標楷體" w:eastAsia="標楷體" w:hAnsi="標楷體" w:hint="eastAsia"/>
                <w:sz w:val="28"/>
                <w:szCs w:val="28"/>
              </w:rPr>
              <w:t>四</w:t>
            </w:r>
            <w:r w:rsidRPr="00AB7E25">
              <w:rPr>
                <w:rFonts w:ascii="標楷體" w:eastAsia="標楷體" w:hAnsi="標楷體" w:hint="eastAsia"/>
                <w:sz w:val="28"/>
                <w:szCs w:val="28"/>
              </w:rPr>
              <w:t>款:</w:t>
            </w:r>
            <w:r w:rsidRPr="00AB7E25">
              <w:rPr>
                <w:rFonts w:ascii="標楷體" w:eastAsia="標楷體" w:hAnsi="標楷體"/>
                <w:color w:val="000000" w:themeColor="text1"/>
                <w:sz w:val="28"/>
                <w:szCs w:val="28"/>
              </w:rPr>
              <w:t>參考</w:t>
            </w:r>
            <w:r w:rsidR="0078051B">
              <w:rPr>
                <w:rFonts w:ascii="標楷體" w:eastAsia="標楷體" w:hAnsi="標楷體"/>
                <w:color w:val="000000" w:themeColor="text1"/>
                <w:sz w:val="28"/>
                <w:szCs w:val="28"/>
              </w:rPr>
              <w:t>「</w:t>
            </w:r>
            <w:r w:rsidRPr="00AB7E25">
              <w:rPr>
                <w:rFonts w:ascii="標楷體" w:eastAsia="標楷體" w:hAnsi="標楷體"/>
                <w:color w:val="000000" w:themeColor="text1"/>
                <w:sz w:val="28"/>
                <w:szCs w:val="28"/>
              </w:rPr>
              <w:t>證券櫃檯買賣中心證券商受託買賣有價證券業務人員銷售衍生性金融商品業務規範</w:t>
            </w:r>
            <w:r w:rsidR="009C64EB">
              <w:rPr>
                <w:rFonts w:ascii="標楷體" w:eastAsia="標楷體" w:hAnsi="標楷體"/>
                <w:color w:val="000000" w:themeColor="text1"/>
                <w:sz w:val="28"/>
                <w:szCs w:val="28"/>
              </w:rPr>
              <w:t>」</w:t>
            </w:r>
            <w:r w:rsidRPr="00AB7E25">
              <w:rPr>
                <w:rFonts w:ascii="標楷體" w:eastAsia="標楷體" w:hAnsi="標楷體"/>
                <w:color w:val="000000" w:themeColor="text1"/>
                <w:sz w:val="28"/>
                <w:szCs w:val="28"/>
              </w:rPr>
              <w:t>第</w:t>
            </w:r>
            <w:r w:rsidR="00710749">
              <w:rPr>
                <w:rFonts w:ascii="標楷體" w:eastAsia="標楷體" w:hAnsi="標楷體" w:hint="eastAsia"/>
                <w:color w:val="000000" w:themeColor="text1"/>
                <w:sz w:val="28"/>
                <w:szCs w:val="28"/>
              </w:rPr>
              <w:t>七</w:t>
            </w:r>
            <w:r w:rsidRPr="00AB7E25">
              <w:rPr>
                <w:rFonts w:ascii="標楷體" w:eastAsia="標楷體" w:hAnsi="標楷體"/>
                <w:color w:val="000000" w:themeColor="text1"/>
                <w:sz w:val="28"/>
                <w:szCs w:val="28"/>
              </w:rPr>
              <w:t>條第</w:t>
            </w:r>
            <w:r w:rsidR="00710749">
              <w:rPr>
                <w:rFonts w:ascii="標楷體" w:eastAsia="標楷體" w:hAnsi="標楷體" w:hint="eastAsia"/>
                <w:color w:val="000000" w:themeColor="text1"/>
                <w:sz w:val="28"/>
                <w:szCs w:val="28"/>
              </w:rPr>
              <w:t>三</w:t>
            </w:r>
            <w:r w:rsidRPr="00AB7E25">
              <w:rPr>
                <w:rFonts w:ascii="標楷體" w:eastAsia="標楷體" w:hAnsi="標楷體"/>
                <w:color w:val="000000" w:themeColor="text1"/>
                <w:sz w:val="28"/>
                <w:szCs w:val="28"/>
              </w:rPr>
              <w:t>款及</w:t>
            </w:r>
            <w:r w:rsidR="0078051B">
              <w:rPr>
                <w:rFonts w:ascii="標楷體" w:eastAsia="標楷體" w:hAnsi="標楷體"/>
                <w:color w:val="000000" w:themeColor="text1"/>
                <w:sz w:val="28"/>
                <w:szCs w:val="28"/>
              </w:rPr>
              <w:t>「</w:t>
            </w:r>
            <w:r w:rsidRPr="00AB7E25">
              <w:rPr>
                <w:rFonts w:ascii="標楷體" w:eastAsia="標楷體" w:hAnsi="標楷體"/>
                <w:color w:val="000000" w:themeColor="text1"/>
                <w:sz w:val="28"/>
                <w:szCs w:val="28"/>
              </w:rPr>
              <w:t>證券商辦理財富管理業務推廣之自律規範</w:t>
            </w:r>
            <w:r w:rsidR="009C64EB">
              <w:rPr>
                <w:rFonts w:ascii="標楷體" w:eastAsia="標楷體" w:hAnsi="標楷體"/>
                <w:color w:val="000000" w:themeColor="text1"/>
                <w:sz w:val="28"/>
                <w:szCs w:val="28"/>
              </w:rPr>
              <w:t>」</w:t>
            </w:r>
            <w:r w:rsidRPr="00AB7E25">
              <w:rPr>
                <w:rFonts w:ascii="標楷體" w:eastAsia="標楷體" w:hAnsi="標楷體"/>
                <w:color w:val="000000" w:themeColor="text1"/>
                <w:sz w:val="28"/>
                <w:szCs w:val="28"/>
              </w:rPr>
              <w:t>第</w:t>
            </w:r>
            <w:r w:rsidR="00710749">
              <w:rPr>
                <w:rFonts w:ascii="標楷體" w:eastAsia="標楷體" w:hAnsi="標楷體" w:hint="eastAsia"/>
                <w:color w:val="000000" w:themeColor="text1"/>
                <w:sz w:val="28"/>
                <w:szCs w:val="28"/>
              </w:rPr>
              <w:t>四</w:t>
            </w:r>
            <w:r w:rsidRPr="00AB7E25">
              <w:rPr>
                <w:rFonts w:ascii="標楷體" w:eastAsia="標楷體" w:hAnsi="標楷體"/>
                <w:color w:val="000000" w:themeColor="text1"/>
                <w:sz w:val="28"/>
                <w:szCs w:val="28"/>
              </w:rPr>
              <w:t>條第</w:t>
            </w:r>
            <w:r w:rsidR="00710749">
              <w:rPr>
                <w:rFonts w:ascii="標楷體" w:eastAsia="標楷體" w:hAnsi="標楷體" w:hint="eastAsia"/>
                <w:color w:val="000000" w:themeColor="text1"/>
                <w:sz w:val="28"/>
                <w:szCs w:val="28"/>
              </w:rPr>
              <w:t>一</w:t>
            </w:r>
            <w:r w:rsidRPr="00AB7E25">
              <w:rPr>
                <w:rFonts w:ascii="標楷體" w:eastAsia="標楷體" w:hAnsi="標楷體"/>
                <w:color w:val="000000" w:themeColor="text1"/>
                <w:sz w:val="28"/>
                <w:szCs w:val="28"/>
              </w:rPr>
              <w:t>項第</w:t>
            </w:r>
            <w:r w:rsidR="00710749">
              <w:rPr>
                <w:rFonts w:ascii="標楷體" w:eastAsia="標楷體" w:hAnsi="標楷體" w:hint="eastAsia"/>
                <w:color w:val="000000" w:themeColor="text1"/>
                <w:sz w:val="28"/>
                <w:szCs w:val="28"/>
              </w:rPr>
              <w:t>四</w:t>
            </w:r>
            <w:r w:rsidRPr="00AB7E25">
              <w:rPr>
                <w:rFonts w:ascii="標楷體" w:eastAsia="標楷體" w:hAnsi="標楷體"/>
                <w:color w:val="000000" w:themeColor="text1"/>
                <w:sz w:val="28"/>
                <w:szCs w:val="28"/>
              </w:rPr>
              <w:t>款規定，</w:t>
            </w:r>
            <w:proofErr w:type="gramStart"/>
            <w:r w:rsidRPr="00AB7E25">
              <w:rPr>
                <w:rFonts w:ascii="標楷體" w:eastAsia="標楷體" w:hAnsi="標楷體"/>
                <w:color w:val="000000" w:themeColor="text1"/>
                <w:sz w:val="28"/>
                <w:szCs w:val="28"/>
              </w:rPr>
              <w:t>並酌修文字</w:t>
            </w:r>
            <w:proofErr w:type="gramEnd"/>
            <w:r>
              <w:rPr>
                <w:rFonts w:ascii="標楷體" w:eastAsia="標楷體" w:hAnsi="標楷體" w:hint="eastAsia"/>
                <w:color w:val="000000"/>
                <w:sz w:val="28"/>
                <w:szCs w:val="28"/>
              </w:rPr>
              <w:t>，</w:t>
            </w:r>
            <w:r w:rsidR="009037C0">
              <w:rPr>
                <w:rFonts w:ascii="標楷體" w:eastAsia="標楷體" w:hAnsi="標楷體" w:hint="eastAsia"/>
                <w:color w:val="000000"/>
                <w:sz w:val="28"/>
                <w:szCs w:val="28"/>
              </w:rPr>
              <w:t>要求</w:t>
            </w:r>
            <w:r>
              <w:rPr>
                <w:rFonts w:ascii="標楷體" w:eastAsia="標楷體" w:hAnsi="標楷體" w:hint="eastAsia"/>
                <w:color w:val="000000" w:themeColor="text1"/>
                <w:sz w:val="28"/>
                <w:szCs w:val="28"/>
              </w:rPr>
              <w:t>會員</w:t>
            </w:r>
            <w:r w:rsidR="009037C0">
              <w:rPr>
                <w:rFonts w:ascii="標楷體" w:eastAsia="標楷體" w:hAnsi="標楷體" w:hint="eastAsia"/>
                <w:color w:val="000000" w:themeColor="text1"/>
                <w:sz w:val="28"/>
                <w:szCs w:val="28"/>
              </w:rPr>
              <w:t>酬金制度</w:t>
            </w:r>
            <w:r>
              <w:rPr>
                <w:rFonts w:ascii="標楷體" w:eastAsia="標楷體" w:hAnsi="標楷體" w:hint="eastAsia"/>
                <w:color w:val="000000" w:themeColor="text1"/>
                <w:sz w:val="28"/>
                <w:szCs w:val="28"/>
              </w:rPr>
              <w:t>應考量客戶權益</w:t>
            </w:r>
            <w:r w:rsidR="00C968B6">
              <w:rPr>
                <w:rFonts w:ascii="標楷體" w:eastAsia="標楷體" w:hAnsi="標楷體" w:hint="eastAsia"/>
                <w:color w:val="000000" w:themeColor="text1"/>
                <w:sz w:val="28"/>
                <w:szCs w:val="28"/>
              </w:rPr>
              <w:t>，避免業務人員</w:t>
            </w:r>
            <w:proofErr w:type="gramStart"/>
            <w:r w:rsidR="00C968B6">
              <w:rPr>
                <w:rFonts w:ascii="標楷體" w:eastAsia="標楷體" w:hAnsi="標楷體" w:hint="eastAsia"/>
                <w:color w:val="000000" w:themeColor="text1"/>
                <w:sz w:val="28"/>
                <w:szCs w:val="28"/>
              </w:rPr>
              <w:t>有於顯不</w:t>
            </w:r>
            <w:proofErr w:type="gramEnd"/>
            <w:r w:rsidR="00C968B6">
              <w:rPr>
                <w:rFonts w:ascii="標楷體" w:eastAsia="標楷體" w:hAnsi="標楷體" w:hint="eastAsia"/>
                <w:color w:val="000000" w:themeColor="text1"/>
                <w:sz w:val="28"/>
                <w:szCs w:val="28"/>
              </w:rPr>
              <w:t>相當之</w:t>
            </w:r>
            <w:proofErr w:type="gramStart"/>
            <w:r w:rsidR="00C968B6">
              <w:rPr>
                <w:rFonts w:ascii="標楷體" w:eastAsia="標楷體" w:hAnsi="標楷體" w:hint="eastAsia"/>
                <w:color w:val="000000" w:themeColor="text1"/>
                <w:sz w:val="28"/>
                <w:szCs w:val="28"/>
              </w:rPr>
              <w:t>短期間內勸誘</w:t>
            </w:r>
            <w:proofErr w:type="gramEnd"/>
            <w:r w:rsidR="00C968B6">
              <w:rPr>
                <w:rFonts w:ascii="標楷體" w:eastAsia="標楷體" w:hAnsi="標楷體" w:hint="eastAsia"/>
                <w:color w:val="000000" w:themeColor="text1"/>
                <w:sz w:val="28"/>
                <w:szCs w:val="28"/>
              </w:rPr>
              <w:t>客戶頻繁交易以不當賺取酬金</w:t>
            </w:r>
            <w:r w:rsidR="009037C0">
              <w:rPr>
                <w:rFonts w:ascii="標楷體" w:eastAsia="標楷體" w:hAnsi="標楷體" w:hint="eastAsia"/>
                <w:color w:val="000000" w:themeColor="text1"/>
                <w:sz w:val="28"/>
                <w:szCs w:val="28"/>
              </w:rPr>
              <w:t>之情事</w:t>
            </w:r>
            <w:r w:rsidRPr="00AB7E25">
              <w:rPr>
                <w:rFonts w:ascii="標楷體" w:eastAsia="標楷體" w:hAnsi="標楷體"/>
                <w:color w:val="000000" w:themeColor="text1"/>
                <w:sz w:val="28"/>
                <w:szCs w:val="28"/>
              </w:rPr>
              <w:t>。</w:t>
            </w:r>
          </w:p>
          <w:p w:rsidR="00AA1ECE" w:rsidRPr="00E619A8" w:rsidRDefault="00AA1ECE" w:rsidP="00A439E3">
            <w:pPr>
              <w:pStyle w:val="a3"/>
              <w:numPr>
                <w:ilvl w:val="0"/>
                <w:numId w:val="5"/>
              </w:numPr>
              <w:adjustRightInd w:val="0"/>
              <w:snapToGrid w:val="0"/>
              <w:spacing w:afterLines="50" w:line="320" w:lineRule="exact"/>
              <w:ind w:leftChars="0"/>
              <w:jc w:val="both"/>
              <w:rPr>
                <w:rFonts w:ascii="標楷體" w:eastAsia="標楷體" w:hAnsi="標楷體"/>
                <w:color w:val="000000"/>
                <w:sz w:val="28"/>
                <w:szCs w:val="28"/>
              </w:rPr>
            </w:pPr>
            <w:r>
              <w:rPr>
                <w:rFonts w:ascii="標楷體" w:eastAsia="標楷體" w:hAnsi="標楷體"/>
                <w:color w:val="000000" w:themeColor="text1"/>
                <w:sz w:val="28"/>
                <w:szCs w:val="28"/>
              </w:rPr>
              <w:t>第</w:t>
            </w:r>
            <w:r w:rsidR="00D67513">
              <w:rPr>
                <w:rFonts w:ascii="標楷體" w:eastAsia="標楷體" w:hAnsi="標楷體" w:hint="eastAsia"/>
                <w:color w:val="000000" w:themeColor="text1"/>
                <w:sz w:val="28"/>
                <w:szCs w:val="28"/>
              </w:rPr>
              <w:t>五</w:t>
            </w:r>
            <w:r>
              <w:rPr>
                <w:rFonts w:ascii="標楷體" w:eastAsia="標楷體" w:hAnsi="標楷體"/>
                <w:color w:val="000000" w:themeColor="text1"/>
                <w:sz w:val="28"/>
                <w:szCs w:val="28"/>
              </w:rPr>
              <w:t>款：</w:t>
            </w:r>
            <w:r w:rsidR="003F2CE0" w:rsidRPr="00AB7E25">
              <w:rPr>
                <w:rFonts w:ascii="標楷體" w:eastAsia="標楷體" w:hAnsi="標楷體"/>
                <w:color w:val="000000" w:themeColor="text1"/>
                <w:sz w:val="28"/>
                <w:szCs w:val="28"/>
              </w:rPr>
              <w:t>參考</w:t>
            </w:r>
            <w:r w:rsidR="0078051B">
              <w:rPr>
                <w:rFonts w:ascii="標楷體" w:eastAsia="標楷體" w:hAnsi="標楷體"/>
                <w:color w:val="000000" w:themeColor="text1"/>
                <w:sz w:val="28"/>
                <w:szCs w:val="28"/>
              </w:rPr>
              <w:t>「</w:t>
            </w:r>
            <w:r w:rsidR="003F2CE0" w:rsidRPr="00AB7E25">
              <w:rPr>
                <w:rFonts w:ascii="標楷體" w:eastAsia="標楷體" w:hAnsi="標楷體"/>
                <w:color w:val="000000" w:themeColor="text1"/>
                <w:sz w:val="28"/>
                <w:szCs w:val="28"/>
              </w:rPr>
              <w:t>證券櫃檯買賣中心證券商經營衍生性金融商品交易業務規則</w:t>
            </w:r>
            <w:r w:rsidR="009C64EB">
              <w:rPr>
                <w:rFonts w:ascii="標楷體" w:eastAsia="標楷體" w:hAnsi="標楷體"/>
                <w:color w:val="000000" w:themeColor="text1"/>
                <w:sz w:val="28"/>
                <w:szCs w:val="28"/>
              </w:rPr>
              <w:t>」</w:t>
            </w:r>
            <w:r w:rsidR="003F2CE0" w:rsidRPr="00AB7E25">
              <w:rPr>
                <w:rFonts w:ascii="標楷體" w:eastAsia="標楷體" w:hAnsi="標楷體"/>
                <w:color w:val="000000" w:themeColor="text1"/>
                <w:sz w:val="28"/>
                <w:szCs w:val="28"/>
              </w:rPr>
              <w:t>第</w:t>
            </w:r>
            <w:r w:rsidR="00710749">
              <w:rPr>
                <w:rFonts w:ascii="標楷體" w:eastAsia="標楷體" w:hAnsi="標楷體" w:hint="eastAsia"/>
                <w:color w:val="000000" w:themeColor="text1"/>
                <w:sz w:val="28"/>
                <w:szCs w:val="28"/>
              </w:rPr>
              <w:t>四十四</w:t>
            </w:r>
            <w:r w:rsidR="003F2CE0" w:rsidRPr="00AB7E25">
              <w:rPr>
                <w:rFonts w:ascii="標楷體" w:eastAsia="標楷體" w:hAnsi="標楷體"/>
                <w:color w:val="000000" w:themeColor="text1"/>
                <w:sz w:val="28"/>
                <w:szCs w:val="28"/>
              </w:rPr>
              <w:t>條第</w:t>
            </w:r>
            <w:r w:rsidR="00710749">
              <w:rPr>
                <w:rFonts w:ascii="標楷體" w:eastAsia="標楷體" w:hAnsi="標楷體" w:hint="eastAsia"/>
                <w:color w:val="000000" w:themeColor="text1"/>
                <w:sz w:val="28"/>
                <w:szCs w:val="28"/>
              </w:rPr>
              <w:t>一</w:t>
            </w:r>
            <w:r w:rsidR="003F2CE0" w:rsidRPr="00AB7E25">
              <w:rPr>
                <w:rFonts w:ascii="標楷體" w:eastAsia="標楷體" w:hAnsi="標楷體"/>
                <w:color w:val="000000" w:themeColor="text1"/>
                <w:sz w:val="28"/>
                <w:szCs w:val="28"/>
              </w:rPr>
              <w:t>項第</w:t>
            </w:r>
            <w:r w:rsidR="00710749">
              <w:rPr>
                <w:rFonts w:ascii="標楷體" w:eastAsia="標楷體" w:hAnsi="標楷體" w:hint="eastAsia"/>
                <w:color w:val="000000" w:themeColor="text1"/>
                <w:sz w:val="28"/>
                <w:szCs w:val="28"/>
              </w:rPr>
              <w:t>五</w:t>
            </w:r>
            <w:r w:rsidR="003F2CE0" w:rsidRPr="00AB7E25">
              <w:rPr>
                <w:rFonts w:ascii="標楷體" w:eastAsia="標楷體" w:hAnsi="標楷體"/>
                <w:color w:val="000000" w:themeColor="text1"/>
                <w:sz w:val="28"/>
                <w:szCs w:val="28"/>
              </w:rPr>
              <w:t>款</w:t>
            </w:r>
            <w:r w:rsidR="003F2CE0">
              <w:rPr>
                <w:rFonts w:ascii="標楷體" w:eastAsia="標楷體" w:hAnsi="標楷體"/>
                <w:color w:val="000000" w:themeColor="text1"/>
                <w:sz w:val="28"/>
                <w:szCs w:val="28"/>
              </w:rPr>
              <w:t>規定，提醒會員</w:t>
            </w:r>
            <w:r w:rsidR="008F2AC3">
              <w:rPr>
                <w:rFonts w:ascii="標楷體" w:eastAsia="標楷體" w:hAnsi="標楷體"/>
                <w:color w:val="000000" w:themeColor="text1"/>
                <w:sz w:val="28"/>
                <w:szCs w:val="28"/>
              </w:rPr>
              <w:t>公司</w:t>
            </w:r>
            <w:r w:rsidR="003F2CE0">
              <w:rPr>
                <w:rFonts w:ascii="標楷體" w:eastAsia="標楷體" w:hAnsi="標楷體" w:hint="eastAsia"/>
                <w:color w:val="000000" w:themeColor="text1"/>
                <w:sz w:val="28"/>
                <w:szCs w:val="28"/>
              </w:rPr>
              <w:t>酬金制度應避免</w:t>
            </w:r>
            <w:r w:rsidR="00B33C3E">
              <w:rPr>
                <w:rFonts w:ascii="標楷體" w:eastAsia="標楷體" w:hAnsi="標楷體" w:hint="eastAsia"/>
                <w:color w:val="000000" w:themeColor="text1"/>
                <w:sz w:val="28"/>
                <w:szCs w:val="28"/>
              </w:rPr>
              <w:t>直接</w:t>
            </w:r>
            <w:r w:rsidR="003F2CE0">
              <w:rPr>
                <w:rFonts w:ascii="標楷體" w:eastAsia="標楷體" w:hAnsi="標楷體" w:hint="eastAsia"/>
                <w:color w:val="000000" w:themeColor="text1"/>
                <w:sz w:val="28"/>
                <w:szCs w:val="28"/>
              </w:rPr>
              <w:t>與特定商品或服務之業績連結，且除考量財務指標</w:t>
            </w:r>
            <w:r w:rsidR="00B33C3E">
              <w:rPr>
                <w:rFonts w:ascii="標楷體" w:eastAsia="標楷體" w:hAnsi="標楷體" w:hint="eastAsia"/>
                <w:color w:val="000000" w:themeColor="text1"/>
                <w:sz w:val="28"/>
                <w:szCs w:val="28"/>
              </w:rPr>
              <w:t>之業績</w:t>
            </w:r>
            <w:r w:rsidR="003F2CE0">
              <w:rPr>
                <w:rFonts w:ascii="標楷體" w:eastAsia="標楷體" w:hAnsi="標楷體" w:hint="eastAsia"/>
                <w:color w:val="000000" w:themeColor="text1"/>
                <w:sz w:val="28"/>
                <w:szCs w:val="28"/>
              </w:rPr>
              <w:t>外，</w:t>
            </w:r>
            <w:r w:rsidR="003F2CE0">
              <w:rPr>
                <w:rFonts w:ascii="標楷體" w:eastAsia="標楷體" w:hAnsi="標楷體" w:hint="eastAsia"/>
                <w:color w:val="000000" w:themeColor="text1"/>
                <w:sz w:val="28"/>
                <w:szCs w:val="28"/>
              </w:rPr>
              <w:lastRenderedPageBreak/>
              <w:t>並應綜合考量非財務指標</w:t>
            </w:r>
            <w:r w:rsidR="003F2CE0" w:rsidRPr="00AB7E25">
              <w:rPr>
                <w:rFonts w:ascii="標楷體" w:eastAsia="標楷體" w:hAnsi="標楷體"/>
                <w:color w:val="000000" w:themeColor="text1"/>
                <w:sz w:val="28"/>
                <w:szCs w:val="28"/>
              </w:rPr>
              <w:t>。</w:t>
            </w:r>
            <w:r w:rsidR="00B33C3E">
              <w:rPr>
                <w:rFonts w:ascii="標楷體" w:eastAsia="標楷體" w:hAnsi="標楷體" w:hint="eastAsia"/>
                <w:color w:val="000000" w:themeColor="text1"/>
                <w:sz w:val="28"/>
                <w:szCs w:val="28"/>
              </w:rPr>
              <w:t>至</w:t>
            </w:r>
            <w:r w:rsidR="003F2CE0">
              <w:rPr>
                <w:rFonts w:ascii="標楷體" w:eastAsia="標楷體" w:hAnsi="標楷體" w:hint="eastAsia"/>
                <w:color w:val="000000" w:themeColor="text1"/>
                <w:sz w:val="28"/>
                <w:szCs w:val="28"/>
              </w:rPr>
              <w:t>非財務指標所應包含之項目則回歸由各會員公司依其個別差異性而自行納入所應考量之</w:t>
            </w:r>
            <w:r w:rsidR="001B0402">
              <w:rPr>
                <w:rFonts w:ascii="標楷體" w:eastAsia="標楷體" w:hAnsi="標楷體" w:hint="eastAsia"/>
                <w:color w:val="000000" w:themeColor="text1"/>
                <w:sz w:val="28"/>
                <w:szCs w:val="28"/>
              </w:rPr>
              <w:t>指標</w:t>
            </w:r>
            <w:r w:rsidR="003F2CE0">
              <w:rPr>
                <w:rFonts w:ascii="標楷體" w:eastAsia="標楷體" w:hAnsi="標楷體" w:hint="eastAsia"/>
                <w:color w:val="000000" w:themeColor="text1"/>
                <w:sz w:val="28"/>
                <w:szCs w:val="28"/>
              </w:rPr>
              <w:t>因素。</w:t>
            </w:r>
            <w:r w:rsidR="003F2CE0" w:rsidRPr="00E619A8">
              <w:rPr>
                <w:rFonts w:ascii="標楷體" w:eastAsia="標楷體" w:hAnsi="標楷體" w:hint="eastAsia"/>
                <w:color w:val="000000"/>
                <w:sz w:val="28"/>
                <w:szCs w:val="28"/>
              </w:rPr>
              <w:t xml:space="preserve"> </w:t>
            </w:r>
          </w:p>
          <w:p w:rsidR="000A5317" w:rsidRPr="001E5886" w:rsidRDefault="000A5317" w:rsidP="00A439E3">
            <w:pPr>
              <w:pStyle w:val="a3"/>
              <w:adjustRightInd w:val="0"/>
              <w:snapToGrid w:val="0"/>
              <w:spacing w:afterLines="50" w:line="320" w:lineRule="exact"/>
              <w:ind w:leftChars="0" w:left="317"/>
              <w:jc w:val="both"/>
              <w:rPr>
                <w:rFonts w:ascii="標楷體" w:eastAsia="標楷體" w:hAnsi="標楷體"/>
                <w:color w:val="000000"/>
                <w:sz w:val="28"/>
                <w:szCs w:val="28"/>
              </w:rPr>
            </w:pPr>
          </w:p>
          <w:p w:rsidR="00D67513" w:rsidRPr="00480980" w:rsidRDefault="00D67513" w:rsidP="00A439E3">
            <w:pPr>
              <w:adjustRightInd w:val="0"/>
              <w:snapToGrid w:val="0"/>
              <w:spacing w:afterLines="50" w:line="320" w:lineRule="exact"/>
              <w:ind w:left="-43"/>
              <w:jc w:val="both"/>
              <w:rPr>
                <w:rFonts w:ascii="標楷體" w:eastAsia="標楷體" w:hAnsi="標楷體"/>
                <w:color w:val="000000" w:themeColor="text1"/>
                <w:sz w:val="28"/>
                <w:szCs w:val="28"/>
              </w:rPr>
            </w:pPr>
            <w:r w:rsidRPr="00480980">
              <w:rPr>
                <w:rFonts w:ascii="標楷體" w:eastAsia="標楷體" w:hAnsi="標楷體" w:hint="eastAsia"/>
                <w:color w:val="000000" w:themeColor="text1"/>
                <w:sz w:val="28"/>
                <w:szCs w:val="28"/>
              </w:rPr>
              <w:t>第三項說明:</w:t>
            </w:r>
          </w:p>
          <w:p w:rsidR="00D67513" w:rsidRPr="00D67513" w:rsidRDefault="004E2290" w:rsidP="00A439E3">
            <w:pPr>
              <w:adjustRightInd w:val="0"/>
              <w:snapToGrid w:val="0"/>
              <w:spacing w:afterLines="5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依據</w:t>
            </w:r>
            <w:r w:rsidR="00D67513" w:rsidRPr="00D67513">
              <w:rPr>
                <w:rFonts w:ascii="標楷體" w:eastAsia="標楷體" w:hAnsi="標楷體" w:hint="eastAsia"/>
                <w:color w:val="000000"/>
                <w:sz w:val="28"/>
                <w:szCs w:val="28"/>
              </w:rPr>
              <w:t>金融消費者保護法</w:t>
            </w:r>
            <w:r w:rsidR="00710749">
              <w:rPr>
                <w:rFonts w:ascii="標楷體" w:eastAsia="標楷體" w:hAnsi="標楷體" w:hint="eastAsia"/>
                <w:color w:val="000000"/>
                <w:sz w:val="28"/>
                <w:szCs w:val="28"/>
              </w:rPr>
              <w:t>第十一條之一</w:t>
            </w:r>
            <w:r w:rsidR="00D67513" w:rsidRPr="00D67513">
              <w:rPr>
                <w:rFonts w:ascii="標楷體" w:eastAsia="標楷體" w:hAnsi="標楷體" w:hint="eastAsia"/>
                <w:color w:val="000000"/>
                <w:sz w:val="28"/>
                <w:szCs w:val="28"/>
              </w:rPr>
              <w:t>第二項</w:t>
            </w:r>
            <w:r>
              <w:rPr>
                <w:rFonts w:ascii="標楷體" w:eastAsia="標楷體" w:hAnsi="標楷體" w:hint="eastAsia"/>
                <w:color w:val="000000"/>
                <w:sz w:val="28"/>
                <w:szCs w:val="28"/>
              </w:rPr>
              <w:t>規定及</w:t>
            </w:r>
            <w:r w:rsidR="00D67513" w:rsidRPr="00D67513">
              <w:rPr>
                <w:rFonts w:ascii="標楷體" w:eastAsia="標楷體" w:hAnsi="標楷體" w:hint="eastAsia"/>
                <w:color w:val="000000"/>
                <w:sz w:val="28"/>
                <w:szCs w:val="28"/>
              </w:rPr>
              <w:t>立法說明：「參考現行金融法規相關規定，如境外結構型商品管理規則第</w:t>
            </w:r>
            <w:r w:rsidR="00710749">
              <w:rPr>
                <w:rFonts w:ascii="標楷體" w:eastAsia="標楷體" w:hAnsi="標楷體" w:hint="eastAsia"/>
                <w:color w:val="000000"/>
                <w:sz w:val="28"/>
                <w:szCs w:val="28"/>
              </w:rPr>
              <w:t>十五</w:t>
            </w:r>
            <w:r w:rsidR="00D67513" w:rsidRPr="00D67513">
              <w:rPr>
                <w:rFonts w:ascii="標楷體" w:eastAsia="標楷體" w:hAnsi="標楷體" w:hint="eastAsia"/>
                <w:color w:val="000000"/>
                <w:sz w:val="28"/>
                <w:szCs w:val="28"/>
              </w:rPr>
              <w:t>條第二項規定：「受託或銷售</w:t>
            </w:r>
            <w:proofErr w:type="gramStart"/>
            <w:r w:rsidR="00D67513" w:rsidRPr="00D67513">
              <w:rPr>
                <w:rFonts w:ascii="標楷體" w:eastAsia="標楷體" w:hAnsi="標楷體" w:hint="eastAsia"/>
                <w:color w:val="000000"/>
                <w:sz w:val="28"/>
                <w:szCs w:val="28"/>
              </w:rPr>
              <w:t>機構之薪酬制度應衡平</w:t>
            </w:r>
            <w:proofErr w:type="gramEnd"/>
            <w:r w:rsidR="00D67513" w:rsidRPr="00D67513">
              <w:rPr>
                <w:rFonts w:ascii="標楷體" w:eastAsia="標楷體" w:hAnsi="標楷體" w:hint="eastAsia"/>
                <w:color w:val="000000"/>
                <w:sz w:val="28"/>
                <w:szCs w:val="28"/>
              </w:rPr>
              <w:t>考量投資人可能產生之各項風險、所收取之費用及其他因素，不得以受託或銷售之金額多寡為主要考量因素。」及信託業營運範圍受益權轉讓限制風險揭露及行銷訂約管理辦法第二十五條第一項規定：「信託業之薪酬制度應衡平考量委託人可能產生之各項風險、所收取之費用及其他因素，不得以受託之金額多寡為主要考量因素。」</w:t>
            </w:r>
            <w:proofErr w:type="gramStart"/>
            <w:r w:rsidR="00D67513" w:rsidRPr="00D67513">
              <w:rPr>
                <w:rFonts w:ascii="標楷體" w:eastAsia="標楷體" w:hAnsi="標楷體" w:hint="eastAsia"/>
                <w:color w:val="000000"/>
                <w:sz w:val="28"/>
                <w:szCs w:val="28"/>
              </w:rPr>
              <w:t>爰</w:t>
            </w:r>
            <w:proofErr w:type="gramEnd"/>
            <w:r w:rsidR="00D67513" w:rsidRPr="00D67513">
              <w:rPr>
                <w:rFonts w:ascii="標楷體" w:eastAsia="標楷體" w:hAnsi="標楷體" w:hint="eastAsia"/>
                <w:color w:val="000000"/>
                <w:sz w:val="28"/>
                <w:szCs w:val="28"/>
              </w:rPr>
              <w:t>於第</w:t>
            </w:r>
            <w:r>
              <w:rPr>
                <w:rFonts w:ascii="標楷體" w:eastAsia="標楷體" w:hAnsi="標楷體" w:hint="eastAsia"/>
                <w:color w:val="000000"/>
                <w:sz w:val="28"/>
                <w:szCs w:val="28"/>
              </w:rPr>
              <w:t>二</w:t>
            </w:r>
            <w:r w:rsidR="00D67513" w:rsidRPr="00D67513">
              <w:rPr>
                <w:rFonts w:ascii="標楷體" w:eastAsia="標楷體" w:hAnsi="標楷體" w:hint="eastAsia"/>
                <w:color w:val="000000"/>
                <w:sz w:val="28"/>
                <w:szCs w:val="28"/>
              </w:rPr>
              <w:t>項定明</w:t>
            </w:r>
            <w:r w:rsidR="00D67513">
              <w:rPr>
                <w:rFonts w:ascii="標楷體" w:eastAsia="標楷體" w:hAnsi="標楷體" w:hint="eastAsia"/>
                <w:color w:val="000000"/>
                <w:sz w:val="28"/>
                <w:szCs w:val="28"/>
              </w:rPr>
              <w:t>不分商品或服務屬性，</w:t>
            </w:r>
            <w:r w:rsidR="00D67513" w:rsidRPr="00D67513">
              <w:rPr>
                <w:rFonts w:ascii="標楷體" w:eastAsia="標楷體" w:hAnsi="標楷體" w:hint="eastAsia"/>
                <w:color w:val="000000"/>
                <w:sz w:val="28"/>
                <w:szCs w:val="28"/>
              </w:rPr>
              <w:t>金融服務業業務人員之酬金制度，</w:t>
            </w:r>
            <w:proofErr w:type="gramStart"/>
            <w:r w:rsidR="00D67513">
              <w:rPr>
                <w:rFonts w:ascii="標楷體" w:eastAsia="標楷體" w:hAnsi="標楷體" w:hint="eastAsia"/>
                <w:color w:val="000000"/>
                <w:sz w:val="28"/>
                <w:szCs w:val="28"/>
              </w:rPr>
              <w:t>皆</w:t>
            </w:r>
            <w:r w:rsidR="00D67513" w:rsidRPr="00D67513">
              <w:rPr>
                <w:rFonts w:ascii="標楷體" w:eastAsia="標楷體" w:hAnsi="標楷體" w:hint="eastAsia"/>
                <w:color w:val="000000"/>
                <w:sz w:val="28"/>
                <w:szCs w:val="28"/>
              </w:rPr>
              <w:t>應衡</w:t>
            </w:r>
            <w:r w:rsidR="00D67513">
              <w:rPr>
                <w:rFonts w:ascii="標楷體" w:eastAsia="標楷體" w:hAnsi="標楷體" w:hint="eastAsia"/>
                <w:color w:val="000000"/>
                <w:sz w:val="28"/>
                <w:szCs w:val="28"/>
              </w:rPr>
              <w:t>平</w:t>
            </w:r>
            <w:proofErr w:type="gramEnd"/>
            <w:r w:rsidR="00D67513">
              <w:rPr>
                <w:rFonts w:ascii="標楷體" w:eastAsia="標楷體" w:hAnsi="標楷體" w:hint="eastAsia"/>
                <w:color w:val="000000"/>
                <w:sz w:val="28"/>
                <w:szCs w:val="28"/>
              </w:rPr>
              <w:t>考量各項風險，不得僅考量金融商品或服務之業績目標達成情形。」</w:t>
            </w:r>
            <w:r w:rsidR="004A69B7">
              <w:rPr>
                <w:rFonts w:ascii="標楷體" w:eastAsia="標楷體" w:hAnsi="標楷體" w:hint="eastAsia"/>
                <w:color w:val="000000"/>
                <w:sz w:val="28"/>
                <w:szCs w:val="28"/>
              </w:rPr>
              <w:t>，</w:t>
            </w:r>
            <w:proofErr w:type="gramStart"/>
            <w:r w:rsidR="004A69B7">
              <w:rPr>
                <w:rFonts w:ascii="標楷體" w:eastAsia="標楷體" w:hAnsi="標楷體" w:hint="eastAsia"/>
                <w:color w:val="000000"/>
                <w:sz w:val="28"/>
                <w:szCs w:val="28"/>
              </w:rPr>
              <w:t>爰</w:t>
            </w:r>
            <w:proofErr w:type="gramEnd"/>
            <w:r w:rsidR="004A69B7">
              <w:rPr>
                <w:rFonts w:ascii="標楷體" w:eastAsia="標楷體" w:hAnsi="標楷體" w:hint="eastAsia"/>
                <w:color w:val="000000"/>
                <w:sz w:val="28"/>
                <w:szCs w:val="28"/>
              </w:rPr>
              <w:t>為本項規定</w:t>
            </w:r>
            <w:r w:rsidR="00D67513" w:rsidRPr="00D67513">
              <w:rPr>
                <w:rFonts w:ascii="標楷體" w:eastAsia="標楷體" w:hAnsi="標楷體" w:hint="eastAsia"/>
                <w:color w:val="000000"/>
                <w:sz w:val="28"/>
                <w:szCs w:val="28"/>
              </w:rPr>
              <w:t>。</w:t>
            </w:r>
          </w:p>
          <w:p w:rsidR="00D67513" w:rsidRPr="008F745E" w:rsidRDefault="00D67513" w:rsidP="00A439E3">
            <w:pPr>
              <w:adjustRightInd w:val="0"/>
              <w:snapToGrid w:val="0"/>
              <w:spacing w:afterLines="50" w:line="320" w:lineRule="exact"/>
              <w:jc w:val="both"/>
              <w:rPr>
                <w:rFonts w:ascii="標楷體" w:eastAsia="標楷體" w:hAnsi="標楷體"/>
                <w:color w:val="000000"/>
                <w:sz w:val="28"/>
                <w:szCs w:val="28"/>
              </w:rPr>
            </w:pPr>
          </w:p>
        </w:tc>
      </w:tr>
      <w:tr w:rsidR="00742315" w:rsidTr="004C714F">
        <w:tc>
          <w:tcPr>
            <w:tcW w:w="5103" w:type="dxa"/>
          </w:tcPr>
          <w:p w:rsidR="00742315" w:rsidRDefault="00742315" w:rsidP="00A439E3">
            <w:pPr>
              <w:adjustRightInd w:val="0"/>
              <w:snapToGrid w:val="0"/>
              <w:spacing w:afterLines="50" w:line="320" w:lineRule="exact"/>
              <w:jc w:val="both"/>
              <w:rPr>
                <w:rFonts w:ascii="標楷體" w:eastAsia="標楷體" w:hAnsi="標楷體"/>
                <w:color w:val="000000"/>
                <w:sz w:val="28"/>
                <w:szCs w:val="28"/>
              </w:rPr>
            </w:pPr>
            <w:r w:rsidRPr="00742315">
              <w:rPr>
                <w:rFonts w:ascii="標楷體" w:eastAsia="標楷體" w:hAnsi="標楷體" w:hint="eastAsia"/>
                <w:color w:val="000000"/>
                <w:sz w:val="28"/>
                <w:szCs w:val="28"/>
              </w:rPr>
              <w:lastRenderedPageBreak/>
              <w:t>第</w:t>
            </w:r>
            <w:r>
              <w:rPr>
                <w:rFonts w:ascii="標楷體" w:eastAsia="標楷體" w:hAnsi="標楷體" w:hint="eastAsia"/>
                <w:color w:val="000000"/>
                <w:sz w:val="28"/>
                <w:szCs w:val="28"/>
              </w:rPr>
              <w:t>六</w:t>
            </w:r>
            <w:r w:rsidRPr="00742315">
              <w:rPr>
                <w:rFonts w:ascii="標楷體" w:eastAsia="標楷體" w:hAnsi="標楷體" w:hint="eastAsia"/>
                <w:color w:val="000000"/>
                <w:sz w:val="28"/>
                <w:szCs w:val="28"/>
              </w:rPr>
              <w:t>條</w:t>
            </w:r>
          </w:p>
          <w:p w:rsidR="00742315" w:rsidRPr="001268E3" w:rsidRDefault="00742315" w:rsidP="00A439E3">
            <w:pPr>
              <w:adjustRightInd w:val="0"/>
              <w:snapToGrid w:val="0"/>
              <w:spacing w:afterLines="50" w:line="320" w:lineRule="exact"/>
              <w:jc w:val="both"/>
              <w:rPr>
                <w:rFonts w:ascii="標楷體" w:eastAsia="標楷體" w:hAnsi="標楷體" w:cs="細明體"/>
                <w:color w:val="000000" w:themeColor="text1"/>
                <w:kern w:val="0"/>
                <w:sz w:val="28"/>
                <w:szCs w:val="28"/>
              </w:rPr>
            </w:pPr>
            <w:r w:rsidRPr="001268E3">
              <w:rPr>
                <w:rFonts w:ascii="標楷體" w:eastAsia="標楷體" w:hAnsi="標楷體" w:hint="eastAsia"/>
                <w:color w:val="000000" w:themeColor="text1"/>
                <w:sz w:val="28"/>
                <w:szCs w:val="28"/>
              </w:rPr>
              <w:t>前條第二項所稱投資型金融商品或服務，係指</w:t>
            </w:r>
            <w:r>
              <w:rPr>
                <w:rFonts w:ascii="標楷體" w:eastAsia="標楷體" w:hAnsi="標楷體" w:hint="eastAsia"/>
                <w:color w:val="000000" w:themeColor="text1"/>
                <w:sz w:val="28"/>
                <w:szCs w:val="28"/>
              </w:rPr>
              <w:t>「</w:t>
            </w:r>
            <w:hyperlink r:id="rId10" w:history="1">
              <w:r w:rsidRPr="001268E3">
                <w:rPr>
                  <w:rFonts w:ascii="標楷體" w:eastAsia="標楷體" w:hAnsi="標楷體" w:cs="新細明體" w:hint="eastAsia"/>
                  <w:color w:val="000000" w:themeColor="text1"/>
                  <w:kern w:val="0"/>
                  <w:sz w:val="28"/>
                  <w:szCs w:val="28"/>
                </w:rPr>
                <w:t>金融服務業確保金融商品或服務適合金融消費者辦法</w:t>
              </w:r>
            </w:hyperlink>
            <w:r w:rsidR="00281315">
              <w:rPr>
                <w:rFonts w:ascii="標楷體" w:eastAsia="標楷體" w:hAnsi="標楷體" w:hint="eastAsia"/>
                <w:color w:val="000000" w:themeColor="text1"/>
                <w:sz w:val="28"/>
                <w:szCs w:val="28"/>
              </w:rPr>
              <w:t>」</w:t>
            </w:r>
            <w:r w:rsidRPr="001268E3">
              <w:rPr>
                <w:rFonts w:ascii="標楷體" w:eastAsia="標楷體" w:hAnsi="標楷體" w:hint="eastAsia"/>
                <w:color w:val="000000" w:themeColor="text1"/>
                <w:sz w:val="28"/>
                <w:szCs w:val="28"/>
              </w:rPr>
              <w:t>第五條所稱之</w:t>
            </w:r>
            <w:r w:rsidRPr="001268E3">
              <w:rPr>
                <w:rFonts w:ascii="標楷體" w:eastAsia="標楷體" w:hAnsi="標楷體" w:cs="細明體" w:hint="eastAsia"/>
                <w:color w:val="000000" w:themeColor="text1"/>
                <w:kern w:val="0"/>
                <w:sz w:val="28"/>
                <w:szCs w:val="28"/>
              </w:rPr>
              <w:t>投資型金融商品或服務</w:t>
            </w:r>
            <w:r>
              <w:rPr>
                <w:rFonts w:ascii="標楷體" w:eastAsia="標楷體" w:hAnsi="標楷體" w:cs="細明體" w:hint="eastAsia"/>
                <w:color w:val="000000" w:themeColor="text1"/>
                <w:kern w:val="0"/>
                <w:sz w:val="28"/>
                <w:szCs w:val="28"/>
              </w:rPr>
              <w:t>，</w:t>
            </w:r>
            <w:r w:rsidRPr="001268E3">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w:t>
            </w:r>
            <w:hyperlink r:id="rId11" w:history="1">
              <w:r w:rsidRPr="001268E3">
                <w:rPr>
                  <w:rFonts w:ascii="標楷體" w:eastAsia="標楷體" w:hAnsi="標楷體" w:hint="eastAsia"/>
                  <w:color w:val="000000" w:themeColor="text1"/>
                  <w:sz w:val="28"/>
                  <w:szCs w:val="28"/>
                </w:rPr>
                <w:t>金融服務業提供金融商品或服務前說明契約重要內容及揭露風險辦法</w:t>
              </w:r>
            </w:hyperlink>
            <w:r>
              <w:rPr>
                <w:rFonts w:ascii="標楷體" w:eastAsia="標楷體" w:hAnsi="標楷體" w:hint="eastAsia"/>
                <w:color w:val="000000" w:themeColor="text1"/>
                <w:sz w:val="28"/>
                <w:szCs w:val="28"/>
              </w:rPr>
              <w:t>」</w:t>
            </w:r>
            <w:r w:rsidRPr="001268E3">
              <w:rPr>
                <w:rFonts w:ascii="標楷體" w:eastAsia="標楷體" w:hAnsi="標楷體" w:hint="eastAsia"/>
                <w:color w:val="000000" w:themeColor="text1"/>
                <w:sz w:val="28"/>
                <w:szCs w:val="28"/>
              </w:rPr>
              <w:t>第六條所稱之</w:t>
            </w:r>
            <w:r w:rsidRPr="001268E3">
              <w:rPr>
                <w:rFonts w:ascii="標楷體" w:eastAsia="標楷體" w:hAnsi="標楷體" w:cs="細明體" w:hint="eastAsia"/>
                <w:color w:val="000000" w:themeColor="text1"/>
                <w:kern w:val="0"/>
                <w:sz w:val="28"/>
                <w:szCs w:val="28"/>
              </w:rPr>
              <w:t>投資型商品或服務。</w:t>
            </w:r>
          </w:p>
          <w:p w:rsidR="00742315" w:rsidRPr="001268E3" w:rsidRDefault="00742315" w:rsidP="00A439E3">
            <w:pPr>
              <w:adjustRightInd w:val="0"/>
              <w:snapToGrid w:val="0"/>
              <w:spacing w:afterLines="50" w:line="320" w:lineRule="exact"/>
              <w:jc w:val="both"/>
              <w:rPr>
                <w:rFonts w:ascii="標楷體" w:eastAsia="標楷體" w:hAnsi="標楷體"/>
                <w:color w:val="000000" w:themeColor="text1"/>
                <w:sz w:val="28"/>
                <w:szCs w:val="28"/>
              </w:rPr>
            </w:pPr>
            <w:r w:rsidRPr="001268E3">
              <w:rPr>
                <w:rFonts w:ascii="標楷體" w:eastAsia="標楷體" w:hAnsi="標楷體" w:cs="細明體" w:hint="eastAsia"/>
                <w:color w:val="000000" w:themeColor="text1"/>
                <w:kern w:val="0"/>
                <w:sz w:val="28"/>
                <w:szCs w:val="28"/>
              </w:rPr>
              <w:t>非屬前項</w:t>
            </w:r>
            <w:r w:rsidRPr="001268E3">
              <w:rPr>
                <w:rFonts w:ascii="標楷體" w:eastAsia="標楷體" w:hAnsi="標楷體" w:hint="eastAsia"/>
                <w:color w:val="000000" w:themeColor="text1"/>
                <w:sz w:val="28"/>
                <w:szCs w:val="28"/>
              </w:rPr>
              <w:t>投資型金融商品或服務者，皆屬前條第一項所稱之非投資型金融商品或服務。</w:t>
            </w:r>
          </w:p>
          <w:p w:rsidR="00742315" w:rsidRPr="00742315" w:rsidRDefault="00742315" w:rsidP="00A439E3">
            <w:pPr>
              <w:adjustRightInd w:val="0"/>
              <w:snapToGrid w:val="0"/>
              <w:spacing w:afterLines="50" w:line="320" w:lineRule="exact"/>
              <w:jc w:val="both"/>
              <w:rPr>
                <w:rFonts w:ascii="標楷體" w:eastAsia="標楷體" w:hAnsi="標楷體"/>
                <w:color w:val="000000"/>
                <w:sz w:val="28"/>
                <w:szCs w:val="28"/>
              </w:rPr>
            </w:pPr>
          </w:p>
        </w:tc>
        <w:tc>
          <w:tcPr>
            <w:tcW w:w="4820" w:type="dxa"/>
          </w:tcPr>
          <w:p w:rsidR="0062773B" w:rsidRPr="00480980" w:rsidRDefault="0062773B" w:rsidP="00A439E3">
            <w:pPr>
              <w:adjustRightInd w:val="0"/>
              <w:snapToGrid w:val="0"/>
              <w:spacing w:beforeLines="50" w:afterLines="50" w:line="320" w:lineRule="exact"/>
              <w:ind w:left="34" w:hangingChars="12" w:hanging="34"/>
              <w:jc w:val="both"/>
              <w:rPr>
                <w:rFonts w:ascii="標楷體" w:eastAsia="標楷體" w:hAnsi="標楷體"/>
                <w:color w:val="000000"/>
                <w:sz w:val="28"/>
                <w:szCs w:val="28"/>
              </w:rPr>
            </w:pPr>
            <w:r w:rsidRPr="00480980">
              <w:rPr>
                <w:rFonts w:ascii="標楷體" w:eastAsia="標楷體" w:hAnsi="標楷體" w:cs="細明體" w:hint="eastAsia"/>
                <w:color w:val="000000" w:themeColor="text1"/>
                <w:kern w:val="0"/>
                <w:sz w:val="28"/>
                <w:szCs w:val="28"/>
              </w:rPr>
              <w:t>第一項說明：</w:t>
            </w:r>
          </w:p>
          <w:p w:rsidR="00D57E80" w:rsidRPr="00126E33" w:rsidRDefault="00D67513" w:rsidP="00A439E3">
            <w:pPr>
              <w:adjustRightInd w:val="0"/>
              <w:snapToGrid w:val="0"/>
              <w:spacing w:beforeLines="50" w:line="320" w:lineRule="exact"/>
              <w:ind w:left="34" w:hangingChars="12" w:hanging="34"/>
              <w:jc w:val="both"/>
              <w:rPr>
                <w:rFonts w:ascii="標楷體" w:eastAsia="標楷體" w:hAnsi="標楷體"/>
                <w:color w:val="000000" w:themeColor="text1"/>
                <w:szCs w:val="24"/>
                <w:lang w:val="zh-TW"/>
              </w:rPr>
            </w:pPr>
            <w:r w:rsidRPr="00D67513">
              <w:rPr>
                <w:rFonts w:ascii="標楷體" w:eastAsia="標楷體" w:hAnsi="標楷體" w:hint="eastAsia"/>
                <w:color w:val="000000"/>
                <w:sz w:val="28"/>
                <w:szCs w:val="28"/>
              </w:rPr>
              <w:t>明確化</w:t>
            </w:r>
            <w:r>
              <w:rPr>
                <w:rFonts w:ascii="標楷體" w:eastAsia="標楷體" w:hAnsi="標楷體" w:hint="eastAsia"/>
                <w:color w:val="000000"/>
                <w:sz w:val="28"/>
                <w:szCs w:val="28"/>
              </w:rPr>
              <w:t>本原則所稱</w:t>
            </w:r>
            <w:r w:rsidR="000A5317">
              <w:rPr>
                <w:rFonts w:ascii="標楷體" w:eastAsia="標楷體" w:hAnsi="標楷體" w:hint="eastAsia"/>
                <w:color w:val="000000"/>
                <w:sz w:val="28"/>
                <w:szCs w:val="28"/>
              </w:rPr>
              <w:t>「</w:t>
            </w:r>
            <w:r w:rsidR="000A5317" w:rsidRPr="001268E3">
              <w:rPr>
                <w:rFonts w:ascii="標楷體" w:eastAsia="標楷體" w:hAnsi="標楷體" w:cs="細明體" w:hint="eastAsia"/>
                <w:color w:val="000000" w:themeColor="text1"/>
                <w:kern w:val="0"/>
                <w:sz w:val="28"/>
                <w:szCs w:val="28"/>
              </w:rPr>
              <w:t>投資型金融商品或服務</w:t>
            </w:r>
            <w:r w:rsidR="000A5317">
              <w:rPr>
                <w:rFonts w:ascii="標楷體" w:eastAsia="標楷體" w:hAnsi="標楷體" w:hint="eastAsia"/>
                <w:color w:val="000000"/>
                <w:sz w:val="28"/>
                <w:szCs w:val="28"/>
              </w:rPr>
              <w:t>」</w:t>
            </w:r>
            <w:r>
              <w:rPr>
                <w:rFonts w:ascii="標楷體" w:eastAsia="標楷體" w:hAnsi="標楷體" w:cs="細明體" w:hint="eastAsia"/>
                <w:color w:val="000000" w:themeColor="text1"/>
                <w:kern w:val="0"/>
                <w:sz w:val="28"/>
                <w:szCs w:val="28"/>
              </w:rPr>
              <w:t>之法源依據</w:t>
            </w:r>
            <w:r w:rsidR="006C6371">
              <w:rPr>
                <w:rFonts w:ascii="標楷體" w:eastAsia="標楷體" w:hAnsi="標楷體" w:cs="細明體" w:hint="eastAsia"/>
                <w:color w:val="000000" w:themeColor="text1"/>
                <w:kern w:val="0"/>
                <w:sz w:val="28"/>
                <w:szCs w:val="28"/>
              </w:rPr>
              <w:t>，</w:t>
            </w:r>
            <w:r w:rsidR="0062773B">
              <w:rPr>
                <w:rFonts w:ascii="標楷體" w:eastAsia="標楷體" w:hAnsi="標楷體" w:cs="細明體" w:hint="eastAsia"/>
                <w:color w:val="000000" w:themeColor="text1"/>
                <w:kern w:val="0"/>
                <w:sz w:val="28"/>
                <w:szCs w:val="28"/>
              </w:rPr>
              <w:t>及該相關子法所正面表列之</w:t>
            </w:r>
            <w:r w:rsidR="006C6371" w:rsidRPr="001268E3">
              <w:rPr>
                <w:rFonts w:ascii="標楷體" w:eastAsia="標楷體" w:hAnsi="標楷體" w:cs="細明體" w:hint="eastAsia"/>
                <w:color w:val="000000" w:themeColor="text1"/>
                <w:kern w:val="0"/>
                <w:sz w:val="28"/>
                <w:szCs w:val="28"/>
              </w:rPr>
              <w:t>投資型金融</w:t>
            </w:r>
            <w:r w:rsidR="0062773B">
              <w:rPr>
                <w:rFonts w:ascii="標楷體" w:eastAsia="標楷體" w:hAnsi="標楷體" w:cs="細明體" w:hint="eastAsia"/>
                <w:color w:val="000000" w:themeColor="text1"/>
                <w:kern w:val="0"/>
                <w:sz w:val="28"/>
                <w:szCs w:val="28"/>
              </w:rPr>
              <w:t>商品或服務</w:t>
            </w:r>
            <w:r w:rsidR="006C6371">
              <w:rPr>
                <w:rFonts w:ascii="標楷體" w:eastAsia="標楷體" w:hAnsi="標楷體" w:cs="細明體" w:hint="eastAsia"/>
                <w:color w:val="000000" w:themeColor="text1"/>
                <w:kern w:val="0"/>
                <w:sz w:val="28"/>
                <w:szCs w:val="28"/>
              </w:rPr>
              <w:t>（</w:t>
            </w:r>
            <w:r w:rsidR="00D57E80" w:rsidRPr="006C6371">
              <w:rPr>
                <w:rFonts w:ascii="標楷體" w:eastAsia="標楷體" w:hAnsi="標楷體" w:hint="eastAsia"/>
                <w:color w:val="000000" w:themeColor="text1"/>
                <w:sz w:val="28"/>
                <w:szCs w:val="28"/>
                <w:lang w:val="zh-TW"/>
              </w:rPr>
              <w:t>包含</w:t>
            </w:r>
            <w:r w:rsidR="006C6371">
              <w:rPr>
                <w:rFonts w:ascii="標楷體" w:eastAsia="標楷體" w:hAnsi="標楷體" w:hint="eastAsia"/>
                <w:color w:val="000000" w:themeColor="text1"/>
                <w:sz w:val="28"/>
                <w:szCs w:val="28"/>
                <w:lang w:val="zh-TW"/>
              </w:rPr>
              <w:t>）</w:t>
            </w:r>
            <w:r w:rsidR="00D57E80" w:rsidRPr="00EA2F47">
              <w:rPr>
                <w:rFonts w:ascii="標楷體" w:eastAsia="標楷體" w:hAnsi="標楷體" w:hint="eastAsia"/>
                <w:color w:val="000000" w:themeColor="text1"/>
                <w:sz w:val="28"/>
                <w:szCs w:val="28"/>
                <w:lang w:val="zh-TW"/>
              </w:rPr>
              <w:t>：</w:t>
            </w:r>
          </w:p>
          <w:p w:rsidR="00D57E80" w:rsidRPr="006D21D0" w:rsidRDefault="00D57E80" w:rsidP="009804BE">
            <w:pPr>
              <w:pStyle w:val="HTML"/>
              <w:numPr>
                <w:ilvl w:val="0"/>
                <w:numId w:val="15"/>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信託業辦理特定金錢信託業務或特定有價證券信託業務，受託投資國內外有價證券、短期票券或結構型商品。</w:t>
            </w:r>
          </w:p>
          <w:p w:rsidR="00D57E80" w:rsidRPr="006D21D0" w:rsidRDefault="00D57E80" w:rsidP="009804BE">
            <w:pPr>
              <w:pStyle w:val="HTML"/>
              <w:numPr>
                <w:ilvl w:val="0"/>
                <w:numId w:val="15"/>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信託業辦理具運用決定權之金錢信託或有價證券信託，以財務規劃或資產負債配置為目的，受託投資國內外有價證券、短期票券或結構型商品。</w:t>
            </w:r>
          </w:p>
          <w:p w:rsidR="00D57E80" w:rsidRPr="006D21D0" w:rsidRDefault="00D57E80" w:rsidP="009804BE">
            <w:pPr>
              <w:pStyle w:val="HTML"/>
              <w:numPr>
                <w:ilvl w:val="0"/>
                <w:numId w:val="15"/>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信託業運用信託財產於黃金或衍生性金融商品。</w:t>
            </w:r>
          </w:p>
          <w:p w:rsidR="00D57E80" w:rsidRPr="006D21D0" w:rsidRDefault="00D57E80" w:rsidP="009804BE">
            <w:pPr>
              <w:pStyle w:val="HTML"/>
              <w:numPr>
                <w:ilvl w:val="0"/>
                <w:numId w:val="15"/>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lastRenderedPageBreak/>
              <w:t>共同信託基金業務。</w:t>
            </w:r>
          </w:p>
          <w:p w:rsidR="00D57E80" w:rsidRPr="00D57E80" w:rsidRDefault="00D57E80" w:rsidP="009804BE">
            <w:pPr>
              <w:pStyle w:val="HTML"/>
              <w:numPr>
                <w:ilvl w:val="0"/>
                <w:numId w:val="15"/>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信託資金集合管理運用帳戶業務。</w:t>
            </w:r>
          </w:p>
          <w:p w:rsidR="00D57E80" w:rsidRPr="006D21D0" w:rsidRDefault="00D57E80" w:rsidP="009804BE">
            <w:pPr>
              <w:pStyle w:val="HTML"/>
              <w:numPr>
                <w:ilvl w:val="0"/>
                <w:numId w:val="15"/>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銀行與客戶承作之衍生性金融商品及結構型商品業務。</w:t>
            </w:r>
          </w:p>
          <w:p w:rsidR="00D57E80" w:rsidRPr="006D21D0" w:rsidRDefault="00D57E80" w:rsidP="009804BE">
            <w:pPr>
              <w:pStyle w:val="HTML"/>
              <w:numPr>
                <w:ilvl w:val="0"/>
                <w:numId w:val="15"/>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黃金及貴金屬業務。</w:t>
            </w:r>
          </w:p>
          <w:p w:rsidR="00D57E80" w:rsidRPr="006D21D0" w:rsidRDefault="00D57E80" w:rsidP="009804BE">
            <w:pPr>
              <w:pStyle w:val="HTML"/>
              <w:numPr>
                <w:ilvl w:val="0"/>
                <w:numId w:val="15"/>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受託買賣非集中市場交易且具衍生性商品性質之外國有價證券業務。</w:t>
            </w:r>
          </w:p>
          <w:p w:rsidR="00D57E80" w:rsidRPr="006D21D0" w:rsidRDefault="00D57E80" w:rsidP="009804BE">
            <w:pPr>
              <w:pStyle w:val="HTML"/>
              <w:numPr>
                <w:ilvl w:val="0"/>
                <w:numId w:val="15"/>
              </w:numPr>
              <w:shd w:val="clear" w:color="auto" w:fill="FFFFFF" w:themeFill="background1"/>
              <w:spacing w:line="320" w:lineRule="exact"/>
              <w:ind w:left="284" w:hanging="284"/>
              <w:jc w:val="both"/>
              <w:rPr>
                <w:rFonts w:ascii="標楷體" w:eastAsia="標楷體" w:hAnsi="標楷體"/>
                <w:color w:val="000000"/>
                <w:sz w:val="26"/>
                <w:szCs w:val="26"/>
              </w:rPr>
            </w:pPr>
            <w:r w:rsidRPr="006D21D0">
              <w:rPr>
                <w:rFonts w:ascii="標楷體" w:eastAsia="標楷體" w:hAnsi="標楷體" w:hint="eastAsia"/>
                <w:color w:val="000000"/>
                <w:sz w:val="26"/>
                <w:szCs w:val="26"/>
              </w:rPr>
              <w:t>證券商營業處所經營衍生性金融商品及槓桿交易商經營槓桿保證金契約交易業務。</w:t>
            </w:r>
          </w:p>
          <w:p w:rsidR="00D57E80" w:rsidRPr="006D21D0" w:rsidRDefault="00D57E80" w:rsidP="009804BE">
            <w:pPr>
              <w:pStyle w:val="HTML"/>
              <w:shd w:val="clear" w:color="auto" w:fill="FFFFFF" w:themeFill="background1"/>
              <w:adjustRightInd w:val="0"/>
              <w:snapToGrid w:val="0"/>
              <w:spacing w:line="320" w:lineRule="exact"/>
              <w:jc w:val="both"/>
              <w:rPr>
                <w:rFonts w:ascii="標楷體" w:eastAsia="標楷體" w:hAnsi="標楷體"/>
                <w:color w:val="000000"/>
                <w:sz w:val="26"/>
                <w:szCs w:val="26"/>
              </w:rPr>
            </w:pPr>
            <w:r w:rsidRPr="006D21D0">
              <w:rPr>
                <w:rFonts w:ascii="標楷體" w:eastAsia="標楷體" w:hAnsi="標楷體" w:hint="eastAsia"/>
                <w:color w:val="000000"/>
                <w:sz w:val="26"/>
                <w:szCs w:val="26"/>
              </w:rPr>
              <w:t>10.證券投資信託基金及境外基金。</w:t>
            </w:r>
          </w:p>
          <w:p w:rsidR="00D57E80" w:rsidRPr="006D21D0" w:rsidRDefault="00D57E80" w:rsidP="009804BE">
            <w:pPr>
              <w:pStyle w:val="HTML"/>
              <w:shd w:val="clear" w:color="auto" w:fill="FFFFFF" w:themeFill="background1"/>
              <w:spacing w:line="320" w:lineRule="exact"/>
              <w:jc w:val="both"/>
              <w:rPr>
                <w:rFonts w:ascii="標楷體" w:eastAsia="標楷體" w:hAnsi="標楷體"/>
                <w:color w:val="000000"/>
                <w:sz w:val="26"/>
                <w:szCs w:val="26"/>
              </w:rPr>
            </w:pPr>
            <w:r w:rsidRPr="006D21D0">
              <w:rPr>
                <w:rFonts w:ascii="標楷體" w:eastAsia="標楷體" w:hAnsi="標楷體" w:hint="eastAsia"/>
                <w:color w:val="000000"/>
                <w:sz w:val="26"/>
                <w:szCs w:val="26"/>
              </w:rPr>
              <w:t>11.期貨信託基金。</w:t>
            </w:r>
          </w:p>
          <w:p w:rsidR="00D57E80" w:rsidRPr="006D21D0" w:rsidRDefault="00D57E80" w:rsidP="009804BE">
            <w:pPr>
              <w:pStyle w:val="HTML"/>
              <w:shd w:val="clear" w:color="auto" w:fill="FFFFFF" w:themeFill="background1"/>
              <w:spacing w:line="320" w:lineRule="exact"/>
              <w:jc w:val="both"/>
              <w:rPr>
                <w:rFonts w:ascii="標楷體" w:eastAsia="標楷體" w:hAnsi="標楷體"/>
                <w:color w:val="000000"/>
                <w:sz w:val="26"/>
                <w:szCs w:val="26"/>
              </w:rPr>
            </w:pPr>
            <w:r w:rsidRPr="006D21D0">
              <w:rPr>
                <w:rFonts w:ascii="標楷體" w:eastAsia="標楷體" w:hAnsi="標楷體" w:hint="eastAsia"/>
                <w:color w:val="000000"/>
                <w:sz w:val="26"/>
                <w:szCs w:val="26"/>
              </w:rPr>
              <w:t>12.全權委託投資業務。</w:t>
            </w:r>
          </w:p>
          <w:p w:rsidR="00D57E80" w:rsidRDefault="00D57E80" w:rsidP="009804BE">
            <w:pPr>
              <w:pStyle w:val="HTML"/>
              <w:shd w:val="clear" w:color="auto" w:fill="FFFFFF" w:themeFill="background1"/>
              <w:adjustRightInd w:val="0"/>
              <w:snapToGrid w:val="0"/>
              <w:spacing w:line="320" w:lineRule="exact"/>
              <w:jc w:val="both"/>
              <w:rPr>
                <w:rFonts w:ascii="標楷體" w:eastAsia="標楷體" w:hAnsi="標楷體"/>
                <w:color w:val="000000"/>
                <w:sz w:val="26"/>
                <w:szCs w:val="26"/>
              </w:rPr>
            </w:pPr>
            <w:r w:rsidRPr="006D21D0">
              <w:rPr>
                <w:rFonts w:ascii="標楷體" w:eastAsia="標楷體" w:hAnsi="標楷體" w:hint="eastAsia"/>
                <w:color w:val="000000"/>
                <w:sz w:val="26"/>
                <w:szCs w:val="26"/>
              </w:rPr>
              <w:t>13.全權委託期貨交易業務。</w:t>
            </w:r>
          </w:p>
          <w:p w:rsidR="00D57E80" w:rsidRDefault="00D57E80" w:rsidP="009804BE">
            <w:pPr>
              <w:pStyle w:val="HTML"/>
              <w:shd w:val="clear" w:color="auto" w:fill="FFFFFF" w:themeFill="background1"/>
              <w:adjustRightInd w:val="0"/>
              <w:snapToGrid w:val="0"/>
              <w:spacing w:line="320" w:lineRule="exact"/>
              <w:jc w:val="both"/>
              <w:rPr>
                <w:rFonts w:ascii="標楷體" w:eastAsia="標楷體" w:hAnsi="標楷體"/>
                <w:color w:val="000000"/>
                <w:sz w:val="26"/>
                <w:szCs w:val="26"/>
              </w:rPr>
            </w:pPr>
            <w:r>
              <w:rPr>
                <w:rFonts w:ascii="標楷體" w:eastAsia="標楷體" w:hAnsi="標楷體" w:hint="eastAsia"/>
                <w:color w:val="000000"/>
                <w:sz w:val="26"/>
                <w:szCs w:val="26"/>
              </w:rPr>
              <w:t>14.</w:t>
            </w:r>
            <w:r w:rsidRPr="006D21D0">
              <w:rPr>
                <w:rFonts w:ascii="標楷體" w:eastAsia="標楷體" w:hAnsi="標楷體" w:hint="eastAsia"/>
                <w:color w:val="000000"/>
                <w:sz w:val="26"/>
                <w:szCs w:val="26"/>
              </w:rPr>
              <w:t>投資型保險業務。</w:t>
            </w:r>
          </w:p>
          <w:p w:rsidR="00D57E80" w:rsidRPr="00D57E80" w:rsidRDefault="00D57E80" w:rsidP="009804BE">
            <w:pPr>
              <w:pStyle w:val="HTML"/>
              <w:shd w:val="clear" w:color="auto" w:fill="FFFFFF" w:themeFill="background1"/>
              <w:adjustRightInd w:val="0"/>
              <w:snapToGrid w:val="0"/>
              <w:spacing w:line="320" w:lineRule="exact"/>
              <w:jc w:val="both"/>
              <w:rPr>
                <w:rFonts w:ascii="標楷體" w:eastAsia="標楷體" w:hAnsi="標楷體"/>
                <w:color w:val="000000"/>
                <w:sz w:val="26"/>
                <w:szCs w:val="26"/>
              </w:rPr>
            </w:pPr>
          </w:p>
          <w:p w:rsidR="0062773B" w:rsidRPr="00480980" w:rsidRDefault="0062773B" w:rsidP="00A439E3">
            <w:pPr>
              <w:adjustRightInd w:val="0"/>
              <w:snapToGrid w:val="0"/>
              <w:spacing w:beforeLines="50" w:afterLines="50" w:line="320" w:lineRule="exact"/>
              <w:ind w:left="34" w:hangingChars="12" w:hanging="34"/>
              <w:jc w:val="both"/>
              <w:rPr>
                <w:rFonts w:ascii="標楷體" w:eastAsia="標楷體" w:hAnsi="標楷體" w:cs="細明體"/>
                <w:color w:val="000000" w:themeColor="text1"/>
                <w:kern w:val="0"/>
                <w:sz w:val="28"/>
                <w:szCs w:val="28"/>
              </w:rPr>
            </w:pPr>
            <w:r w:rsidRPr="00480980">
              <w:rPr>
                <w:rFonts w:ascii="標楷體" w:eastAsia="標楷體" w:hAnsi="標楷體" w:cs="細明體" w:hint="eastAsia"/>
                <w:color w:val="000000" w:themeColor="text1"/>
                <w:kern w:val="0"/>
                <w:sz w:val="28"/>
                <w:szCs w:val="28"/>
              </w:rPr>
              <w:t>第二項說明：</w:t>
            </w:r>
          </w:p>
          <w:p w:rsidR="003F0C31" w:rsidRPr="003F0C31" w:rsidRDefault="0062773B" w:rsidP="00A439E3">
            <w:pPr>
              <w:adjustRightInd w:val="0"/>
              <w:snapToGrid w:val="0"/>
              <w:spacing w:beforeLines="50" w:afterLines="100" w:line="320" w:lineRule="exact"/>
              <w:ind w:left="34" w:hangingChars="12" w:hanging="34"/>
              <w:jc w:val="both"/>
              <w:rPr>
                <w:rFonts w:ascii="標楷體" w:eastAsia="標楷體" w:hAnsi="標楷體" w:cs="細明體"/>
                <w:color w:val="000000" w:themeColor="text1"/>
                <w:kern w:val="0"/>
                <w:sz w:val="28"/>
                <w:szCs w:val="28"/>
              </w:rPr>
            </w:pPr>
            <w:r>
              <w:rPr>
                <w:rFonts w:ascii="標楷體" w:eastAsia="標楷體" w:hAnsi="標楷體" w:cs="細明體" w:hint="eastAsia"/>
                <w:color w:val="000000" w:themeColor="text1"/>
                <w:kern w:val="0"/>
                <w:sz w:val="28"/>
                <w:szCs w:val="28"/>
              </w:rPr>
              <w:t>明訂「</w:t>
            </w:r>
            <w:r w:rsidR="00C67387" w:rsidRPr="001268E3">
              <w:rPr>
                <w:rFonts w:ascii="標楷體" w:eastAsia="標楷體" w:hAnsi="標楷體" w:hint="eastAsia"/>
                <w:color w:val="000000" w:themeColor="text1"/>
                <w:sz w:val="28"/>
                <w:szCs w:val="28"/>
              </w:rPr>
              <w:t>投資型金融商品或服務</w:t>
            </w:r>
            <w:r>
              <w:rPr>
                <w:rFonts w:ascii="標楷體" w:eastAsia="標楷體" w:hAnsi="標楷體" w:cs="細明體" w:hint="eastAsia"/>
                <w:color w:val="000000" w:themeColor="text1"/>
                <w:kern w:val="0"/>
                <w:sz w:val="28"/>
                <w:szCs w:val="28"/>
              </w:rPr>
              <w:t>」以外之</w:t>
            </w:r>
            <w:r w:rsidRPr="001268E3">
              <w:rPr>
                <w:rFonts w:ascii="標楷體" w:eastAsia="標楷體" w:hAnsi="標楷體" w:hint="eastAsia"/>
                <w:color w:val="000000" w:themeColor="text1"/>
                <w:sz w:val="28"/>
                <w:szCs w:val="28"/>
              </w:rPr>
              <w:t>金融商品或服務</w:t>
            </w:r>
            <w:r>
              <w:rPr>
                <w:rFonts w:ascii="標楷體" w:eastAsia="標楷體" w:hAnsi="標楷體" w:hint="eastAsia"/>
                <w:color w:val="000000" w:themeColor="text1"/>
                <w:sz w:val="28"/>
                <w:szCs w:val="28"/>
              </w:rPr>
              <w:t>為本原則所稱之「</w:t>
            </w:r>
            <w:r w:rsidRPr="001268E3">
              <w:rPr>
                <w:rFonts w:ascii="標楷體" w:eastAsia="標楷體" w:hAnsi="標楷體" w:hint="eastAsia"/>
                <w:color w:val="000000" w:themeColor="text1"/>
                <w:sz w:val="28"/>
                <w:szCs w:val="28"/>
              </w:rPr>
              <w:t>非投資型金融商品或服務</w:t>
            </w:r>
            <w:r>
              <w:rPr>
                <w:rFonts w:ascii="標楷體" w:eastAsia="標楷體" w:hAnsi="標楷體" w:hint="eastAsia"/>
                <w:color w:val="000000" w:themeColor="text1"/>
                <w:sz w:val="28"/>
                <w:szCs w:val="28"/>
              </w:rPr>
              <w:t>」</w:t>
            </w:r>
            <w:r w:rsidR="00C67387">
              <w:rPr>
                <w:rFonts w:ascii="標楷體" w:eastAsia="標楷體" w:hAnsi="標楷體" w:hint="eastAsia"/>
                <w:color w:val="000000" w:themeColor="text1"/>
                <w:sz w:val="28"/>
                <w:szCs w:val="28"/>
              </w:rPr>
              <w:t>，俾供</w:t>
            </w:r>
            <w:r w:rsidR="00D67513">
              <w:rPr>
                <w:rFonts w:ascii="標楷體" w:eastAsia="標楷體" w:hAnsi="標楷體" w:cs="細明體" w:hint="eastAsia"/>
                <w:color w:val="000000" w:themeColor="text1"/>
                <w:kern w:val="0"/>
                <w:sz w:val="28"/>
                <w:szCs w:val="28"/>
              </w:rPr>
              <w:t>會員依循。</w:t>
            </w:r>
          </w:p>
        </w:tc>
      </w:tr>
      <w:tr w:rsidR="00AA1ECE" w:rsidTr="004C714F">
        <w:tc>
          <w:tcPr>
            <w:tcW w:w="5103" w:type="dxa"/>
          </w:tcPr>
          <w:p w:rsidR="00AA1ECE" w:rsidRPr="00742315" w:rsidRDefault="00AA1ECE" w:rsidP="00A439E3">
            <w:pPr>
              <w:adjustRightInd w:val="0"/>
              <w:snapToGrid w:val="0"/>
              <w:spacing w:afterLines="50" w:line="320" w:lineRule="exact"/>
              <w:jc w:val="both"/>
              <w:rPr>
                <w:rFonts w:ascii="標楷體" w:eastAsia="標楷體" w:hAnsi="標楷體"/>
                <w:color w:val="000000"/>
                <w:sz w:val="28"/>
                <w:szCs w:val="28"/>
              </w:rPr>
            </w:pPr>
            <w:r w:rsidRPr="00742315">
              <w:rPr>
                <w:rFonts w:ascii="標楷體" w:eastAsia="標楷體" w:hAnsi="標楷體" w:hint="eastAsia"/>
                <w:color w:val="000000"/>
                <w:sz w:val="28"/>
                <w:szCs w:val="28"/>
              </w:rPr>
              <w:lastRenderedPageBreak/>
              <w:t>第</w:t>
            </w:r>
            <w:r w:rsidR="00742315">
              <w:rPr>
                <w:rFonts w:ascii="標楷體" w:eastAsia="標楷體" w:hAnsi="標楷體" w:hint="eastAsia"/>
                <w:color w:val="000000"/>
                <w:sz w:val="28"/>
                <w:szCs w:val="28"/>
              </w:rPr>
              <w:t>七</w:t>
            </w:r>
            <w:r w:rsidRPr="00742315">
              <w:rPr>
                <w:rFonts w:ascii="標楷體" w:eastAsia="標楷體" w:hAnsi="標楷體" w:hint="eastAsia"/>
                <w:color w:val="000000"/>
                <w:sz w:val="28"/>
                <w:szCs w:val="28"/>
              </w:rPr>
              <w:t>條</w:t>
            </w:r>
          </w:p>
          <w:p w:rsidR="00AA1ECE" w:rsidRPr="00A023CE" w:rsidRDefault="00AA1ECE" w:rsidP="00A439E3">
            <w:pPr>
              <w:adjustRightInd w:val="0"/>
              <w:snapToGrid w:val="0"/>
              <w:spacing w:afterLines="50" w:line="320" w:lineRule="exact"/>
              <w:jc w:val="both"/>
              <w:rPr>
                <w:rFonts w:ascii="標楷體" w:eastAsia="標楷體" w:hAnsi="標楷體"/>
                <w:color w:val="000000"/>
                <w:sz w:val="28"/>
                <w:szCs w:val="28"/>
              </w:rPr>
            </w:pPr>
            <w:r w:rsidRPr="00A023CE">
              <w:rPr>
                <w:rFonts w:ascii="標楷體" w:eastAsia="標楷體" w:hAnsi="標楷體" w:hint="eastAsia"/>
                <w:color w:val="000000"/>
                <w:sz w:val="28"/>
                <w:szCs w:val="28"/>
              </w:rPr>
              <w:t>本原則經理事會議通過並報請主管機關核定後施行。修正時亦同。</w:t>
            </w:r>
          </w:p>
        </w:tc>
        <w:tc>
          <w:tcPr>
            <w:tcW w:w="4820" w:type="dxa"/>
          </w:tcPr>
          <w:p w:rsidR="00AA1ECE" w:rsidRDefault="00AA1ECE" w:rsidP="00A439E3">
            <w:pPr>
              <w:adjustRightInd w:val="0"/>
              <w:snapToGrid w:val="0"/>
              <w:spacing w:afterLines="50" w:line="320" w:lineRule="exact"/>
              <w:jc w:val="both"/>
              <w:rPr>
                <w:rFonts w:ascii="標楷體" w:eastAsia="標楷體" w:hAnsi="標楷體"/>
                <w:color w:val="000000" w:themeColor="text1"/>
                <w:sz w:val="28"/>
                <w:szCs w:val="28"/>
              </w:rPr>
            </w:pPr>
          </w:p>
          <w:p w:rsidR="00AA1ECE" w:rsidRPr="00A023CE" w:rsidRDefault="00AA1ECE" w:rsidP="00A439E3">
            <w:pPr>
              <w:adjustRightInd w:val="0"/>
              <w:snapToGrid w:val="0"/>
              <w:spacing w:afterLines="50" w:line="320" w:lineRule="exact"/>
              <w:jc w:val="both"/>
              <w:rPr>
                <w:rFonts w:ascii="標楷體" w:eastAsia="標楷體" w:hAnsi="標楷體"/>
                <w:color w:val="000000" w:themeColor="text1"/>
                <w:sz w:val="28"/>
                <w:szCs w:val="28"/>
              </w:rPr>
            </w:pPr>
            <w:r w:rsidRPr="00A023CE">
              <w:rPr>
                <w:rFonts w:ascii="標楷體" w:eastAsia="標楷體" w:hAnsi="標楷體"/>
                <w:color w:val="000000" w:themeColor="text1"/>
                <w:sz w:val="28"/>
                <w:szCs w:val="28"/>
              </w:rPr>
              <w:t>明訂</w:t>
            </w:r>
            <w:r w:rsidRPr="00A023CE">
              <w:rPr>
                <w:rFonts w:ascii="標楷體" w:eastAsia="標楷體" w:hAnsi="標楷體" w:hint="eastAsia"/>
                <w:color w:val="000000" w:themeColor="text1"/>
                <w:sz w:val="28"/>
                <w:szCs w:val="28"/>
              </w:rPr>
              <w:t>制訂</w:t>
            </w:r>
            <w:r w:rsidRPr="00A023CE">
              <w:rPr>
                <w:rFonts w:ascii="標楷體" w:eastAsia="標楷體" w:hAnsi="標楷體"/>
                <w:color w:val="000000" w:themeColor="text1"/>
                <w:sz w:val="28"/>
                <w:szCs w:val="28"/>
              </w:rPr>
              <w:t>施行與修正程序。</w:t>
            </w:r>
          </w:p>
        </w:tc>
      </w:tr>
    </w:tbl>
    <w:p w:rsidR="00FB5D18" w:rsidRPr="00AA1ECE" w:rsidRDefault="00FB5D18" w:rsidP="009804BE">
      <w:pPr>
        <w:jc w:val="both"/>
        <w:rPr>
          <w:rFonts w:ascii="標楷體" w:eastAsia="標楷體" w:hAnsi="標楷體"/>
          <w:sz w:val="28"/>
          <w:szCs w:val="28"/>
        </w:rPr>
      </w:pPr>
    </w:p>
    <w:sectPr w:rsidR="00FB5D18" w:rsidRPr="00AA1ECE" w:rsidSect="00FB5D18">
      <w:footerReference w:type="default" r:id="rId12"/>
      <w:pgSz w:w="11906" w:h="16838"/>
      <w:pgMar w:top="1134" w:right="991" w:bottom="1418" w:left="1134" w:header="567"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FE7" w:rsidRDefault="007D0FE7" w:rsidP="00E77E1B">
      <w:r>
        <w:separator/>
      </w:r>
    </w:p>
  </w:endnote>
  <w:endnote w:type="continuationSeparator" w:id="0">
    <w:p w:rsidR="007D0FE7" w:rsidRDefault="007D0FE7" w:rsidP="00E77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1486"/>
      <w:docPartObj>
        <w:docPartGallery w:val="Page Numbers (Bottom of Page)"/>
        <w:docPartUnique/>
      </w:docPartObj>
    </w:sdtPr>
    <w:sdtContent>
      <w:p w:rsidR="00BD27FD" w:rsidRDefault="00A65550">
        <w:pPr>
          <w:pStyle w:val="a4"/>
          <w:jc w:val="center"/>
        </w:pPr>
        <w:fldSimple w:instr=" PAGE   \* MERGEFORMAT ">
          <w:r w:rsidR="00C461FB" w:rsidRPr="00C461FB">
            <w:rPr>
              <w:noProof/>
              <w:lang w:val="zh-TW"/>
            </w:rPr>
            <w:t>4</w:t>
          </w:r>
        </w:fldSimple>
      </w:p>
    </w:sdtContent>
  </w:sdt>
  <w:p w:rsidR="00E87912" w:rsidRDefault="007D0F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FE7" w:rsidRDefault="007D0FE7" w:rsidP="00E77E1B">
      <w:r>
        <w:separator/>
      </w:r>
    </w:p>
  </w:footnote>
  <w:footnote w:type="continuationSeparator" w:id="0">
    <w:p w:rsidR="007D0FE7" w:rsidRDefault="007D0FE7" w:rsidP="00E77E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73C6"/>
    <w:multiLevelType w:val="hybridMultilevel"/>
    <w:tmpl w:val="4786737E"/>
    <w:lvl w:ilvl="0" w:tplc="52C6D998">
      <w:start w:val="1"/>
      <w:numFmt w:val="decimal"/>
      <w:lvlText w:val="%1."/>
      <w:lvlJc w:val="left"/>
      <w:pPr>
        <w:ind w:left="317" w:hanging="360"/>
      </w:pPr>
      <w:rPr>
        <w:rFonts w:hint="default"/>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1">
    <w:nsid w:val="0ED64C8F"/>
    <w:multiLevelType w:val="hybridMultilevel"/>
    <w:tmpl w:val="8B3AA22E"/>
    <w:lvl w:ilvl="0" w:tplc="CACEB80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8444D7"/>
    <w:multiLevelType w:val="hybridMultilevel"/>
    <w:tmpl w:val="E1808E8A"/>
    <w:lvl w:ilvl="0" w:tplc="32FC6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4932F1"/>
    <w:multiLevelType w:val="hybridMultilevel"/>
    <w:tmpl w:val="6CEADB9C"/>
    <w:lvl w:ilvl="0" w:tplc="096CE7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DD37BC"/>
    <w:multiLevelType w:val="hybridMultilevel"/>
    <w:tmpl w:val="059A4856"/>
    <w:lvl w:ilvl="0" w:tplc="35348D5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FF112A4"/>
    <w:multiLevelType w:val="hybridMultilevel"/>
    <w:tmpl w:val="44B8B78A"/>
    <w:lvl w:ilvl="0" w:tplc="34BC6B56">
      <w:start w:val="1"/>
      <w:numFmt w:val="taiwaneseCountingThousand"/>
      <w:lvlText w:val="%1、"/>
      <w:lvlJc w:val="left"/>
      <w:pPr>
        <w:ind w:left="150" w:hanging="15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5C7ADB"/>
    <w:multiLevelType w:val="hybridMultilevel"/>
    <w:tmpl w:val="2F60CF14"/>
    <w:lvl w:ilvl="0" w:tplc="5ACA51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08657D"/>
    <w:multiLevelType w:val="hybridMultilevel"/>
    <w:tmpl w:val="FA52DE04"/>
    <w:lvl w:ilvl="0" w:tplc="E6CE2BC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8072DD4"/>
    <w:multiLevelType w:val="hybridMultilevel"/>
    <w:tmpl w:val="23249E80"/>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E397D87"/>
    <w:multiLevelType w:val="hybridMultilevel"/>
    <w:tmpl w:val="038C7492"/>
    <w:lvl w:ilvl="0" w:tplc="7DACA9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1F2954"/>
    <w:multiLevelType w:val="hybridMultilevel"/>
    <w:tmpl w:val="6D6A1EB6"/>
    <w:lvl w:ilvl="0" w:tplc="D36A36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2A44CC3"/>
    <w:multiLevelType w:val="hybridMultilevel"/>
    <w:tmpl w:val="F14A66BA"/>
    <w:lvl w:ilvl="0" w:tplc="191467F8">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3792949"/>
    <w:multiLevelType w:val="hybridMultilevel"/>
    <w:tmpl w:val="9F004F84"/>
    <w:lvl w:ilvl="0" w:tplc="599074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ECE6A75"/>
    <w:multiLevelType w:val="hybridMultilevel"/>
    <w:tmpl w:val="F14A66BA"/>
    <w:lvl w:ilvl="0" w:tplc="191467F8">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6D5FDA"/>
    <w:multiLevelType w:val="hybridMultilevel"/>
    <w:tmpl w:val="C53E8778"/>
    <w:lvl w:ilvl="0" w:tplc="D8C20EB6">
      <w:start w:val="1"/>
      <w:numFmt w:val="taiwaneseCountingThousand"/>
      <w:lvlText w:val="%1、"/>
      <w:lvlJc w:val="left"/>
      <w:pPr>
        <w:ind w:left="870" w:hanging="720"/>
      </w:pPr>
      <w:rPr>
        <w:rFonts w:hint="default"/>
        <w:color w:val="000000"/>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0"/>
  </w:num>
  <w:num w:numId="6">
    <w:abstractNumId w:val="2"/>
  </w:num>
  <w:num w:numId="7">
    <w:abstractNumId w:val="8"/>
  </w:num>
  <w:num w:numId="8">
    <w:abstractNumId w:val="9"/>
  </w:num>
  <w:num w:numId="9">
    <w:abstractNumId w:val="13"/>
  </w:num>
  <w:num w:numId="10">
    <w:abstractNumId w:val="5"/>
  </w:num>
  <w:num w:numId="11">
    <w:abstractNumId w:val="14"/>
  </w:num>
  <w:num w:numId="12">
    <w:abstractNumId w:val="10"/>
  </w:num>
  <w:num w:numId="13">
    <w:abstractNumId w:val="3"/>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69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0E56"/>
    <w:rsid w:val="000132EB"/>
    <w:rsid w:val="00025490"/>
    <w:rsid w:val="000325CC"/>
    <w:rsid w:val="000422D5"/>
    <w:rsid w:val="0004678A"/>
    <w:rsid w:val="000575DB"/>
    <w:rsid w:val="00070C95"/>
    <w:rsid w:val="00071615"/>
    <w:rsid w:val="00086E55"/>
    <w:rsid w:val="000920E9"/>
    <w:rsid w:val="00094886"/>
    <w:rsid w:val="000A5317"/>
    <w:rsid w:val="000B0280"/>
    <w:rsid w:val="00110BDD"/>
    <w:rsid w:val="001268E3"/>
    <w:rsid w:val="00126E33"/>
    <w:rsid w:val="0013303A"/>
    <w:rsid w:val="0014313C"/>
    <w:rsid w:val="00155875"/>
    <w:rsid w:val="00181EB0"/>
    <w:rsid w:val="0019050B"/>
    <w:rsid w:val="00191E6A"/>
    <w:rsid w:val="001A7120"/>
    <w:rsid w:val="001B0402"/>
    <w:rsid w:val="001B69F6"/>
    <w:rsid w:val="001C4E6F"/>
    <w:rsid w:val="001D6104"/>
    <w:rsid w:val="001E155E"/>
    <w:rsid w:val="001E1B7B"/>
    <w:rsid w:val="001E3977"/>
    <w:rsid w:val="001E5886"/>
    <w:rsid w:val="001F1546"/>
    <w:rsid w:val="001F498D"/>
    <w:rsid w:val="001F4E26"/>
    <w:rsid w:val="00204667"/>
    <w:rsid w:val="002302D9"/>
    <w:rsid w:val="00243BA1"/>
    <w:rsid w:val="00246715"/>
    <w:rsid w:val="00247FDF"/>
    <w:rsid w:val="00252B45"/>
    <w:rsid w:val="002555CB"/>
    <w:rsid w:val="0025682E"/>
    <w:rsid w:val="002704FC"/>
    <w:rsid w:val="00281315"/>
    <w:rsid w:val="00283F54"/>
    <w:rsid w:val="00284AF1"/>
    <w:rsid w:val="002952A5"/>
    <w:rsid w:val="002963B6"/>
    <w:rsid w:val="002B0C00"/>
    <w:rsid w:val="002B24C1"/>
    <w:rsid w:val="002B5457"/>
    <w:rsid w:val="002C1D60"/>
    <w:rsid w:val="002C4526"/>
    <w:rsid w:val="002C51E1"/>
    <w:rsid w:val="002C74F3"/>
    <w:rsid w:val="002C763B"/>
    <w:rsid w:val="0030468B"/>
    <w:rsid w:val="003051B1"/>
    <w:rsid w:val="00311813"/>
    <w:rsid w:val="00366D7A"/>
    <w:rsid w:val="003700F5"/>
    <w:rsid w:val="003866C7"/>
    <w:rsid w:val="00392DB0"/>
    <w:rsid w:val="003966A7"/>
    <w:rsid w:val="003971B3"/>
    <w:rsid w:val="003A14E7"/>
    <w:rsid w:val="003C2A64"/>
    <w:rsid w:val="003C4A3A"/>
    <w:rsid w:val="003E0625"/>
    <w:rsid w:val="003E325F"/>
    <w:rsid w:val="003E716E"/>
    <w:rsid w:val="003F08E9"/>
    <w:rsid w:val="003F0C31"/>
    <w:rsid w:val="003F2CE0"/>
    <w:rsid w:val="00401FC5"/>
    <w:rsid w:val="00431A57"/>
    <w:rsid w:val="004454CD"/>
    <w:rsid w:val="00467519"/>
    <w:rsid w:val="00480980"/>
    <w:rsid w:val="004A09ED"/>
    <w:rsid w:val="004A2519"/>
    <w:rsid w:val="004A275F"/>
    <w:rsid w:val="004A69B7"/>
    <w:rsid w:val="004C117C"/>
    <w:rsid w:val="004D0C60"/>
    <w:rsid w:val="004D382A"/>
    <w:rsid w:val="004E2290"/>
    <w:rsid w:val="004F23F0"/>
    <w:rsid w:val="00511CD1"/>
    <w:rsid w:val="00523D2F"/>
    <w:rsid w:val="0052681E"/>
    <w:rsid w:val="00532E83"/>
    <w:rsid w:val="00533E30"/>
    <w:rsid w:val="00545355"/>
    <w:rsid w:val="00547AB6"/>
    <w:rsid w:val="005646E7"/>
    <w:rsid w:val="005650F7"/>
    <w:rsid w:val="005723D2"/>
    <w:rsid w:val="00586698"/>
    <w:rsid w:val="00591A27"/>
    <w:rsid w:val="00596BC2"/>
    <w:rsid w:val="005A036A"/>
    <w:rsid w:val="005B0FAC"/>
    <w:rsid w:val="005C1950"/>
    <w:rsid w:val="00600F6C"/>
    <w:rsid w:val="00613AB9"/>
    <w:rsid w:val="00626E1E"/>
    <w:rsid w:val="0062773B"/>
    <w:rsid w:val="00651254"/>
    <w:rsid w:val="006623AD"/>
    <w:rsid w:val="00666641"/>
    <w:rsid w:val="006938FA"/>
    <w:rsid w:val="00694BAA"/>
    <w:rsid w:val="00697679"/>
    <w:rsid w:val="006A7498"/>
    <w:rsid w:val="006B16F1"/>
    <w:rsid w:val="006C6371"/>
    <w:rsid w:val="006D50B0"/>
    <w:rsid w:val="0070633E"/>
    <w:rsid w:val="00710749"/>
    <w:rsid w:val="007173B1"/>
    <w:rsid w:val="00734B88"/>
    <w:rsid w:val="00742315"/>
    <w:rsid w:val="00745A6D"/>
    <w:rsid w:val="00763B19"/>
    <w:rsid w:val="007649F6"/>
    <w:rsid w:val="00765352"/>
    <w:rsid w:val="0077202E"/>
    <w:rsid w:val="0078051B"/>
    <w:rsid w:val="00780BEE"/>
    <w:rsid w:val="00790E56"/>
    <w:rsid w:val="00796C04"/>
    <w:rsid w:val="007A42FC"/>
    <w:rsid w:val="007B21EF"/>
    <w:rsid w:val="007B674E"/>
    <w:rsid w:val="007C755E"/>
    <w:rsid w:val="007D0FE7"/>
    <w:rsid w:val="007D56B7"/>
    <w:rsid w:val="007E377D"/>
    <w:rsid w:val="007F30B4"/>
    <w:rsid w:val="008011F4"/>
    <w:rsid w:val="00812BB5"/>
    <w:rsid w:val="00820B0B"/>
    <w:rsid w:val="00837DA8"/>
    <w:rsid w:val="0086796B"/>
    <w:rsid w:val="00881036"/>
    <w:rsid w:val="00891CAB"/>
    <w:rsid w:val="00892C18"/>
    <w:rsid w:val="008B5468"/>
    <w:rsid w:val="008C315F"/>
    <w:rsid w:val="008C3277"/>
    <w:rsid w:val="008F2AC3"/>
    <w:rsid w:val="008F4199"/>
    <w:rsid w:val="008F745E"/>
    <w:rsid w:val="009010B3"/>
    <w:rsid w:val="009037C0"/>
    <w:rsid w:val="00907602"/>
    <w:rsid w:val="00907B9D"/>
    <w:rsid w:val="00912B7F"/>
    <w:rsid w:val="00917CFA"/>
    <w:rsid w:val="0092168B"/>
    <w:rsid w:val="009276D8"/>
    <w:rsid w:val="00930516"/>
    <w:rsid w:val="00951393"/>
    <w:rsid w:val="0097375C"/>
    <w:rsid w:val="00973A81"/>
    <w:rsid w:val="009804BE"/>
    <w:rsid w:val="009815CB"/>
    <w:rsid w:val="009A7969"/>
    <w:rsid w:val="009C64EB"/>
    <w:rsid w:val="009C6741"/>
    <w:rsid w:val="009E15B2"/>
    <w:rsid w:val="009E18E1"/>
    <w:rsid w:val="009F0016"/>
    <w:rsid w:val="009F299F"/>
    <w:rsid w:val="00A04B57"/>
    <w:rsid w:val="00A109DE"/>
    <w:rsid w:val="00A12121"/>
    <w:rsid w:val="00A434F2"/>
    <w:rsid w:val="00A439E3"/>
    <w:rsid w:val="00A46A74"/>
    <w:rsid w:val="00A65550"/>
    <w:rsid w:val="00A7494B"/>
    <w:rsid w:val="00A84A9C"/>
    <w:rsid w:val="00A866CB"/>
    <w:rsid w:val="00A9156D"/>
    <w:rsid w:val="00A9211A"/>
    <w:rsid w:val="00A921F3"/>
    <w:rsid w:val="00AA1ECE"/>
    <w:rsid w:val="00AA2781"/>
    <w:rsid w:val="00AA6146"/>
    <w:rsid w:val="00AA65EC"/>
    <w:rsid w:val="00AB1DAE"/>
    <w:rsid w:val="00AC053B"/>
    <w:rsid w:val="00AD78F8"/>
    <w:rsid w:val="00B05F7A"/>
    <w:rsid w:val="00B140DE"/>
    <w:rsid w:val="00B320DC"/>
    <w:rsid w:val="00B33C3E"/>
    <w:rsid w:val="00B510DB"/>
    <w:rsid w:val="00BA2EF5"/>
    <w:rsid w:val="00BA3644"/>
    <w:rsid w:val="00BB33CA"/>
    <w:rsid w:val="00BC0C2C"/>
    <w:rsid w:val="00BD27FD"/>
    <w:rsid w:val="00BD323F"/>
    <w:rsid w:val="00C24AA0"/>
    <w:rsid w:val="00C2666A"/>
    <w:rsid w:val="00C345C8"/>
    <w:rsid w:val="00C42E25"/>
    <w:rsid w:val="00C4359B"/>
    <w:rsid w:val="00C44C07"/>
    <w:rsid w:val="00C461FB"/>
    <w:rsid w:val="00C638F4"/>
    <w:rsid w:val="00C67387"/>
    <w:rsid w:val="00C73CF5"/>
    <w:rsid w:val="00C74B71"/>
    <w:rsid w:val="00C77508"/>
    <w:rsid w:val="00C83B5D"/>
    <w:rsid w:val="00C968B6"/>
    <w:rsid w:val="00C96AB1"/>
    <w:rsid w:val="00CB02D0"/>
    <w:rsid w:val="00CB4ADB"/>
    <w:rsid w:val="00CE5B34"/>
    <w:rsid w:val="00CE624A"/>
    <w:rsid w:val="00CF1B16"/>
    <w:rsid w:val="00CF6240"/>
    <w:rsid w:val="00D0066D"/>
    <w:rsid w:val="00D007D5"/>
    <w:rsid w:val="00D27793"/>
    <w:rsid w:val="00D3176F"/>
    <w:rsid w:val="00D455FE"/>
    <w:rsid w:val="00D47694"/>
    <w:rsid w:val="00D54A11"/>
    <w:rsid w:val="00D57E80"/>
    <w:rsid w:val="00D57F5B"/>
    <w:rsid w:val="00D67513"/>
    <w:rsid w:val="00D80AA3"/>
    <w:rsid w:val="00D813C3"/>
    <w:rsid w:val="00DA149A"/>
    <w:rsid w:val="00DA667B"/>
    <w:rsid w:val="00DD1F07"/>
    <w:rsid w:val="00DD27B5"/>
    <w:rsid w:val="00DD37F3"/>
    <w:rsid w:val="00DF1CE7"/>
    <w:rsid w:val="00DF6597"/>
    <w:rsid w:val="00E018C8"/>
    <w:rsid w:val="00E11CBB"/>
    <w:rsid w:val="00E27908"/>
    <w:rsid w:val="00E35866"/>
    <w:rsid w:val="00E3686D"/>
    <w:rsid w:val="00E4601A"/>
    <w:rsid w:val="00E52483"/>
    <w:rsid w:val="00E619A8"/>
    <w:rsid w:val="00E71774"/>
    <w:rsid w:val="00E77E1B"/>
    <w:rsid w:val="00E85652"/>
    <w:rsid w:val="00EA2F47"/>
    <w:rsid w:val="00EA7F0B"/>
    <w:rsid w:val="00EB2CBC"/>
    <w:rsid w:val="00EB394B"/>
    <w:rsid w:val="00EB555F"/>
    <w:rsid w:val="00EC4F81"/>
    <w:rsid w:val="00EC76BA"/>
    <w:rsid w:val="00ED4036"/>
    <w:rsid w:val="00EF1A8F"/>
    <w:rsid w:val="00EF2BD5"/>
    <w:rsid w:val="00EF753E"/>
    <w:rsid w:val="00F16699"/>
    <w:rsid w:val="00F24C8F"/>
    <w:rsid w:val="00F35B7F"/>
    <w:rsid w:val="00F468FD"/>
    <w:rsid w:val="00F61398"/>
    <w:rsid w:val="00F67777"/>
    <w:rsid w:val="00F7659B"/>
    <w:rsid w:val="00F95790"/>
    <w:rsid w:val="00FA1D38"/>
    <w:rsid w:val="00FB0BB6"/>
    <w:rsid w:val="00FB442E"/>
    <w:rsid w:val="00FB5A39"/>
    <w:rsid w:val="00FB5D18"/>
    <w:rsid w:val="00FC0A54"/>
    <w:rsid w:val="00FD3413"/>
    <w:rsid w:val="00FD43A4"/>
    <w:rsid w:val="00FF59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5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790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90E56"/>
    <w:rPr>
      <w:rFonts w:ascii="細明體" w:eastAsia="細明體" w:hAnsi="細明體" w:cs="細明體"/>
      <w:kern w:val="0"/>
      <w:szCs w:val="24"/>
    </w:rPr>
  </w:style>
  <w:style w:type="paragraph" w:styleId="a3">
    <w:name w:val="List Paragraph"/>
    <w:basedOn w:val="a"/>
    <w:uiPriority w:val="34"/>
    <w:qFormat/>
    <w:rsid w:val="00790E56"/>
    <w:pPr>
      <w:ind w:leftChars="200" w:left="480"/>
    </w:pPr>
  </w:style>
  <w:style w:type="paragraph" w:styleId="a4">
    <w:name w:val="footer"/>
    <w:basedOn w:val="a"/>
    <w:link w:val="a5"/>
    <w:uiPriority w:val="99"/>
    <w:rsid w:val="00790E56"/>
    <w:pPr>
      <w:tabs>
        <w:tab w:val="center" w:pos="4153"/>
        <w:tab w:val="right" w:pos="8306"/>
      </w:tabs>
      <w:snapToGrid w:val="0"/>
    </w:pPr>
    <w:rPr>
      <w:sz w:val="20"/>
      <w:szCs w:val="20"/>
    </w:rPr>
  </w:style>
  <w:style w:type="character" w:customStyle="1" w:styleId="a5">
    <w:name w:val="頁尾 字元"/>
    <w:basedOn w:val="a0"/>
    <w:link w:val="a4"/>
    <w:uiPriority w:val="99"/>
    <w:rsid w:val="00790E56"/>
    <w:rPr>
      <w:rFonts w:ascii="Calibri" w:eastAsia="新細明體" w:hAnsi="Calibri" w:cs="Times New Roman"/>
      <w:sz w:val="20"/>
      <w:szCs w:val="20"/>
    </w:rPr>
  </w:style>
  <w:style w:type="paragraph" w:styleId="a6">
    <w:name w:val="header"/>
    <w:basedOn w:val="a"/>
    <w:link w:val="a7"/>
    <w:uiPriority w:val="99"/>
    <w:semiHidden/>
    <w:unhideWhenUsed/>
    <w:rsid w:val="001E155E"/>
    <w:pPr>
      <w:tabs>
        <w:tab w:val="center" w:pos="4153"/>
        <w:tab w:val="right" w:pos="8306"/>
      </w:tabs>
      <w:snapToGrid w:val="0"/>
    </w:pPr>
    <w:rPr>
      <w:sz w:val="20"/>
      <w:szCs w:val="20"/>
    </w:rPr>
  </w:style>
  <w:style w:type="character" w:customStyle="1" w:styleId="a7">
    <w:name w:val="頁首 字元"/>
    <w:basedOn w:val="a0"/>
    <w:link w:val="a6"/>
    <w:uiPriority w:val="99"/>
    <w:semiHidden/>
    <w:rsid w:val="001E155E"/>
    <w:rPr>
      <w:rFonts w:ascii="Calibri" w:eastAsia="新細明體" w:hAnsi="Calibri" w:cs="Times New Roman"/>
      <w:sz w:val="20"/>
      <w:szCs w:val="20"/>
    </w:rPr>
  </w:style>
  <w:style w:type="character" w:styleId="a8">
    <w:name w:val="Hyperlink"/>
    <w:basedOn w:val="a0"/>
    <w:uiPriority w:val="99"/>
    <w:semiHidden/>
    <w:unhideWhenUsed/>
    <w:rsid w:val="003F08E9"/>
    <w:rPr>
      <w:color w:val="0000FF"/>
      <w:u w:val="single"/>
    </w:rPr>
  </w:style>
  <w:style w:type="table" w:styleId="a9">
    <w:name w:val="Table Grid"/>
    <w:basedOn w:val="a1"/>
    <w:uiPriority w:val="59"/>
    <w:rsid w:val="00AA1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796372">
      <w:bodyDiv w:val="1"/>
      <w:marLeft w:val="0"/>
      <w:marRight w:val="0"/>
      <w:marTop w:val="0"/>
      <w:marBottom w:val="0"/>
      <w:divBdr>
        <w:top w:val="none" w:sz="0" w:space="0" w:color="auto"/>
        <w:left w:val="none" w:sz="0" w:space="0" w:color="auto"/>
        <w:bottom w:val="none" w:sz="0" w:space="0" w:color="auto"/>
        <w:right w:val="none" w:sz="0" w:space="0" w:color="auto"/>
      </w:divBdr>
    </w:div>
    <w:div w:id="60137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fsc.gov.tw/law/LawContent.aspx?id=GL0003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fsc.gov.tw/law/LawContent.aspx?id=GL00032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fsc.gov.tw/law/LawContent.aspx?id=GL000329" TargetMode="External"/><Relationship Id="rId5" Type="http://schemas.openxmlformats.org/officeDocument/2006/relationships/footnotes" Target="footnotes.xml"/><Relationship Id="rId10" Type="http://schemas.openxmlformats.org/officeDocument/2006/relationships/hyperlink" Target="http://law.fsc.gov.tw/law/LawContent.aspx?id=GL000328" TargetMode="External"/><Relationship Id="rId4" Type="http://schemas.openxmlformats.org/officeDocument/2006/relationships/webSettings" Target="webSettings.xml"/><Relationship Id="rId9" Type="http://schemas.openxmlformats.org/officeDocument/2006/relationships/hyperlink" Target="http://law.fsc.gov.tw/law/LawContent.aspx?id=GL000329"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10</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hsin</dc:creator>
  <cp:lastModifiedBy>hsin</cp:lastModifiedBy>
  <cp:revision>73</cp:revision>
  <cp:lastPrinted>2015-05-05T08:40:00Z</cp:lastPrinted>
  <dcterms:created xsi:type="dcterms:W3CDTF">2015-05-04T01:48:00Z</dcterms:created>
  <dcterms:modified xsi:type="dcterms:W3CDTF">2015-05-06T09:49:00Z</dcterms:modified>
</cp:coreProperties>
</file>