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33FC" w14:textId="0EE674A2" w:rsidR="00242BE9" w:rsidRPr="007821B1" w:rsidRDefault="00242BE9" w:rsidP="00B55F34">
      <w:pPr>
        <w:spacing w:afterLines="50" w:after="180" w:line="400" w:lineRule="exact"/>
        <w:jc w:val="center"/>
        <w:rPr>
          <w:rFonts w:ascii="微軟正黑體" w:eastAsia="微軟正黑體" w:hAnsi="微軟正黑體"/>
          <w:sz w:val="32"/>
          <w:szCs w:val="32"/>
        </w:rPr>
      </w:pPr>
      <w:r w:rsidRPr="007821B1">
        <w:rPr>
          <w:rFonts w:ascii="微軟正黑體" w:eastAsia="微軟正黑體" w:hAnsi="微軟正黑體" w:hint="eastAsia"/>
          <w:b/>
          <w:sz w:val="32"/>
          <w:szCs w:val="32"/>
        </w:rPr>
        <w:t>證券商內部控制制度標準規範</w:t>
      </w:r>
      <w:proofErr w:type="gramStart"/>
      <w:r w:rsidRPr="007821B1">
        <w:rPr>
          <w:rFonts w:ascii="微軟正黑體" w:eastAsia="微軟正黑體" w:hAnsi="微軟正黑體"/>
          <w:b/>
          <w:sz w:val="32"/>
          <w:szCs w:val="32"/>
        </w:rPr>
        <w:t>—</w:t>
      </w:r>
      <w:proofErr w:type="gramEnd"/>
      <w:r w:rsidRPr="007821B1">
        <w:rPr>
          <w:rFonts w:ascii="微軟正黑體" w:eastAsia="微軟正黑體" w:hAnsi="微軟正黑體" w:hint="eastAsia"/>
          <w:b/>
          <w:sz w:val="32"/>
          <w:szCs w:val="32"/>
        </w:rPr>
        <w:t>內部控制制度（受託買賣外國有價證券）修訂對照表</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689"/>
        <w:gridCol w:w="4689"/>
        <w:gridCol w:w="3544"/>
      </w:tblGrid>
      <w:tr w:rsidR="005D0974" w:rsidRPr="007769F0" w14:paraId="67E2135E" w14:textId="77777777" w:rsidTr="005D0974">
        <w:trPr>
          <w:tblHeader/>
        </w:trPr>
        <w:tc>
          <w:tcPr>
            <w:tcW w:w="1277" w:type="dxa"/>
            <w:tcBorders>
              <w:top w:val="single" w:sz="4" w:space="0" w:color="auto"/>
              <w:bottom w:val="single" w:sz="4" w:space="0" w:color="auto"/>
              <w:right w:val="single" w:sz="4" w:space="0" w:color="auto"/>
            </w:tcBorders>
          </w:tcPr>
          <w:p w14:paraId="439E1566" w14:textId="77777777" w:rsidR="005D0974" w:rsidRPr="007769F0" w:rsidRDefault="005D0974" w:rsidP="00373BD7">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2A7D581" w14:textId="77777777" w:rsidR="005D0974" w:rsidRPr="007769F0" w:rsidRDefault="005D0974" w:rsidP="00373BD7">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689" w:type="dxa"/>
            <w:tcBorders>
              <w:top w:val="single" w:sz="4" w:space="0" w:color="auto"/>
              <w:left w:val="single" w:sz="4" w:space="0" w:color="auto"/>
              <w:bottom w:val="single" w:sz="4" w:space="0" w:color="auto"/>
              <w:right w:val="single" w:sz="4" w:space="0" w:color="auto"/>
            </w:tcBorders>
          </w:tcPr>
          <w:p w14:paraId="1BB67B79" w14:textId="30692ECB" w:rsidR="005D0974" w:rsidRPr="007769F0" w:rsidRDefault="005D0974" w:rsidP="00373BD7">
            <w:pPr>
              <w:spacing w:beforeLines="20" w:before="72" w:afterLines="20" w:after="72" w:line="400" w:lineRule="exact"/>
              <w:jc w:val="center"/>
              <w:rPr>
                <w:rFonts w:ascii="微軟正黑體" w:eastAsia="微軟正黑體" w:hAnsi="微軟正黑體"/>
                <w:spacing w:val="20"/>
                <w:szCs w:val="24"/>
              </w:rPr>
            </w:pPr>
            <w:r>
              <w:rPr>
                <w:rFonts w:ascii="微軟正黑體" w:eastAsia="微軟正黑體" w:hAnsi="微軟正黑體" w:hint="eastAsia"/>
                <w:spacing w:val="20"/>
                <w:szCs w:val="24"/>
              </w:rPr>
              <w:t>修正規定</w:t>
            </w:r>
          </w:p>
        </w:tc>
        <w:tc>
          <w:tcPr>
            <w:tcW w:w="4689" w:type="dxa"/>
            <w:tcBorders>
              <w:top w:val="single" w:sz="4" w:space="0" w:color="auto"/>
              <w:left w:val="single" w:sz="4" w:space="0" w:color="auto"/>
              <w:bottom w:val="single" w:sz="4" w:space="0" w:color="auto"/>
              <w:right w:val="single" w:sz="4" w:space="0" w:color="auto"/>
            </w:tcBorders>
          </w:tcPr>
          <w:p w14:paraId="60F3D147" w14:textId="1258D296" w:rsidR="005D0974" w:rsidRDefault="005D0974" w:rsidP="00373BD7">
            <w:pPr>
              <w:spacing w:beforeLines="20" w:before="72" w:afterLines="20" w:after="72" w:line="400" w:lineRule="exact"/>
              <w:jc w:val="center"/>
              <w:rPr>
                <w:rFonts w:ascii="微軟正黑體" w:eastAsia="微軟正黑體" w:hAnsi="微軟正黑體"/>
                <w:szCs w:val="24"/>
              </w:rPr>
            </w:pPr>
            <w:r>
              <w:rPr>
                <w:rFonts w:ascii="微軟正黑體" w:eastAsia="微軟正黑體" w:hAnsi="微軟正黑體" w:hint="eastAsia"/>
                <w:spacing w:val="20"/>
                <w:szCs w:val="24"/>
              </w:rPr>
              <w:t>現行規定</w:t>
            </w:r>
          </w:p>
        </w:tc>
        <w:tc>
          <w:tcPr>
            <w:tcW w:w="3544" w:type="dxa"/>
            <w:tcBorders>
              <w:top w:val="single" w:sz="4" w:space="0" w:color="auto"/>
              <w:left w:val="single" w:sz="4" w:space="0" w:color="auto"/>
              <w:bottom w:val="single" w:sz="4" w:space="0" w:color="auto"/>
            </w:tcBorders>
          </w:tcPr>
          <w:p w14:paraId="4D4B96B9" w14:textId="0EE67828" w:rsidR="005D0974" w:rsidRPr="007769F0" w:rsidRDefault="005D0974" w:rsidP="00373BD7">
            <w:pPr>
              <w:spacing w:beforeLines="20" w:before="72" w:afterLines="20" w:after="72" w:line="400" w:lineRule="exact"/>
              <w:jc w:val="center"/>
              <w:rPr>
                <w:rFonts w:ascii="微軟正黑體" w:eastAsia="微軟正黑體" w:hAnsi="微軟正黑體"/>
                <w:szCs w:val="24"/>
              </w:rPr>
            </w:pPr>
            <w:r>
              <w:rPr>
                <w:rFonts w:ascii="微軟正黑體" w:eastAsia="微軟正黑體" w:hAnsi="微軟正黑體" w:hint="eastAsia"/>
                <w:szCs w:val="24"/>
              </w:rPr>
              <w:t>依據資料</w:t>
            </w:r>
          </w:p>
        </w:tc>
      </w:tr>
      <w:tr w:rsidR="005D0974" w:rsidRPr="007769F0" w14:paraId="1A8C47EE" w14:textId="77777777" w:rsidTr="005D0974">
        <w:trPr>
          <w:trHeight w:val="5808"/>
        </w:trPr>
        <w:tc>
          <w:tcPr>
            <w:tcW w:w="1277" w:type="dxa"/>
            <w:tcBorders>
              <w:top w:val="single" w:sz="4" w:space="0" w:color="auto"/>
              <w:bottom w:val="single" w:sz="4" w:space="0" w:color="auto"/>
              <w:right w:val="single" w:sz="4" w:space="0" w:color="auto"/>
            </w:tcBorders>
          </w:tcPr>
          <w:p w14:paraId="670DE705" w14:textId="6B3C5F91" w:rsidR="005D0974" w:rsidRPr="007769F0" w:rsidRDefault="005D0974" w:rsidP="00373BD7">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Pr>
                <w:rFonts w:ascii="微軟正黑體" w:eastAsia="微軟正黑體" w:hAnsi="微軟正黑體" w:hint="eastAsia"/>
                <w:spacing w:val="-14"/>
                <w:szCs w:val="24"/>
              </w:rPr>
              <w:t>80</w:t>
            </w:r>
          </w:p>
          <w:p w14:paraId="235AED23" w14:textId="77777777" w:rsidR="005D0974" w:rsidRPr="007769F0" w:rsidRDefault="005D0974" w:rsidP="00373BD7">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75AB8029" w14:textId="77777777" w:rsidR="005D0974" w:rsidRPr="00F74A16" w:rsidRDefault="005D0974" w:rsidP="00373BD7">
            <w:pPr>
              <w:spacing w:line="340" w:lineRule="exact"/>
              <w:ind w:left="22"/>
              <w:jc w:val="both"/>
              <w:rPr>
                <w:rFonts w:ascii="微軟正黑體" w:eastAsia="微軟正黑體" w:hAnsi="微軟正黑體"/>
              </w:rPr>
            </w:pPr>
            <w:r w:rsidRPr="00F74A16">
              <w:rPr>
                <w:rFonts w:ascii="微軟正黑體" w:eastAsia="微軟正黑體" w:hAnsi="微軟正黑體" w:hint="eastAsia"/>
              </w:rPr>
              <w:t>交割款項收付作業</w:t>
            </w:r>
          </w:p>
          <w:p w14:paraId="3C80CEB3" w14:textId="77777777" w:rsidR="005D0974" w:rsidRPr="007769F0" w:rsidRDefault="005D0974" w:rsidP="00373BD7">
            <w:pPr>
              <w:spacing w:after="108" w:line="340" w:lineRule="exact"/>
              <w:jc w:val="both"/>
              <w:rPr>
                <w:rFonts w:ascii="微軟正黑體" w:eastAsia="微軟正黑體" w:hAnsi="微軟正黑體"/>
                <w:spacing w:val="24"/>
                <w:szCs w:val="24"/>
              </w:rPr>
            </w:pPr>
          </w:p>
        </w:tc>
        <w:tc>
          <w:tcPr>
            <w:tcW w:w="4689" w:type="dxa"/>
            <w:tcBorders>
              <w:top w:val="single" w:sz="4" w:space="0" w:color="auto"/>
              <w:left w:val="single" w:sz="4" w:space="0" w:color="auto"/>
              <w:bottom w:val="single" w:sz="4" w:space="0" w:color="auto"/>
              <w:right w:val="single" w:sz="4" w:space="0" w:color="auto"/>
            </w:tcBorders>
          </w:tcPr>
          <w:p w14:paraId="3F02DA82" w14:textId="3551B278" w:rsidR="005D0974" w:rsidRPr="00F74A16" w:rsidRDefault="005D0974" w:rsidP="00373BD7">
            <w:pPr>
              <w:spacing w:line="340" w:lineRule="exact"/>
              <w:ind w:left="480" w:hangingChars="200" w:hanging="480"/>
              <w:jc w:val="both"/>
              <w:rPr>
                <w:rFonts w:ascii="微軟正黑體" w:eastAsia="微軟正黑體" w:hAnsi="微軟正黑體"/>
                <w:szCs w:val="24"/>
              </w:rPr>
            </w:pPr>
            <w:proofErr w:type="gramStart"/>
            <w:r w:rsidRPr="00F74A16">
              <w:rPr>
                <w:rFonts w:ascii="微軟正黑體" w:eastAsia="微軟正黑體" w:hAnsi="微軟正黑體" w:hint="eastAsia"/>
                <w:szCs w:val="24"/>
              </w:rPr>
              <w:t>一</w:t>
            </w:r>
            <w:proofErr w:type="gramEnd"/>
            <w:r>
              <w:rPr>
                <w:rFonts w:ascii="微軟正黑體" w:eastAsia="微軟正黑體" w:hAnsi="微軟正黑體" w:hint="eastAsia"/>
                <w:szCs w:val="24"/>
              </w:rPr>
              <w:t>~三 (略)</w:t>
            </w:r>
          </w:p>
          <w:p w14:paraId="6B858C75" w14:textId="77777777" w:rsidR="005D0974" w:rsidRPr="00F74A16" w:rsidRDefault="005D0974" w:rsidP="00373BD7">
            <w:pPr>
              <w:spacing w:line="340" w:lineRule="exact"/>
              <w:ind w:left="480" w:right="28" w:hangingChars="200" w:hanging="480"/>
              <w:jc w:val="both"/>
              <w:rPr>
                <w:rFonts w:ascii="微軟正黑體" w:eastAsia="微軟正黑體" w:hAnsi="微軟正黑體"/>
                <w:szCs w:val="24"/>
              </w:rPr>
            </w:pPr>
            <w:r w:rsidRPr="00F74A16">
              <w:rPr>
                <w:rFonts w:ascii="微軟正黑體" w:eastAsia="微軟正黑體" w:hAnsi="微軟正黑體" w:hint="eastAsia"/>
                <w:szCs w:val="24"/>
              </w:rPr>
              <w:t>四、委託人指定以外幣交割之款項及費用，透過委託人外幣專戶</w:t>
            </w:r>
            <w:proofErr w:type="gramStart"/>
            <w:r w:rsidRPr="00F74A16">
              <w:rPr>
                <w:rFonts w:ascii="微軟正黑體" w:eastAsia="微軟正黑體" w:hAnsi="微軟正黑體" w:hint="eastAsia"/>
                <w:szCs w:val="24"/>
              </w:rPr>
              <w:t>收付者</w:t>
            </w:r>
            <w:proofErr w:type="gramEnd"/>
            <w:r w:rsidRPr="00F74A16">
              <w:rPr>
                <w:rFonts w:ascii="微軟正黑體" w:eastAsia="微軟正黑體" w:hAnsi="微軟正黑體" w:hint="eastAsia"/>
                <w:szCs w:val="24"/>
              </w:rPr>
              <w:t>，其交割結匯事項應依下列規定辦理：</w:t>
            </w:r>
          </w:p>
          <w:p w14:paraId="045DE07D" w14:textId="0FEE8488" w:rsidR="00373BD7" w:rsidRPr="007821B1" w:rsidRDefault="00373BD7"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FF0000"/>
                <w:sz w:val="24"/>
                <w:szCs w:val="24"/>
                <w:u w:val="single"/>
              </w:rPr>
            </w:pPr>
            <w:r w:rsidRPr="007821B1">
              <w:rPr>
                <w:rFonts w:ascii="微軟正黑體" w:eastAsia="微軟正黑體" w:hAnsi="微軟正黑體" w:hint="eastAsia"/>
                <w:color w:val="FF0000"/>
                <w:sz w:val="24"/>
                <w:szCs w:val="24"/>
                <w:u w:val="single"/>
              </w:rPr>
              <w:t>委託人開立外幣分</w:t>
            </w:r>
            <w:proofErr w:type="gramStart"/>
            <w:r w:rsidRPr="007821B1">
              <w:rPr>
                <w:rFonts w:ascii="微軟正黑體" w:eastAsia="微軟正黑體" w:hAnsi="微軟正黑體" w:hint="eastAsia"/>
                <w:color w:val="FF0000"/>
                <w:sz w:val="24"/>
                <w:szCs w:val="24"/>
                <w:u w:val="single"/>
              </w:rPr>
              <w:t>戶帳時</w:t>
            </w:r>
            <w:proofErr w:type="gramEnd"/>
            <w:r w:rsidRPr="007821B1">
              <w:rPr>
                <w:rFonts w:ascii="微軟正黑體" w:eastAsia="微軟正黑體" w:hAnsi="微軟正黑體" w:hint="eastAsia"/>
                <w:color w:val="FF0000"/>
                <w:sz w:val="24"/>
                <w:szCs w:val="24"/>
                <w:u w:val="single"/>
              </w:rPr>
              <w:t>，證券商應向委託人明確告知未來出金相關交割、結匯事宜及所衍生之各項費用及收取方式，並確實留存相關紀錄或文件。</w:t>
            </w:r>
          </w:p>
          <w:p w14:paraId="7D6A5F88" w14:textId="24C34B87" w:rsidR="005D0974" w:rsidRPr="00F74A16" w:rsidRDefault="005D0974"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委託人委託買進外國有價證券成交後，得以外幣或依外匯收支或交易申報辦法之規定向外匯指定銀行或辦理即期外匯交易業務之同一證券商以新臺幣</w:t>
            </w:r>
            <w:proofErr w:type="gramStart"/>
            <w:r w:rsidRPr="00F74A16">
              <w:rPr>
                <w:rFonts w:ascii="微軟正黑體" w:eastAsia="微軟正黑體" w:hAnsi="微軟正黑體" w:hint="eastAsia"/>
                <w:color w:val="auto"/>
                <w:sz w:val="24"/>
                <w:szCs w:val="24"/>
              </w:rPr>
              <w:t>結購</w:t>
            </w:r>
            <w:proofErr w:type="gramEnd"/>
            <w:r w:rsidRPr="00F74A16">
              <w:rPr>
                <w:rFonts w:ascii="微軟正黑體" w:eastAsia="微軟正黑體" w:hAnsi="微軟正黑體" w:hint="eastAsia"/>
                <w:color w:val="auto"/>
                <w:sz w:val="24"/>
                <w:szCs w:val="24"/>
              </w:rPr>
              <w:t>為外幣留存於委託人外幣專戶，交割款項及國外費用應以外幣為之，不得以新臺幣支付。</w:t>
            </w:r>
          </w:p>
          <w:p w14:paraId="74DFEE7F" w14:textId="1E315385" w:rsidR="005D0974" w:rsidRPr="00F74A16" w:rsidRDefault="005D0974"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委託人買進外國有價證券，應依照買進報告書所載應付金額，由委託人留存於客戶外幣專戶之款項支付之。</w:t>
            </w:r>
            <w:r w:rsidRPr="005D0974">
              <w:rPr>
                <w:rFonts w:ascii="微軟正黑體" w:eastAsia="微軟正黑體" w:hAnsi="微軟正黑體" w:hint="eastAsia"/>
                <w:color w:val="FF0000"/>
                <w:sz w:val="24"/>
                <w:szCs w:val="24"/>
                <w:u w:val="single"/>
              </w:rPr>
              <w:t>如客戶外幣專戶之款項不足</w:t>
            </w:r>
            <w:r>
              <w:rPr>
                <w:rFonts w:ascii="微軟正黑體" w:eastAsia="微軟正黑體" w:hAnsi="微軟正黑體" w:hint="eastAsia"/>
                <w:color w:val="FF0000"/>
                <w:sz w:val="24"/>
                <w:szCs w:val="24"/>
                <w:u w:val="single"/>
              </w:rPr>
              <w:t>支付應付款項</w:t>
            </w:r>
            <w:r w:rsidRPr="005D0974">
              <w:rPr>
                <w:rFonts w:ascii="微軟正黑體" w:eastAsia="微軟正黑體" w:hAnsi="微軟正黑體" w:hint="eastAsia"/>
                <w:color w:val="FF0000"/>
                <w:sz w:val="24"/>
                <w:szCs w:val="24"/>
                <w:u w:val="single"/>
              </w:rPr>
              <w:t>時，公司得經客戶</w:t>
            </w:r>
            <w:r>
              <w:rPr>
                <w:rFonts w:ascii="微軟正黑體" w:eastAsia="微軟正黑體" w:hAnsi="微軟正黑體" w:hint="eastAsia"/>
                <w:color w:val="FF0000"/>
                <w:sz w:val="24"/>
                <w:szCs w:val="24"/>
                <w:u w:val="single"/>
              </w:rPr>
              <w:t>指示自其委託人本人證券商交割專戶設置客戶分</w:t>
            </w:r>
            <w:proofErr w:type="gramStart"/>
            <w:r>
              <w:rPr>
                <w:rFonts w:ascii="微軟正黑體" w:eastAsia="微軟正黑體" w:hAnsi="微軟正黑體" w:hint="eastAsia"/>
                <w:color w:val="FF0000"/>
                <w:sz w:val="24"/>
                <w:szCs w:val="24"/>
                <w:u w:val="single"/>
              </w:rPr>
              <w:t>戶帳撥轉</w:t>
            </w:r>
            <w:proofErr w:type="gramEnd"/>
            <w:r>
              <w:rPr>
                <w:rFonts w:ascii="微軟正黑體" w:eastAsia="微軟正黑體" w:hAnsi="微軟正黑體" w:hint="eastAsia"/>
                <w:color w:val="FF0000"/>
                <w:sz w:val="24"/>
                <w:szCs w:val="24"/>
                <w:u w:val="single"/>
              </w:rPr>
              <w:t>差額，</w:t>
            </w:r>
            <w:r w:rsidRPr="005D0974">
              <w:rPr>
                <w:rFonts w:ascii="微軟正黑體" w:eastAsia="微軟正黑體" w:hAnsi="微軟正黑體" w:hint="eastAsia"/>
                <w:color w:val="FF0000"/>
                <w:sz w:val="24"/>
                <w:szCs w:val="24"/>
                <w:u w:val="single"/>
              </w:rPr>
              <w:t>應由委託人依外匯收支或交易申報辦法之規定，向</w:t>
            </w:r>
            <w:r w:rsidRPr="005D0974">
              <w:rPr>
                <w:rFonts w:ascii="微軟正黑體" w:eastAsia="微軟正黑體" w:hAnsi="微軟正黑體" w:hint="eastAsia"/>
                <w:color w:val="FF0000"/>
                <w:sz w:val="24"/>
                <w:szCs w:val="24"/>
                <w:u w:val="single"/>
              </w:rPr>
              <w:lastRenderedPageBreak/>
              <w:t>外匯指定銀行或辦理即期外匯交易業務之同一證券商辦理</w:t>
            </w:r>
            <w:proofErr w:type="gramStart"/>
            <w:r>
              <w:rPr>
                <w:rFonts w:ascii="微軟正黑體" w:eastAsia="微軟正黑體" w:hAnsi="微軟正黑體" w:hint="eastAsia"/>
                <w:color w:val="FF0000"/>
                <w:sz w:val="24"/>
                <w:szCs w:val="24"/>
                <w:u w:val="single"/>
              </w:rPr>
              <w:t>結購</w:t>
            </w:r>
            <w:proofErr w:type="gramEnd"/>
            <w:r>
              <w:rPr>
                <w:rFonts w:ascii="微軟正黑體" w:eastAsia="微軟正黑體" w:hAnsi="微軟正黑體" w:hint="eastAsia"/>
                <w:color w:val="FF0000"/>
                <w:sz w:val="24"/>
                <w:szCs w:val="24"/>
                <w:u w:val="single"/>
              </w:rPr>
              <w:t>。</w:t>
            </w:r>
          </w:p>
          <w:p w14:paraId="4DCD7559" w14:textId="688142C8" w:rsidR="005D0974" w:rsidRPr="00F74A16" w:rsidRDefault="005D0974"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委託人賣出外國有價證券，公司應按賣出報告書所載委託人應收金額，留存於客戶外幣專戶。</w:t>
            </w:r>
          </w:p>
          <w:p w14:paraId="5E1BB0DF" w14:textId="796A92BB" w:rsidR="005D0974" w:rsidRPr="00F74A16" w:rsidRDefault="005D0974"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委託人同一帳戶同日買進賣出或先行賣出並於交割日前買進外國有價證券所產生之收付款項，公司得依委託人之指定，將同一幣別</w:t>
            </w:r>
            <w:proofErr w:type="gramStart"/>
            <w:r w:rsidRPr="00F74A16">
              <w:rPr>
                <w:rFonts w:ascii="微軟正黑體" w:eastAsia="微軟正黑體" w:hAnsi="微軟正黑體" w:hint="eastAsia"/>
                <w:color w:val="auto"/>
                <w:sz w:val="24"/>
                <w:szCs w:val="24"/>
              </w:rPr>
              <w:t>之</w:t>
            </w:r>
            <w:proofErr w:type="gramEnd"/>
            <w:r w:rsidRPr="00F74A16">
              <w:rPr>
                <w:rFonts w:ascii="微軟正黑體" w:eastAsia="微軟正黑體" w:hAnsi="微軟正黑體" w:hint="eastAsia"/>
                <w:color w:val="auto"/>
                <w:sz w:val="24"/>
                <w:szCs w:val="24"/>
              </w:rPr>
              <w:t>應收（付）金額合併沖抵後，以應收（付）</w:t>
            </w:r>
            <w:proofErr w:type="gramStart"/>
            <w:r w:rsidRPr="00F74A16">
              <w:rPr>
                <w:rFonts w:ascii="微軟正黑體" w:eastAsia="微軟正黑體" w:hAnsi="微軟正黑體" w:hint="eastAsia"/>
                <w:color w:val="auto"/>
                <w:sz w:val="24"/>
                <w:szCs w:val="24"/>
              </w:rPr>
              <w:t>淨額存撥之</w:t>
            </w:r>
            <w:proofErr w:type="gramEnd"/>
            <w:r w:rsidRPr="00F74A16">
              <w:rPr>
                <w:rFonts w:ascii="微軟正黑體" w:eastAsia="微軟正黑體" w:hAnsi="微軟正黑體" w:hint="eastAsia"/>
                <w:color w:val="auto"/>
                <w:sz w:val="24"/>
                <w:szCs w:val="24"/>
              </w:rPr>
              <w:t>。</w:t>
            </w:r>
          </w:p>
          <w:p w14:paraId="675D372C" w14:textId="7B6A2601" w:rsidR="005D0974" w:rsidRPr="00F74A16" w:rsidRDefault="005D0974" w:rsidP="00373BD7">
            <w:pPr>
              <w:pStyle w:val="HTML1"/>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5919646" w14:textId="568D07FB" w:rsidR="005D0974" w:rsidRPr="000A65DD" w:rsidRDefault="00D93D8C" w:rsidP="00373BD7">
            <w:pPr>
              <w:spacing w:line="340" w:lineRule="exact"/>
              <w:ind w:left="480" w:right="28" w:hangingChars="200" w:hanging="480"/>
              <w:jc w:val="both"/>
              <w:rPr>
                <w:rFonts w:ascii="微軟正黑體" w:eastAsia="微軟正黑體" w:hAnsi="微軟正黑體"/>
                <w:color w:val="000000" w:themeColor="text1"/>
                <w:szCs w:val="24"/>
                <w:u w:val="single"/>
              </w:rPr>
            </w:pPr>
            <w:r>
              <w:rPr>
                <w:rFonts w:ascii="微軟正黑體" w:eastAsia="微軟正黑體" w:hAnsi="微軟正黑體" w:hint="eastAsia"/>
                <w:szCs w:val="24"/>
              </w:rPr>
              <w:t>(以下略)</w:t>
            </w:r>
          </w:p>
        </w:tc>
        <w:tc>
          <w:tcPr>
            <w:tcW w:w="4689" w:type="dxa"/>
            <w:tcBorders>
              <w:top w:val="single" w:sz="4" w:space="0" w:color="auto"/>
              <w:left w:val="single" w:sz="4" w:space="0" w:color="auto"/>
              <w:bottom w:val="single" w:sz="4" w:space="0" w:color="auto"/>
              <w:right w:val="single" w:sz="4" w:space="0" w:color="auto"/>
            </w:tcBorders>
          </w:tcPr>
          <w:p w14:paraId="0477D742" w14:textId="3794E309" w:rsidR="005D0974" w:rsidRPr="00F74A16" w:rsidRDefault="005D0974" w:rsidP="00373BD7">
            <w:pPr>
              <w:spacing w:line="340" w:lineRule="exact"/>
              <w:ind w:left="480" w:hangingChars="200" w:hanging="480"/>
              <w:jc w:val="both"/>
              <w:rPr>
                <w:rFonts w:ascii="微軟正黑體" w:eastAsia="微軟正黑體" w:hAnsi="微軟正黑體"/>
                <w:szCs w:val="24"/>
              </w:rPr>
            </w:pPr>
            <w:proofErr w:type="gramStart"/>
            <w:r w:rsidRPr="00F74A16">
              <w:rPr>
                <w:rFonts w:ascii="微軟正黑體" w:eastAsia="微軟正黑體" w:hAnsi="微軟正黑體" w:hint="eastAsia"/>
                <w:szCs w:val="24"/>
              </w:rPr>
              <w:lastRenderedPageBreak/>
              <w:t>一</w:t>
            </w:r>
            <w:proofErr w:type="gramEnd"/>
            <w:r>
              <w:rPr>
                <w:rFonts w:ascii="微軟正黑體" w:eastAsia="微軟正黑體" w:hAnsi="微軟正黑體" w:hint="eastAsia"/>
                <w:szCs w:val="24"/>
              </w:rPr>
              <w:t>~三 (略)</w:t>
            </w:r>
          </w:p>
          <w:p w14:paraId="1E6FD36F" w14:textId="77777777" w:rsidR="005D0974" w:rsidRPr="00F74A16" w:rsidRDefault="005D0974" w:rsidP="00373BD7">
            <w:pPr>
              <w:spacing w:line="340" w:lineRule="exact"/>
              <w:ind w:left="480" w:right="28" w:hangingChars="200" w:hanging="480"/>
              <w:jc w:val="both"/>
              <w:rPr>
                <w:rFonts w:ascii="微軟正黑體" w:eastAsia="微軟正黑體" w:hAnsi="微軟正黑體"/>
                <w:szCs w:val="24"/>
              </w:rPr>
            </w:pPr>
            <w:r w:rsidRPr="00F74A16">
              <w:rPr>
                <w:rFonts w:ascii="微軟正黑體" w:eastAsia="微軟正黑體" w:hAnsi="微軟正黑體" w:hint="eastAsia"/>
                <w:szCs w:val="24"/>
              </w:rPr>
              <w:t>四、委託人指定以外幣交割之款項及費用，透過委託人外幣專戶</w:t>
            </w:r>
            <w:proofErr w:type="gramStart"/>
            <w:r w:rsidRPr="00F74A16">
              <w:rPr>
                <w:rFonts w:ascii="微軟正黑體" w:eastAsia="微軟正黑體" w:hAnsi="微軟正黑體" w:hint="eastAsia"/>
                <w:szCs w:val="24"/>
              </w:rPr>
              <w:t>收付者</w:t>
            </w:r>
            <w:proofErr w:type="gramEnd"/>
            <w:r w:rsidRPr="00F74A16">
              <w:rPr>
                <w:rFonts w:ascii="微軟正黑體" w:eastAsia="微軟正黑體" w:hAnsi="微軟正黑體" w:hint="eastAsia"/>
                <w:szCs w:val="24"/>
              </w:rPr>
              <w:t>，其交割結匯事項應依下列規定辦理：</w:t>
            </w:r>
          </w:p>
          <w:p w14:paraId="430F0F28" w14:textId="67DC6CF7" w:rsidR="005D0974" w:rsidRPr="00F74A16" w:rsidRDefault="005D0974" w:rsidP="00373BD7">
            <w:pPr>
              <w:pStyle w:val="HTML1"/>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委託人委託買進外國有價證券成交後，得以外幣或依外匯收支或交易申報辦法之規定向外匯指定銀行或辦理即期外匯交易業務之同一證券商以新臺幣</w:t>
            </w:r>
            <w:proofErr w:type="gramStart"/>
            <w:r w:rsidRPr="00F74A16">
              <w:rPr>
                <w:rFonts w:ascii="微軟正黑體" w:eastAsia="微軟正黑體" w:hAnsi="微軟正黑體" w:hint="eastAsia"/>
                <w:color w:val="auto"/>
                <w:sz w:val="24"/>
                <w:szCs w:val="24"/>
              </w:rPr>
              <w:t>結購</w:t>
            </w:r>
            <w:proofErr w:type="gramEnd"/>
            <w:r w:rsidRPr="00F74A16">
              <w:rPr>
                <w:rFonts w:ascii="微軟正黑體" w:eastAsia="微軟正黑體" w:hAnsi="微軟正黑體" w:hint="eastAsia"/>
                <w:color w:val="auto"/>
                <w:sz w:val="24"/>
                <w:szCs w:val="24"/>
              </w:rPr>
              <w:t>為外幣留存於委託人外幣專戶，交割款項及國外費用應以外幣為之，不得以新臺幣支付。</w:t>
            </w:r>
          </w:p>
          <w:p w14:paraId="33C55676" w14:textId="4687EE0E" w:rsidR="005D0974" w:rsidRPr="00F74A16" w:rsidRDefault="005D0974" w:rsidP="00373BD7">
            <w:pPr>
              <w:pStyle w:val="HTML1"/>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委託人買進外國有價證券，應依照買進報告書所載應付金額，由委託人留存於客戶外幣專戶之款項支付之。</w:t>
            </w:r>
          </w:p>
          <w:p w14:paraId="152F2694" w14:textId="77777777" w:rsidR="00373BD7" w:rsidRDefault="005D0974" w:rsidP="00373BD7">
            <w:pPr>
              <w:pStyle w:val="HTML1"/>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委託人賣出外國有價證券，公司應按賣出報告書所載委託人應收金額，留存於客戶外幣專戶。</w:t>
            </w:r>
          </w:p>
          <w:p w14:paraId="7BF81547" w14:textId="2FF6412D" w:rsidR="005D0974" w:rsidRPr="00373BD7" w:rsidRDefault="005D0974" w:rsidP="00373BD7">
            <w:pPr>
              <w:pStyle w:val="HTML1"/>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jc w:val="both"/>
              <w:rPr>
                <w:rFonts w:ascii="微軟正黑體" w:eastAsia="微軟正黑體" w:hAnsi="微軟正黑體"/>
                <w:color w:val="auto"/>
                <w:sz w:val="24"/>
                <w:szCs w:val="24"/>
              </w:rPr>
            </w:pPr>
            <w:r w:rsidRPr="00373BD7">
              <w:rPr>
                <w:rFonts w:ascii="微軟正黑體" w:eastAsia="微軟正黑體" w:hAnsi="微軟正黑體" w:hint="eastAsia"/>
                <w:color w:val="auto"/>
                <w:sz w:val="24"/>
                <w:szCs w:val="24"/>
              </w:rPr>
              <w:t>委託人同一帳戶同日買進賣出或先行賣出並於交割日前買進外國有價證券所產生之收付款項，公司得依委託人之指定，將同一幣別</w:t>
            </w:r>
            <w:proofErr w:type="gramStart"/>
            <w:r w:rsidRPr="00373BD7">
              <w:rPr>
                <w:rFonts w:ascii="微軟正黑體" w:eastAsia="微軟正黑體" w:hAnsi="微軟正黑體" w:hint="eastAsia"/>
                <w:color w:val="auto"/>
                <w:sz w:val="24"/>
                <w:szCs w:val="24"/>
              </w:rPr>
              <w:t>之</w:t>
            </w:r>
            <w:proofErr w:type="gramEnd"/>
            <w:r w:rsidRPr="00373BD7">
              <w:rPr>
                <w:rFonts w:ascii="微軟正黑體" w:eastAsia="微軟正黑體" w:hAnsi="微軟正黑體" w:hint="eastAsia"/>
                <w:color w:val="auto"/>
                <w:sz w:val="24"/>
                <w:szCs w:val="24"/>
              </w:rPr>
              <w:t>應收（付）金額合併沖抵後，以應收（付）</w:t>
            </w:r>
            <w:proofErr w:type="gramStart"/>
            <w:r w:rsidRPr="00373BD7">
              <w:rPr>
                <w:rFonts w:ascii="微軟正黑體" w:eastAsia="微軟正黑體" w:hAnsi="微軟正黑體" w:hint="eastAsia"/>
                <w:color w:val="auto"/>
                <w:sz w:val="24"/>
                <w:szCs w:val="24"/>
              </w:rPr>
              <w:t>淨額存撥之</w:t>
            </w:r>
            <w:proofErr w:type="gramEnd"/>
            <w:r w:rsidRPr="00373BD7">
              <w:rPr>
                <w:rFonts w:ascii="微軟正黑體" w:eastAsia="微軟正黑體" w:hAnsi="微軟正黑體" w:hint="eastAsia"/>
                <w:color w:val="auto"/>
                <w:sz w:val="24"/>
                <w:szCs w:val="24"/>
              </w:rPr>
              <w:t>。</w:t>
            </w:r>
          </w:p>
          <w:p w14:paraId="77554A76" w14:textId="77777777" w:rsidR="005D0974" w:rsidRPr="00F74A16" w:rsidRDefault="005D0974" w:rsidP="00373BD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00" w:left="1200" w:hangingChars="300" w:hanging="720"/>
              <w:jc w:val="both"/>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lastRenderedPageBreak/>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0158FF1C" w14:textId="10A62669" w:rsidR="005D0974" w:rsidRPr="0007163B" w:rsidRDefault="00D93D8C" w:rsidP="00373BD7">
            <w:pPr>
              <w:spacing w:line="340" w:lineRule="exact"/>
              <w:ind w:left="510" w:hanging="510"/>
              <w:jc w:val="both"/>
              <w:rPr>
                <w:rFonts w:ascii="微軟正黑體" w:eastAsia="微軟正黑體" w:hAnsi="微軟正黑體"/>
              </w:rPr>
            </w:pPr>
            <w:r>
              <w:rPr>
                <w:rFonts w:ascii="微軟正黑體" w:eastAsia="微軟正黑體" w:hAnsi="微軟正黑體" w:hint="eastAsia"/>
                <w:szCs w:val="24"/>
              </w:rPr>
              <w:t>(以下略)</w:t>
            </w:r>
          </w:p>
        </w:tc>
        <w:tc>
          <w:tcPr>
            <w:tcW w:w="3544" w:type="dxa"/>
            <w:tcBorders>
              <w:top w:val="single" w:sz="4" w:space="0" w:color="auto"/>
              <w:left w:val="single" w:sz="4" w:space="0" w:color="auto"/>
              <w:bottom w:val="single" w:sz="4" w:space="0" w:color="auto"/>
            </w:tcBorders>
          </w:tcPr>
          <w:p w14:paraId="5B552F89" w14:textId="1B1A6605" w:rsidR="005D0974" w:rsidRPr="0007163B" w:rsidRDefault="005D0974" w:rsidP="00373BD7">
            <w:pPr>
              <w:spacing w:line="340" w:lineRule="exact"/>
              <w:ind w:left="510" w:hanging="510"/>
              <w:jc w:val="both"/>
              <w:rPr>
                <w:rFonts w:ascii="微軟正黑體" w:eastAsia="微軟正黑體" w:hAnsi="微軟正黑體"/>
              </w:rPr>
            </w:pPr>
            <w:r w:rsidRPr="0007163B">
              <w:rPr>
                <w:rFonts w:ascii="微軟正黑體" w:eastAsia="微軟正黑體" w:hAnsi="微軟正黑體" w:hint="eastAsia"/>
              </w:rPr>
              <w:lastRenderedPageBreak/>
              <w:t>法令規章：</w:t>
            </w:r>
          </w:p>
          <w:p w14:paraId="7AE0E132" w14:textId="202C3A2B" w:rsidR="005D0974" w:rsidRPr="005D0974" w:rsidRDefault="005D0974" w:rsidP="00373BD7">
            <w:pPr>
              <w:pStyle w:val="a3"/>
              <w:numPr>
                <w:ilvl w:val="0"/>
                <w:numId w:val="29"/>
              </w:numPr>
              <w:spacing w:line="340" w:lineRule="exact"/>
              <w:ind w:leftChars="0"/>
              <w:jc w:val="both"/>
              <w:rPr>
                <w:rFonts w:ascii="微軟正黑體" w:eastAsia="微軟正黑體" w:hAnsi="微軟正黑體"/>
              </w:rPr>
            </w:pPr>
            <w:r w:rsidRPr="005D0974">
              <w:rPr>
                <w:rFonts w:ascii="微軟正黑體" w:eastAsia="微軟正黑體" w:hAnsi="微軟正黑體" w:hint="eastAsia"/>
              </w:rPr>
              <w:t>證券商受託買賣外國有價證券管理規則第21條</w:t>
            </w:r>
          </w:p>
          <w:p w14:paraId="3797495A" w14:textId="77777777" w:rsidR="00373BD7" w:rsidRDefault="005D0974" w:rsidP="00373BD7">
            <w:pPr>
              <w:pStyle w:val="a3"/>
              <w:numPr>
                <w:ilvl w:val="0"/>
                <w:numId w:val="29"/>
              </w:numPr>
              <w:spacing w:line="340" w:lineRule="exact"/>
              <w:ind w:leftChars="0"/>
              <w:jc w:val="both"/>
              <w:rPr>
                <w:rFonts w:ascii="微軟正黑體" w:eastAsia="微軟正黑體" w:hAnsi="微軟正黑體"/>
              </w:rPr>
            </w:pPr>
            <w:r w:rsidRPr="005D0974">
              <w:rPr>
                <w:rFonts w:ascii="微軟正黑體" w:eastAsia="微軟正黑體" w:hAnsi="微軟正黑體" w:hint="eastAsia"/>
              </w:rPr>
              <w:t>中央銀行94年12月6日台</w:t>
            </w:r>
            <w:proofErr w:type="gramStart"/>
            <w:r w:rsidRPr="005D0974">
              <w:rPr>
                <w:rFonts w:ascii="微軟正黑體" w:eastAsia="微軟正黑體" w:hAnsi="微軟正黑體" w:hint="eastAsia"/>
              </w:rPr>
              <w:t>央外伍字</w:t>
            </w:r>
            <w:proofErr w:type="gramEnd"/>
            <w:r w:rsidRPr="005D0974">
              <w:rPr>
                <w:rFonts w:ascii="微軟正黑體" w:eastAsia="微軟正黑體" w:hAnsi="微軟正黑體" w:hint="eastAsia"/>
              </w:rPr>
              <w:t>第0940051321號函</w:t>
            </w:r>
          </w:p>
          <w:p w14:paraId="6BAE58A9" w14:textId="1592B0DA" w:rsidR="005D0974" w:rsidRPr="00373BD7" w:rsidRDefault="005D0974" w:rsidP="00373BD7">
            <w:pPr>
              <w:pStyle w:val="a3"/>
              <w:numPr>
                <w:ilvl w:val="0"/>
                <w:numId w:val="29"/>
              </w:numPr>
              <w:spacing w:line="340" w:lineRule="exact"/>
              <w:ind w:leftChars="0"/>
              <w:jc w:val="both"/>
              <w:rPr>
                <w:rFonts w:ascii="微軟正黑體" w:eastAsia="微軟正黑體" w:hAnsi="微軟正黑體"/>
              </w:rPr>
            </w:pPr>
            <w:r w:rsidRPr="00373BD7">
              <w:rPr>
                <w:rFonts w:ascii="微軟正黑體" w:eastAsia="微軟正黑體" w:hAnsi="微軟正黑體" w:hint="eastAsia"/>
              </w:rPr>
              <w:t>券商公會證券商受託買賣外國有價證券作業辦法第17條</w:t>
            </w:r>
          </w:p>
        </w:tc>
      </w:tr>
    </w:tbl>
    <w:p w14:paraId="0A7E581B" w14:textId="77777777" w:rsidR="00C870AA" w:rsidRPr="00A320C2" w:rsidRDefault="00C870AA" w:rsidP="00373BD7">
      <w:pPr>
        <w:spacing w:line="240" w:lineRule="exact"/>
        <w:rPr>
          <w:rFonts w:ascii="微軟正黑體" w:eastAsia="微軟正黑體" w:hAnsi="微軟正黑體" w:hint="eastAsia"/>
          <w:sz w:val="28"/>
          <w:szCs w:val="28"/>
        </w:rPr>
      </w:pPr>
    </w:p>
    <w:sectPr w:rsidR="00C870AA" w:rsidRPr="00A320C2" w:rsidSect="00377EFA">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A597" w14:textId="77777777" w:rsidR="006754AA" w:rsidRDefault="006754AA" w:rsidP="0092018C">
      <w:pPr>
        <w:spacing w:after="72"/>
      </w:pPr>
      <w:r>
        <w:separator/>
      </w:r>
    </w:p>
  </w:endnote>
  <w:endnote w:type="continuationSeparator" w:id="0">
    <w:p w14:paraId="187A370F" w14:textId="77777777" w:rsidR="006754AA" w:rsidRDefault="006754AA"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452D" w14:textId="77777777" w:rsidR="006754AA" w:rsidRDefault="006754AA" w:rsidP="0092018C">
      <w:pPr>
        <w:spacing w:after="72"/>
      </w:pPr>
      <w:r>
        <w:separator/>
      </w:r>
    </w:p>
  </w:footnote>
  <w:footnote w:type="continuationSeparator" w:id="0">
    <w:p w14:paraId="531F7EDF" w14:textId="77777777" w:rsidR="006754AA" w:rsidRDefault="006754AA"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E3A"/>
    <w:multiLevelType w:val="hybridMultilevel"/>
    <w:tmpl w:val="1DE2C6FA"/>
    <w:lvl w:ilvl="0" w:tplc="8E085FC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135C5595"/>
    <w:multiLevelType w:val="hybridMultilevel"/>
    <w:tmpl w:val="9D6265D0"/>
    <w:lvl w:ilvl="0" w:tplc="64F2222E">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4" w15:restartNumberingAfterBreak="0">
    <w:nsid w:val="22C80F67"/>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 w15:restartNumberingAfterBreak="0">
    <w:nsid w:val="25C35EE5"/>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B51A1"/>
    <w:multiLevelType w:val="hybridMultilevel"/>
    <w:tmpl w:val="D45ECE5C"/>
    <w:lvl w:ilvl="0" w:tplc="B106BEBE">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07499"/>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0">
    <w:nsid w:val="346D72D6"/>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4"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6"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1C3A9D"/>
    <w:multiLevelType w:val="hybridMultilevel"/>
    <w:tmpl w:val="AF40B568"/>
    <w:lvl w:ilvl="0" w:tplc="8E085FC2">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15:restartNumberingAfterBreak="0">
    <w:nsid w:val="57052D88"/>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713C62"/>
    <w:multiLevelType w:val="hybridMultilevel"/>
    <w:tmpl w:val="B27A7004"/>
    <w:lvl w:ilvl="0" w:tplc="8E085FC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6" w15:restartNumberingAfterBreak="0">
    <w:nsid w:val="62AA53AB"/>
    <w:multiLevelType w:val="hybridMultilevel"/>
    <w:tmpl w:val="4A02B18A"/>
    <w:lvl w:ilvl="0" w:tplc="7EFAB458">
      <w:start w:val="1"/>
      <w:numFmt w:val="taiwaneseCountingThousand"/>
      <w:lvlText w:val="（%1）"/>
      <w:lvlJc w:val="left"/>
      <w:pPr>
        <w:ind w:left="615" w:hanging="720"/>
      </w:pPr>
      <w:rPr>
        <w:rFonts w:hint="default"/>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27" w15:restartNumberingAfterBreak="0">
    <w:nsid w:val="634223CD"/>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8" w15:restartNumberingAfterBreak="0">
    <w:nsid w:val="643A4CEB"/>
    <w:multiLevelType w:val="hybridMultilevel"/>
    <w:tmpl w:val="3580FB68"/>
    <w:lvl w:ilvl="0" w:tplc="6804D19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1" w15:restartNumberingAfterBreak="0">
    <w:nsid w:val="729F7C8B"/>
    <w:multiLevelType w:val="hybridMultilevel"/>
    <w:tmpl w:val="44C6CA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796878745">
    <w:abstractNumId w:val="19"/>
  </w:num>
  <w:num w:numId="2" w16cid:durableId="1987128454">
    <w:abstractNumId w:val="22"/>
  </w:num>
  <w:num w:numId="3" w16cid:durableId="207767728">
    <w:abstractNumId w:val="15"/>
  </w:num>
  <w:num w:numId="4" w16cid:durableId="1634023915">
    <w:abstractNumId w:val="3"/>
  </w:num>
  <w:num w:numId="5" w16cid:durableId="319502074">
    <w:abstractNumId w:val="29"/>
  </w:num>
  <w:num w:numId="6" w16cid:durableId="458769515">
    <w:abstractNumId w:val="9"/>
  </w:num>
  <w:num w:numId="7" w16cid:durableId="287857393">
    <w:abstractNumId w:val="20"/>
  </w:num>
  <w:num w:numId="8" w16cid:durableId="957375898">
    <w:abstractNumId w:val="24"/>
  </w:num>
  <w:num w:numId="9" w16cid:durableId="994188739">
    <w:abstractNumId w:val="18"/>
  </w:num>
  <w:num w:numId="10" w16cid:durableId="676620424">
    <w:abstractNumId w:val="7"/>
  </w:num>
  <w:num w:numId="11" w16cid:durableId="823087713">
    <w:abstractNumId w:val="16"/>
  </w:num>
  <w:num w:numId="12" w16cid:durableId="970475236">
    <w:abstractNumId w:val="14"/>
  </w:num>
  <w:num w:numId="13" w16cid:durableId="1784567518">
    <w:abstractNumId w:val="10"/>
  </w:num>
  <w:num w:numId="14" w16cid:durableId="1824084328">
    <w:abstractNumId w:val="1"/>
  </w:num>
  <w:num w:numId="15" w16cid:durableId="1160577569">
    <w:abstractNumId w:val="30"/>
  </w:num>
  <w:num w:numId="16" w16cid:durableId="1451170335">
    <w:abstractNumId w:val="13"/>
  </w:num>
  <w:num w:numId="17" w16cid:durableId="1972199996">
    <w:abstractNumId w:val="25"/>
  </w:num>
  <w:num w:numId="18" w16cid:durableId="1610315180">
    <w:abstractNumId w:val="12"/>
  </w:num>
  <w:num w:numId="19" w16cid:durableId="1084034739">
    <w:abstractNumId w:val="32"/>
  </w:num>
  <w:num w:numId="20" w16cid:durableId="1627926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1040795">
    <w:abstractNumId w:val="21"/>
  </w:num>
  <w:num w:numId="22" w16cid:durableId="369961335">
    <w:abstractNumId w:val="2"/>
  </w:num>
  <w:num w:numId="23" w16cid:durableId="411007283">
    <w:abstractNumId w:val="27"/>
  </w:num>
  <w:num w:numId="24" w16cid:durableId="123933050">
    <w:abstractNumId w:val="6"/>
  </w:num>
  <w:num w:numId="25" w16cid:durableId="118884366">
    <w:abstractNumId w:val="8"/>
  </w:num>
  <w:num w:numId="26" w16cid:durableId="385302123">
    <w:abstractNumId w:val="4"/>
  </w:num>
  <w:num w:numId="27" w16cid:durableId="173375196">
    <w:abstractNumId w:val="11"/>
  </w:num>
  <w:num w:numId="28" w16cid:durableId="617420708">
    <w:abstractNumId w:val="5"/>
  </w:num>
  <w:num w:numId="29" w16cid:durableId="785318903">
    <w:abstractNumId w:val="26"/>
  </w:num>
  <w:num w:numId="30" w16cid:durableId="418327550">
    <w:abstractNumId w:val="31"/>
  </w:num>
  <w:num w:numId="31" w16cid:durableId="1443501128">
    <w:abstractNumId w:val="0"/>
  </w:num>
  <w:num w:numId="32" w16cid:durableId="1766226456">
    <w:abstractNumId w:val="17"/>
  </w:num>
  <w:num w:numId="33" w16cid:durableId="557086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26B2F"/>
    <w:rsid w:val="00026CFE"/>
    <w:rsid w:val="00035C40"/>
    <w:rsid w:val="00037AA7"/>
    <w:rsid w:val="00042F99"/>
    <w:rsid w:val="0006360E"/>
    <w:rsid w:val="0007163B"/>
    <w:rsid w:val="000743C7"/>
    <w:rsid w:val="00076C1A"/>
    <w:rsid w:val="000776EA"/>
    <w:rsid w:val="00077BAC"/>
    <w:rsid w:val="000816D3"/>
    <w:rsid w:val="000822FF"/>
    <w:rsid w:val="0009362B"/>
    <w:rsid w:val="00095244"/>
    <w:rsid w:val="00095625"/>
    <w:rsid w:val="000A6358"/>
    <w:rsid w:val="000A65DD"/>
    <w:rsid w:val="000C6833"/>
    <w:rsid w:val="000D4CFF"/>
    <w:rsid w:val="000E6472"/>
    <w:rsid w:val="000F5EBF"/>
    <w:rsid w:val="0010382B"/>
    <w:rsid w:val="00105217"/>
    <w:rsid w:val="001068E9"/>
    <w:rsid w:val="00115A40"/>
    <w:rsid w:val="00116C29"/>
    <w:rsid w:val="00117356"/>
    <w:rsid w:val="00127848"/>
    <w:rsid w:val="00131BCE"/>
    <w:rsid w:val="00141202"/>
    <w:rsid w:val="00142095"/>
    <w:rsid w:val="001425B3"/>
    <w:rsid w:val="001427AF"/>
    <w:rsid w:val="00144EF1"/>
    <w:rsid w:val="00146C29"/>
    <w:rsid w:val="00160751"/>
    <w:rsid w:val="001650E7"/>
    <w:rsid w:val="001664AC"/>
    <w:rsid w:val="00180C2C"/>
    <w:rsid w:val="001849CA"/>
    <w:rsid w:val="00197814"/>
    <w:rsid w:val="001A06AC"/>
    <w:rsid w:val="001B0513"/>
    <w:rsid w:val="001B29AE"/>
    <w:rsid w:val="001C30EA"/>
    <w:rsid w:val="001D07A6"/>
    <w:rsid w:val="001E1961"/>
    <w:rsid w:val="001E591A"/>
    <w:rsid w:val="001F376F"/>
    <w:rsid w:val="001F55BC"/>
    <w:rsid w:val="001F7C77"/>
    <w:rsid w:val="00212E69"/>
    <w:rsid w:val="002179EA"/>
    <w:rsid w:val="00221321"/>
    <w:rsid w:val="00223665"/>
    <w:rsid w:val="00231C93"/>
    <w:rsid w:val="002415DA"/>
    <w:rsid w:val="00242BE9"/>
    <w:rsid w:val="00244810"/>
    <w:rsid w:val="002475CE"/>
    <w:rsid w:val="00271FBE"/>
    <w:rsid w:val="002742D1"/>
    <w:rsid w:val="00274351"/>
    <w:rsid w:val="002850E3"/>
    <w:rsid w:val="00291D2C"/>
    <w:rsid w:val="002A63F0"/>
    <w:rsid w:val="002B5795"/>
    <w:rsid w:val="002C2F51"/>
    <w:rsid w:val="002C448A"/>
    <w:rsid w:val="002C672B"/>
    <w:rsid w:val="002C68F4"/>
    <w:rsid w:val="002D0828"/>
    <w:rsid w:val="002E047F"/>
    <w:rsid w:val="002E752F"/>
    <w:rsid w:val="002F7D40"/>
    <w:rsid w:val="00301798"/>
    <w:rsid w:val="00306521"/>
    <w:rsid w:val="003105D2"/>
    <w:rsid w:val="00312FB1"/>
    <w:rsid w:val="00322DC5"/>
    <w:rsid w:val="00323627"/>
    <w:rsid w:val="00326601"/>
    <w:rsid w:val="00331ECB"/>
    <w:rsid w:val="00332071"/>
    <w:rsid w:val="00336F3E"/>
    <w:rsid w:val="00342AB4"/>
    <w:rsid w:val="00357C0B"/>
    <w:rsid w:val="00366475"/>
    <w:rsid w:val="00370F55"/>
    <w:rsid w:val="00373BD7"/>
    <w:rsid w:val="00377497"/>
    <w:rsid w:val="00377EFA"/>
    <w:rsid w:val="003812D1"/>
    <w:rsid w:val="00381AC0"/>
    <w:rsid w:val="003820ED"/>
    <w:rsid w:val="00382E79"/>
    <w:rsid w:val="003C224C"/>
    <w:rsid w:val="003C2C34"/>
    <w:rsid w:val="003C51F1"/>
    <w:rsid w:val="003D2EEB"/>
    <w:rsid w:val="003E0458"/>
    <w:rsid w:val="003E6949"/>
    <w:rsid w:val="0042148E"/>
    <w:rsid w:val="0042230E"/>
    <w:rsid w:val="0042510C"/>
    <w:rsid w:val="00440B59"/>
    <w:rsid w:val="00443E68"/>
    <w:rsid w:val="00464949"/>
    <w:rsid w:val="00470B84"/>
    <w:rsid w:val="00472333"/>
    <w:rsid w:val="0048672A"/>
    <w:rsid w:val="004A475F"/>
    <w:rsid w:val="004A539A"/>
    <w:rsid w:val="004B052D"/>
    <w:rsid w:val="004B1FE5"/>
    <w:rsid w:val="004B4670"/>
    <w:rsid w:val="004C4B4C"/>
    <w:rsid w:val="004C4C76"/>
    <w:rsid w:val="004D000B"/>
    <w:rsid w:val="0050780A"/>
    <w:rsid w:val="00513AC2"/>
    <w:rsid w:val="00516449"/>
    <w:rsid w:val="005209B9"/>
    <w:rsid w:val="00533731"/>
    <w:rsid w:val="005365EE"/>
    <w:rsid w:val="005458CB"/>
    <w:rsid w:val="00546F98"/>
    <w:rsid w:val="00557EBD"/>
    <w:rsid w:val="00570555"/>
    <w:rsid w:val="005748BF"/>
    <w:rsid w:val="00580724"/>
    <w:rsid w:val="005851BD"/>
    <w:rsid w:val="00586675"/>
    <w:rsid w:val="005B0720"/>
    <w:rsid w:val="005C0399"/>
    <w:rsid w:val="005C4F31"/>
    <w:rsid w:val="005D0974"/>
    <w:rsid w:val="005D1814"/>
    <w:rsid w:val="006153D2"/>
    <w:rsid w:val="0061745D"/>
    <w:rsid w:val="006228D0"/>
    <w:rsid w:val="00622CDF"/>
    <w:rsid w:val="00627D44"/>
    <w:rsid w:val="00634DA9"/>
    <w:rsid w:val="00647408"/>
    <w:rsid w:val="00662ACC"/>
    <w:rsid w:val="006754AA"/>
    <w:rsid w:val="00691AB4"/>
    <w:rsid w:val="00693B69"/>
    <w:rsid w:val="00693D2D"/>
    <w:rsid w:val="00696EC1"/>
    <w:rsid w:val="006A7FB1"/>
    <w:rsid w:val="006B04B9"/>
    <w:rsid w:val="006D3E12"/>
    <w:rsid w:val="007107A5"/>
    <w:rsid w:val="00713DE2"/>
    <w:rsid w:val="00714039"/>
    <w:rsid w:val="00721C81"/>
    <w:rsid w:val="0072212A"/>
    <w:rsid w:val="007229AF"/>
    <w:rsid w:val="00724E6C"/>
    <w:rsid w:val="00733DE1"/>
    <w:rsid w:val="00734BD2"/>
    <w:rsid w:val="00741D6D"/>
    <w:rsid w:val="007769F0"/>
    <w:rsid w:val="0078001C"/>
    <w:rsid w:val="007821B1"/>
    <w:rsid w:val="00786A3F"/>
    <w:rsid w:val="007A18D6"/>
    <w:rsid w:val="007B0972"/>
    <w:rsid w:val="007B471E"/>
    <w:rsid w:val="007B5940"/>
    <w:rsid w:val="007C404B"/>
    <w:rsid w:val="007E3679"/>
    <w:rsid w:val="007E6C43"/>
    <w:rsid w:val="007F3AA6"/>
    <w:rsid w:val="007F7BBB"/>
    <w:rsid w:val="00800E68"/>
    <w:rsid w:val="00811082"/>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4848"/>
    <w:rsid w:val="008C7F24"/>
    <w:rsid w:val="008F3A97"/>
    <w:rsid w:val="008F3FC9"/>
    <w:rsid w:val="008F6162"/>
    <w:rsid w:val="008F7CCB"/>
    <w:rsid w:val="00912069"/>
    <w:rsid w:val="00917EE6"/>
    <w:rsid w:val="0092018C"/>
    <w:rsid w:val="00923019"/>
    <w:rsid w:val="00925863"/>
    <w:rsid w:val="0092734B"/>
    <w:rsid w:val="0093514C"/>
    <w:rsid w:val="00935E38"/>
    <w:rsid w:val="00936C88"/>
    <w:rsid w:val="00947D75"/>
    <w:rsid w:val="00966BAE"/>
    <w:rsid w:val="009670BE"/>
    <w:rsid w:val="009674E1"/>
    <w:rsid w:val="009928C1"/>
    <w:rsid w:val="009B470E"/>
    <w:rsid w:val="009B79F1"/>
    <w:rsid w:val="009C1263"/>
    <w:rsid w:val="009C1CC8"/>
    <w:rsid w:val="009C30F4"/>
    <w:rsid w:val="009C6A98"/>
    <w:rsid w:val="009D041D"/>
    <w:rsid w:val="009D505C"/>
    <w:rsid w:val="009D67A1"/>
    <w:rsid w:val="009E3864"/>
    <w:rsid w:val="009E4DAA"/>
    <w:rsid w:val="009E69CD"/>
    <w:rsid w:val="009F021F"/>
    <w:rsid w:val="009F13E0"/>
    <w:rsid w:val="00A050DF"/>
    <w:rsid w:val="00A21A8F"/>
    <w:rsid w:val="00A320C2"/>
    <w:rsid w:val="00A35CA7"/>
    <w:rsid w:val="00A449AB"/>
    <w:rsid w:val="00A47FC1"/>
    <w:rsid w:val="00A54BCF"/>
    <w:rsid w:val="00A675C9"/>
    <w:rsid w:val="00A755F4"/>
    <w:rsid w:val="00A806AB"/>
    <w:rsid w:val="00A86503"/>
    <w:rsid w:val="00A867C6"/>
    <w:rsid w:val="00A9670D"/>
    <w:rsid w:val="00AA20C7"/>
    <w:rsid w:val="00AB1817"/>
    <w:rsid w:val="00AB1953"/>
    <w:rsid w:val="00AB5DB5"/>
    <w:rsid w:val="00AC1823"/>
    <w:rsid w:val="00AC41D5"/>
    <w:rsid w:val="00AC5E4D"/>
    <w:rsid w:val="00AD13A2"/>
    <w:rsid w:val="00AF3BCF"/>
    <w:rsid w:val="00B00A68"/>
    <w:rsid w:val="00B13C9B"/>
    <w:rsid w:val="00B17D09"/>
    <w:rsid w:val="00B25B65"/>
    <w:rsid w:val="00B45FAA"/>
    <w:rsid w:val="00B460F4"/>
    <w:rsid w:val="00B545C6"/>
    <w:rsid w:val="00B55F34"/>
    <w:rsid w:val="00B602B0"/>
    <w:rsid w:val="00B6171B"/>
    <w:rsid w:val="00B637A2"/>
    <w:rsid w:val="00B64E7F"/>
    <w:rsid w:val="00B760D8"/>
    <w:rsid w:val="00B76B48"/>
    <w:rsid w:val="00B8264B"/>
    <w:rsid w:val="00BA2276"/>
    <w:rsid w:val="00BA3EB2"/>
    <w:rsid w:val="00BB3684"/>
    <w:rsid w:val="00BC3B5D"/>
    <w:rsid w:val="00BD1525"/>
    <w:rsid w:val="00BD2161"/>
    <w:rsid w:val="00BF3043"/>
    <w:rsid w:val="00BF4656"/>
    <w:rsid w:val="00C04AC4"/>
    <w:rsid w:val="00C07E54"/>
    <w:rsid w:val="00C122B9"/>
    <w:rsid w:val="00C1390A"/>
    <w:rsid w:val="00C143B3"/>
    <w:rsid w:val="00C178D0"/>
    <w:rsid w:val="00C215E0"/>
    <w:rsid w:val="00C2502D"/>
    <w:rsid w:val="00C31E86"/>
    <w:rsid w:val="00C34670"/>
    <w:rsid w:val="00C44A11"/>
    <w:rsid w:val="00C47B58"/>
    <w:rsid w:val="00C53DDB"/>
    <w:rsid w:val="00C61336"/>
    <w:rsid w:val="00C870AA"/>
    <w:rsid w:val="00C92B62"/>
    <w:rsid w:val="00C92BEE"/>
    <w:rsid w:val="00C9435E"/>
    <w:rsid w:val="00CA589B"/>
    <w:rsid w:val="00CB031F"/>
    <w:rsid w:val="00CC7ED9"/>
    <w:rsid w:val="00CD401D"/>
    <w:rsid w:val="00CD46D8"/>
    <w:rsid w:val="00CE4F75"/>
    <w:rsid w:val="00CE76AA"/>
    <w:rsid w:val="00CF7B7D"/>
    <w:rsid w:val="00D2580B"/>
    <w:rsid w:val="00D41489"/>
    <w:rsid w:val="00D443F5"/>
    <w:rsid w:val="00D52BE1"/>
    <w:rsid w:val="00D56000"/>
    <w:rsid w:val="00D5739D"/>
    <w:rsid w:val="00D6202A"/>
    <w:rsid w:val="00D62543"/>
    <w:rsid w:val="00D6265C"/>
    <w:rsid w:val="00D6354D"/>
    <w:rsid w:val="00D73488"/>
    <w:rsid w:val="00D73EF2"/>
    <w:rsid w:val="00D76147"/>
    <w:rsid w:val="00D7787D"/>
    <w:rsid w:val="00D81C84"/>
    <w:rsid w:val="00D93D8C"/>
    <w:rsid w:val="00DA2C25"/>
    <w:rsid w:val="00DA7118"/>
    <w:rsid w:val="00DC3927"/>
    <w:rsid w:val="00DC76B3"/>
    <w:rsid w:val="00E00F63"/>
    <w:rsid w:val="00E31E4E"/>
    <w:rsid w:val="00E4641C"/>
    <w:rsid w:val="00E54BDD"/>
    <w:rsid w:val="00E57856"/>
    <w:rsid w:val="00E735B9"/>
    <w:rsid w:val="00E93BC4"/>
    <w:rsid w:val="00E943FA"/>
    <w:rsid w:val="00E96EB0"/>
    <w:rsid w:val="00EA1BCB"/>
    <w:rsid w:val="00EA2B3E"/>
    <w:rsid w:val="00EC42DB"/>
    <w:rsid w:val="00ED231A"/>
    <w:rsid w:val="00EE2008"/>
    <w:rsid w:val="00EE5E73"/>
    <w:rsid w:val="00EF0008"/>
    <w:rsid w:val="00EF1D3A"/>
    <w:rsid w:val="00F00DD7"/>
    <w:rsid w:val="00F06A09"/>
    <w:rsid w:val="00F26187"/>
    <w:rsid w:val="00F27111"/>
    <w:rsid w:val="00F32C22"/>
    <w:rsid w:val="00F424A8"/>
    <w:rsid w:val="00F5778A"/>
    <w:rsid w:val="00F929D0"/>
    <w:rsid w:val="00F93473"/>
    <w:rsid w:val="00F96980"/>
    <w:rsid w:val="00FC0CFD"/>
    <w:rsid w:val="00FC1830"/>
    <w:rsid w:val="00FC3326"/>
    <w:rsid w:val="00FC4217"/>
    <w:rsid w:val="00FC6054"/>
    <w:rsid w:val="00FD380F"/>
    <w:rsid w:val="00FE5B47"/>
    <w:rsid w:val="00FE66FC"/>
    <w:rsid w:val="00FF147F"/>
    <w:rsid w:val="00FF23B9"/>
    <w:rsid w:val="00FF44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0EB1"/>
  <w15:docId w15:val="{D7BED64D-7E94-4881-BAC0-4D92BB35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974"/>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 w:type="paragraph" w:customStyle="1" w:styleId="HTML1">
    <w:name w:val="HTML 預設格式1"/>
    <w:basedOn w:val="a"/>
    <w:rsid w:val="000A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8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5827">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546CB-16C1-49BA-B4C9-AE3C97E8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張嘉純</cp:lastModifiedBy>
  <cp:revision>5</cp:revision>
  <cp:lastPrinted>2023-03-29T06:02:00Z</cp:lastPrinted>
  <dcterms:created xsi:type="dcterms:W3CDTF">2024-07-19T06:23:00Z</dcterms:created>
  <dcterms:modified xsi:type="dcterms:W3CDTF">2025-04-23T03:00:00Z</dcterms:modified>
</cp:coreProperties>
</file>