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5A8FF" w14:textId="102CBA64" w:rsidR="00563D12" w:rsidRPr="00E148E9" w:rsidRDefault="00767643" w:rsidP="002B6692">
      <w:pPr>
        <w:spacing w:line="240" w:lineRule="atLeast"/>
        <w:jc w:val="center"/>
        <w:rPr>
          <w:rFonts w:ascii="Times New Roman" w:eastAsia="標楷體" w:hAnsi="Times New Roman"/>
          <w:color w:val="000000" w:themeColor="text1"/>
          <w:szCs w:val="24"/>
        </w:rPr>
      </w:pPr>
      <w:r w:rsidRPr="00E148E9">
        <w:rPr>
          <w:rFonts w:ascii="Times New Roman" w:eastAsia="標楷體" w:hAnsi="Times New Roman"/>
          <w:color w:val="000000" w:themeColor="text1"/>
          <w:szCs w:val="24"/>
        </w:rPr>
        <w:t>Public Announcement of Competitive Auction of</w:t>
      </w:r>
      <w:r w:rsidR="004E60DE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Pr="00E148E9">
        <w:rPr>
          <w:rFonts w:ascii="Times New Roman" w:eastAsia="標楷體" w:hAnsi="Times New Roman"/>
          <w:color w:val="000000" w:themeColor="text1"/>
          <w:szCs w:val="24"/>
        </w:rPr>
        <w:t>Common Stock</w:t>
      </w:r>
      <w:r w:rsidR="00AC599C" w:rsidRPr="00E148E9">
        <w:rPr>
          <w:rFonts w:ascii="Times New Roman" w:eastAsia="標楷體" w:hAnsi="Times New Roman"/>
          <w:color w:val="000000" w:themeColor="text1"/>
          <w:szCs w:val="24"/>
        </w:rPr>
        <w:t xml:space="preserve"> in </w:t>
      </w:r>
      <w:r w:rsidR="00563D12" w:rsidRPr="00E148E9">
        <w:rPr>
          <w:rFonts w:ascii="Times New Roman" w:eastAsia="標楷體" w:hAnsi="Times New Roman"/>
          <w:color w:val="000000" w:themeColor="text1"/>
          <w:szCs w:val="24"/>
        </w:rPr>
        <w:t>C</w:t>
      </w:r>
      <w:r w:rsidR="00AC599C" w:rsidRPr="00E148E9">
        <w:rPr>
          <w:rFonts w:ascii="Times New Roman" w:eastAsia="標楷體" w:hAnsi="Times New Roman"/>
          <w:color w:val="000000" w:themeColor="text1"/>
          <w:szCs w:val="24"/>
        </w:rPr>
        <w:t>onnection with the</w:t>
      </w:r>
    </w:p>
    <w:p w14:paraId="6455E7BE" w14:textId="651C8FAD" w:rsidR="00047163" w:rsidRPr="00E148E9" w:rsidRDefault="004E60DE" w:rsidP="002B6692">
      <w:pPr>
        <w:spacing w:line="240" w:lineRule="atLeast"/>
        <w:jc w:val="center"/>
        <w:rPr>
          <w:rFonts w:ascii="Times New Roman" w:eastAsia="標楷體" w:hAnsi="Times New Roman"/>
          <w:color w:val="000000" w:themeColor="text1"/>
          <w:szCs w:val="24"/>
        </w:rPr>
      </w:pPr>
      <w:r w:rsidRPr="00E148E9">
        <w:rPr>
          <w:rFonts w:ascii="Times New Roman" w:eastAsia="標楷體" w:hAnsi="Times New Roman"/>
          <w:color w:val="000000" w:themeColor="text1"/>
          <w:szCs w:val="24"/>
          <w:highlight w:val="lightGray"/>
        </w:rPr>
        <w:t xml:space="preserve">____________ </w:t>
      </w:r>
      <w:r>
        <w:rPr>
          <w:rFonts w:ascii="Times New Roman" w:eastAsia="標楷體" w:hAnsi="Times New Roman"/>
          <w:color w:val="000000" w:themeColor="text1"/>
          <w:szCs w:val="24"/>
        </w:rPr>
        <w:t>(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請參考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Case</w:t>
      </w:r>
      <w:r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type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填</w:t>
      </w:r>
      <w:r w:rsidR="00762C14">
        <w:rPr>
          <w:rFonts w:ascii="Times New Roman" w:eastAsia="標楷體" w:hAnsi="Times New Roman" w:hint="eastAsia"/>
          <w:color w:val="000000" w:themeColor="text1"/>
          <w:szCs w:val="24"/>
        </w:rPr>
        <w:t>列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案件類型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563D12" w:rsidRPr="00E148E9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="00AC599C" w:rsidRPr="00E148E9">
        <w:rPr>
          <w:rFonts w:ascii="Times New Roman" w:eastAsia="標楷體" w:hAnsi="Times New Roman"/>
          <w:color w:val="000000" w:themeColor="text1"/>
          <w:szCs w:val="24"/>
        </w:rPr>
        <w:t xml:space="preserve">of </w:t>
      </w:r>
      <w:r w:rsidR="00AC599C" w:rsidRPr="00E148E9">
        <w:rPr>
          <w:rFonts w:ascii="Times New Roman" w:eastAsia="標楷體" w:hAnsi="Times New Roman"/>
          <w:color w:val="000000" w:themeColor="text1"/>
          <w:szCs w:val="24"/>
          <w:highlight w:val="lightGray"/>
        </w:rPr>
        <w:t>_</w:t>
      </w:r>
      <w:r w:rsidR="00563D12" w:rsidRPr="00E148E9">
        <w:rPr>
          <w:rFonts w:ascii="Times New Roman" w:eastAsia="標楷體" w:hAnsi="Times New Roman"/>
          <w:color w:val="000000" w:themeColor="text1"/>
          <w:szCs w:val="24"/>
          <w:highlight w:val="lightGray"/>
        </w:rPr>
        <w:t>______</w:t>
      </w:r>
      <w:r w:rsidR="00AC599C" w:rsidRPr="00E148E9">
        <w:rPr>
          <w:rFonts w:ascii="Times New Roman" w:eastAsia="標楷體" w:hAnsi="Times New Roman"/>
          <w:color w:val="000000" w:themeColor="text1"/>
          <w:szCs w:val="24"/>
          <w:highlight w:val="lightGray"/>
        </w:rPr>
        <w:t xml:space="preserve">_____ </w:t>
      </w:r>
      <w:r w:rsidR="00E148E9" w:rsidRPr="00E148E9">
        <w:rPr>
          <w:rFonts w:ascii="Times New Roman" w:eastAsia="標楷體" w:hAnsi="Times New Roman"/>
          <w:color w:val="000000" w:themeColor="text1"/>
          <w:szCs w:val="24"/>
        </w:rPr>
        <w:t>(</w:t>
      </w:r>
      <w:r w:rsidR="00E148E9" w:rsidRPr="00E148E9">
        <w:rPr>
          <w:rFonts w:ascii="Times New Roman" w:eastAsia="標楷體" w:hAnsi="Times New Roman"/>
          <w:color w:val="000000" w:themeColor="text1"/>
          <w:szCs w:val="24"/>
        </w:rPr>
        <w:t>填列發行公司英文全名</w:t>
      </w:r>
      <w:r w:rsidR="00E148E9" w:rsidRPr="00E148E9">
        <w:rPr>
          <w:rFonts w:ascii="Times New Roman" w:eastAsia="標楷體" w:hAnsi="Times New Roman"/>
          <w:color w:val="000000" w:themeColor="text1"/>
          <w:szCs w:val="24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7200"/>
      </w:tblGrid>
      <w:tr w:rsidR="002D7CC2" w:rsidRPr="00E148E9" w14:paraId="6201DFC4" w14:textId="77777777" w:rsidTr="003E6EE2">
        <w:trPr>
          <w:trHeight w:hRule="exact" w:val="922"/>
        </w:trPr>
        <w:tc>
          <w:tcPr>
            <w:tcW w:w="2689" w:type="dxa"/>
            <w:vAlign w:val="center"/>
          </w:tcPr>
          <w:p w14:paraId="423547F7" w14:textId="3245568C" w:rsidR="00047163" w:rsidRPr="00E148E9" w:rsidRDefault="00BB1ACC" w:rsidP="00977E40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Issuer</w:t>
            </w:r>
          </w:p>
          <w:p w14:paraId="076FBA6E" w14:textId="50CE0664" w:rsidR="00047163" w:rsidRPr="00E148E9" w:rsidRDefault="00BB1ACC" w:rsidP="00977E40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Stock code</w:t>
            </w:r>
          </w:p>
        </w:tc>
        <w:tc>
          <w:tcPr>
            <w:tcW w:w="7200" w:type="dxa"/>
            <w:vAlign w:val="center"/>
          </w:tcPr>
          <w:p w14:paraId="183354AF" w14:textId="27F971AD" w:rsidR="002D7CC2" w:rsidRPr="00E148E9" w:rsidRDefault="002D7CC2" w:rsidP="002D7CC2">
            <w:pPr>
              <w:spacing w:line="440" w:lineRule="exact"/>
              <w:ind w:leftChars="-20" w:left="2" w:hangingChars="21" w:hanging="50"/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>請填列發行公司英文全名</w:t>
            </w: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>(</w:t>
            </w: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>可參考公開資訊觀測站公司基本資料</w:t>
            </w: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>)</w:t>
            </w:r>
          </w:p>
          <w:p w14:paraId="644FBC90" w14:textId="044473E7" w:rsidR="00047163" w:rsidRPr="00E148E9" w:rsidRDefault="002D7CC2" w:rsidP="002D7CC2">
            <w:pPr>
              <w:spacing w:line="440" w:lineRule="exact"/>
              <w:ind w:leftChars="-20" w:left="2" w:hangingChars="21" w:hanging="5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>請填列發行公司股票代號</w:t>
            </w:r>
          </w:p>
        </w:tc>
      </w:tr>
      <w:tr w:rsidR="002D7CC2" w:rsidRPr="00E148E9" w14:paraId="2E2C50A6" w14:textId="77777777" w:rsidTr="003E6EE2">
        <w:trPr>
          <w:trHeight w:hRule="exact" w:val="2756"/>
        </w:trPr>
        <w:tc>
          <w:tcPr>
            <w:tcW w:w="2689" w:type="dxa"/>
            <w:vAlign w:val="center"/>
          </w:tcPr>
          <w:p w14:paraId="00AF19AE" w14:textId="5B9B1462" w:rsidR="00047163" w:rsidRPr="00E148E9" w:rsidRDefault="00AC599C" w:rsidP="00977E40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Case type</w:t>
            </w:r>
          </w:p>
        </w:tc>
        <w:tc>
          <w:tcPr>
            <w:tcW w:w="7200" w:type="dxa"/>
            <w:vAlign w:val="center"/>
          </w:tcPr>
          <w:p w14:paraId="30E6FF4A" w14:textId="23FDB170" w:rsidR="002D7CC2" w:rsidRPr="00E148E9" w:rsidRDefault="002D7CC2" w:rsidP="00977E40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請</w:t>
            </w:r>
            <w:r w:rsidR="003E6EE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依</w:t>
            </w: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案件類型</w:t>
            </w:r>
            <w:r w:rsidR="003E6EE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選填</w:t>
            </w:r>
          </w:p>
          <w:p w14:paraId="7951A762" w14:textId="6F2F1994" w:rsidR="00372FD2" w:rsidRPr="00E148E9" w:rsidRDefault="00767643" w:rsidP="00977E40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Initial </w:t>
            </w:r>
            <w:r w:rsidR="00563D1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TWSE L</w:t>
            </w: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isting</w:t>
            </w:r>
            <w:r w:rsidR="002D7CC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(</w:t>
            </w:r>
            <w:r w:rsidR="002D7CC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初次上市</w:t>
            </w:r>
            <w:r w:rsidR="002D7CC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</w:p>
          <w:p w14:paraId="783D18ED" w14:textId="5D608C0A" w:rsidR="00372FD2" w:rsidRPr="00E148E9" w:rsidRDefault="00767643" w:rsidP="00977E40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Initial </w:t>
            </w:r>
            <w:proofErr w:type="spellStart"/>
            <w:r w:rsidR="00563D1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TPEx</w:t>
            </w:r>
            <w:proofErr w:type="spellEnd"/>
            <w:r w:rsidR="00563D1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L</w:t>
            </w: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isting</w:t>
            </w:r>
            <w:r w:rsidR="002D7CC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="002D7CC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初次上櫃</w:t>
            </w:r>
            <w:r w:rsidR="002D7CC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</w:p>
          <w:p w14:paraId="677B5A15" w14:textId="538B8D6E" w:rsidR="00767643" w:rsidRPr="00E148E9" w:rsidRDefault="00767643" w:rsidP="00977E40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Initial Taiwan Innovation Boad (TIB</w:t>
            </w:r>
            <w:r w:rsidR="00E33A8D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="00563D1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Listing</w:t>
            </w:r>
            <w:r w:rsidR="002D7CC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(</w:t>
            </w:r>
            <w:proofErr w:type="gramStart"/>
            <w:r w:rsidR="002D7CC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創新板初上市</w:t>
            </w:r>
            <w:proofErr w:type="gramEnd"/>
            <w:r w:rsidR="002D7CC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</w:p>
          <w:p w14:paraId="0D1F12AB" w14:textId="00635427" w:rsidR="00047163" w:rsidRPr="00E148E9" w:rsidRDefault="00563D12" w:rsidP="00977E40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Transfer from </w:t>
            </w:r>
            <w:r w:rsidR="00767643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TIB </w:t>
            </w: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L</w:t>
            </w:r>
            <w:r w:rsidR="00767643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ist</w:t>
            </w: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ing </w:t>
            </w:r>
            <w:r w:rsidR="00767643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to TWSE </w:t>
            </w: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L</w:t>
            </w:r>
            <w:r w:rsidR="00767643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isting</w:t>
            </w:r>
            <w:r w:rsidR="002D7CC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(</w:t>
            </w:r>
            <w:r w:rsidR="002D7CC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創新板上市公司轉列上市</w:t>
            </w:r>
            <w:r w:rsidR="002D7CC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</w:p>
          <w:p w14:paraId="5878D265" w14:textId="2E249A8E" w:rsidR="00563D12" w:rsidRPr="00E148E9" w:rsidRDefault="00563D12" w:rsidP="00977E40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Transfer from TIB Listing to </w:t>
            </w:r>
            <w:proofErr w:type="spellStart"/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TPEx</w:t>
            </w:r>
            <w:proofErr w:type="spellEnd"/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Listing</w:t>
            </w:r>
            <w:r w:rsidR="002D7CC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="002D7CC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創新板上市公司轉列上櫃</w:t>
            </w:r>
            <w:r w:rsidR="002D7CC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</w:p>
        </w:tc>
      </w:tr>
      <w:tr w:rsidR="002D7CC2" w:rsidRPr="00E148E9" w14:paraId="34604164" w14:textId="77777777" w:rsidTr="003E6EE2">
        <w:trPr>
          <w:trHeight w:val="171"/>
        </w:trPr>
        <w:tc>
          <w:tcPr>
            <w:tcW w:w="2689" w:type="dxa"/>
            <w:vAlign w:val="center"/>
          </w:tcPr>
          <w:p w14:paraId="179280D2" w14:textId="3002F079" w:rsidR="009D3F1C" w:rsidRPr="00E148E9" w:rsidRDefault="00AC599C" w:rsidP="00977E40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Underwriters</w:t>
            </w:r>
          </w:p>
        </w:tc>
        <w:tc>
          <w:tcPr>
            <w:tcW w:w="7200" w:type="dxa"/>
            <w:vAlign w:val="center"/>
          </w:tcPr>
          <w:p w14:paraId="4C310A1B" w14:textId="07F7016C" w:rsidR="009D3F1C" w:rsidRPr="00E148E9" w:rsidRDefault="00AC599C" w:rsidP="00977E40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Lead underwriter:</w:t>
            </w:r>
            <w:r w:rsidR="004E60DE" w:rsidRPr="00E148E9">
              <w:rPr>
                <w:rFonts w:ascii="Times New Roman" w:eastAsia="標楷體" w:hAnsi="Times New Roman"/>
                <w:color w:val="000000" w:themeColor="text1"/>
                <w:szCs w:val="24"/>
                <w:highlight w:val="lightGray"/>
              </w:rPr>
              <w:t>_______</w:t>
            </w:r>
            <w:r w:rsidR="002D7CC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請填列主辦承銷商公司英文全名</w:t>
            </w:r>
          </w:p>
          <w:p w14:paraId="6A64B428" w14:textId="1CEE95D6" w:rsidR="009D3F1C" w:rsidRPr="00E148E9" w:rsidRDefault="00AC599C" w:rsidP="00977E40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Co-underwriter(s</w:t>
            </w:r>
            <w:r w:rsidR="00E33A8D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:</w:t>
            </w:r>
            <w:r w:rsidR="004E60DE" w:rsidRPr="00E148E9">
              <w:rPr>
                <w:rFonts w:ascii="Times New Roman" w:eastAsia="標楷體" w:hAnsi="Times New Roman"/>
                <w:color w:val="000000" w:themeColor="text1"/>
                <w:szCs w:val="24"/>
                <w:highlight w:val="lightGray"/>
              </w:rPr>
              <w:t>_______</w:t>
            </w:r>
            <w:r w:rsidR="002D7CC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請</w:t>
            </w:r>
            <w:r w:rsidR="003E6EE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依序</w:t>
            </w:r>
            <w:r w:rsidR="002D7CC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填列協辦承銷商公司英文全名</w:t>
            </w:r>
          </w:p>
        </w:tc>
      </w:tr>
      <w:tr w:rsidR="002D7CC2" w:rsidRPr="00E148E9" w14:paraId="4D9B5846" w14:textId="77777777" w:rsidTr="003E6EE2">
        <w:trPr>
          <w:trHeight w:val="555"/>
        </w:trPr>
        <w:tc>
          <w:tcPr>
            <w:tcW w:w="2689" w:type="dxa"/>
            <w:vAlign w:val="center"/>
          </w:tcPr>
          <w:p w14:paraId="619A4FC6" w14:textId="4730813B" w:rsidR="00A5236B" w:rsidRPr="004E60DE" w:rsidRDefault="00AC599C" w:rsidP="00AC599C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0DE">
              <w:rPr>
                <w:rFonts w:ascii="Times New Roman" w:eastAsia="標楷體" w:hAnsi="Times New Roman"/>
                <w:color w:val="000000" w:themeColor="text1"/>
                <w:szCs w:val="24"/>
              </w:rPr>
              <w:t>Total quantity underwritten (in units of a thousand shares</w:t>
            </w:r>
            <w:r w:rsidR="00E33A8D" w:rsidRPr="004E60DE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7200" w:type="dxa"/>
            <w:vAlign w:val="center"/>
          </w:tcPr>
          <w:p w14:paraId="1AB2F08E" w14:textId="0804EF87" w:rsidR="009D3F1C" w:rsidRPr="00E148E9" w:rsidRDefault="00AC599C" w:rsidP="00977E40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  <w:highlight w:val="lightGray"/>
              </w:rPr>
              <w:t>_______</w:t>
            </w: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="002D7CC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units (</w:t>
            </w:r>
            <w:r w:rsidR="002D7CC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請填列承銷總張數</w:t>
            </w:r>
            <w:r w:rsidR="00E148E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，例如</w:t>
            </w:r>
            <w:r w:rsidR="00E148E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  <w:r w:rsid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,000 units</w:t>
            </w:r>
            <w:r w:rsidR="002D7CC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</w:p>
          <w:p w14:paraId="2D5CEC84" w14:textId="7AEDCB80" w:rsidR="009D3F1C" w:rsidRPr="00E148E9" w:rsidRDefault="00D204CF" w:rsidP="00E33A8D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="00AC599C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Competitive auction: </w:t>
            </w:r>
            <w:r w:rsidR="00AC599C" w:rsidRPr="00E148E9">
              <w:rPr>
                <w:rFonts w:ascii="Times New Roman" w:eastAsia="標楷體" w:hAnsi="Times New Roman"/>
                <w:color w:val="000000" w:themeColor="text1"/>
                <w:szCs w:val="24"/>
                <w:highlight w:val="lightGray"/>
              </w:rPr>
              <w:t>_______</w:t>
            </w:r>
            <w:r w:rsidR="00AC599C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="002D7CC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units</w:t>
            </w:r>
            <w:r w:rsidR="00AC599C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;</w:t>
            </w:r>
            <w:r w:rsidR="004B3445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public subscription: </w:t>
            </w:r>
            <w:r w:rsidR="004B3445" w:rsidRPr="00E148E9">
              <w:rPr>
                <w:rFonts w:ascii="Times New Roman" w:eastAsia="標楷體" w:hAnsi="Times New Roman"/>
                <w:color w:val="000000" w:themeColor="text1"/>
                <w:szCs w:val="24"/>
                <w:highlight w:val="lightGray"/>
              </w:rPr>
              <w:t>______</w:t>
            </w:r>
            <w:r w:rsidR="002D7CC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units</w:t>
            </w:r>
            <w:r w:rsidR="004B3445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; preliminary overallotment</w:t>
            </w:r>
            <w:r w:rsidR="00E33A8D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:</w:t>
            </w:r>
            <w:r w:rsidR="004B3445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="004B3445" w:rsidRPr="00E148E9">
              <w:rPr>
                <w:rFonts w:ascii="Times New Roman" w:eastAsia="標楷體" w:hAnsi="Times New Roman"/>
                <w:color w:val="000000" w:themeColor="text1"/>
                <w:szCs w:val="24"/>
                <w:highlight w:val="lightGray"/>
              </w:rPr>
              <w:t>_______</w:t>
            </w:r>
            <w:r w:rsidR="003E6EE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="002D7CC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units</w:t>
            </w:r>
            <w:r w:rsidR="004B3445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; SFIPC: </w:t>
            </w:r>
            <w:r w:rsidR="009D3F1C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="004B3445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="002D7CC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unit</w:t>
            </w:r>
            <w:r w:rsidR="00E33A8D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</w:p>
          <w:p w14:paraId="77F3589C" w14:textId="35319B8E" w:rsidR="002D7CC2" w:rsidRPr="00E148E9" w:rsidRDefault="002D7CC2" w:rsidP="00E33A8D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請分別</w:t>
            </w:r>
            <w:proofErr w:type="gramStart"/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填列競拍</w:t>
            </w:r>
            <w:proofErr w:type="gramEnd"/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張數、申購張數、</w:t>
            </w:r>
            <w:proofErr w:type="gramStart"/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暫定過額配售</w:t>
            </w:r>
            <w:proofErr w:type="gramEnd"/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張數，若無投保中心，請刪除</w:t>
            </w: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SFIPC</w:t>
            </w:r>
            <w:r w:rsidR="00762C1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部分</w:t>
            </w: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</w:p>
        </w:tc>
      </w:tr>
      <w:tr w:rsidR="002D7CC2" w:rsidRPr="00E148E9" w14:paraId="74395447" w14:textId="77777777" w:rsidTr="003E6EE2">
        <w:trPr>
          <w:trHeight w:val="567"/>
        </w:trPr>
        <w:tc>
          <w:tcPr>
            <w:tcW w:w="2689" w:type="dxa"/>
            <w:vAlign w:val="center"/>
          </w:tcPr>
          <w:p w14:paraId="3B30244E" w14:textId="4B615785" w:rsidR="009D3F1C" w:rsidRPr="00E148E9" w:rsidRDefault="00762C14" w:rsidP="00E33A8D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Q</w:t>
            </w: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uantity 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through c</w:t>
            </w:r>
            <w:r w:rsidR="00AC599C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ompetitive auction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="004B3445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(in units of a thousand shares</w:t>
            </w:r>
            <w:r w:rsidR="00E33A8D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7200" w:type="dxa"/>
            <w:vAlign w:val="center"/>
          </w:tcPr>
          <w:p w14:paraId="40ED8CA4" w14:textId="0FA4F307" w:rsidR="009D3F1C" w:rsidRPr="00E148E9" w:rsidRDefault="004B3445" w:rsidP="00977E40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  <w:highlight w:val="lightGray"/>
              </w:rPr>
              <w:t>______</w:t>
            </w:r>
            <w:r w:rsidR="002D7CC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units (</w:t>
            </w:r>
            <w:r w:rsidR="002D7CC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請</w:t>
            </w:r>
            <w:proofErr w:type="gramStart"/>
            <w:r w:rsidR="002D7CC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填列競拍</w:t>
            </w:r>
            <w:proofErr w:type="gramEnd"/>
            <w:r w:rsidR="002D7CC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張數</w:t>
            </w:r>
            <w:r w:rsidR="002D7CC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</w:p>
        </w:tc>
      </w:tr>
      <w:tr w:rsidR="002D7CC2" w:rsidRPr="00E148E9" w14:paraId="2F9D458A" w14:textId="77777777" w:rsidTr="003E6EE2">
        <w:trPr>
          <w:trHeight w:val="567"/>
        </w:trPr>
        <w:tc>
          <w:tcPr>
            <w:tcW w:w="2689" w:type="dxa"/>
            <w:vAlign w:val="center"/>
          </w:tcPr>
          <w:p w14:paraId="72607B87" w14:textId="2875FD9F" w:rsidR="009D3F1C" w:rsidRPr="00E148E9" w:rsidRDefault="00C169E5" w:rsidP="00926949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M</w:t>
            </w:r>
            <w:r w:rsidR="00E33A8D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inimum offering price (N</w:t>
            </w:r>
            <w:r w:rsidR="00754F03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ew Taiwan </w:t>
            </w:r>
            <w:r w:rsidR="00712CEA">
              <w:rPr>
                <w:rFonts w:ascii="Times New Roman" w:eastAsia="標楷體" w:hAnsi="Times New Roman"/>
                <w:color w:val="000000" w:themeColor="text1"/>
                <w:szCs w:val="24"/>
              </w:rPr>
              <w:t>D</w:t>
            </w:r>
            <w:r w:rsidR="00754F03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ollars [TWD]</w:t>
            </w:r>
            <w:r w:rsidR="00E33A8D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/share)</w:t>
            </w:r>
          </w:p>
        </w:tc>
        <w:tc>
          <w:tcPr>
            <w:tcW w:w="7200" w:type="dxa"/>
            <w:vAlign w:val="center"/>
          </w:tcPr>
          <w:p w14:paraId="7A6FD723" w14:textId="4D9597C1" w:rsidR="009D3F1C" w:rsidRPr="00E148E9" w:rsidRDefault="00754F03" w:rsidP="00977E40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TWD</w:t>
            </w:r>
            <w:r w:rsidR="003E6EE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="00E33A8D" w:rsidRPr="00E148E9">
              <w:rPr>
                <w:rFonts w:ascii="Times New Roman" w:eastAsia="標楷體" w:hAnsi="Times New Roman"/>
                <w:color w:val="000000" w:themeColor="text1"/>
                <w:szCs w:val="24"/>
                <w:highlight w:val="lightGray"/>
              </w:rPr>
              <w:t>______</w:t>
            </w:r>
            <w:r w:rsidR="002D7CC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(</w:t>
            </w:r>
            <w:r w:rsidR="002D7CC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請填列最低承銷價格，底</w:t>
            </w:r>
            <w:r w:rsidR="003E6EE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標</w:t>
            </w:r>
            <w:r w:rsidR="002D7CC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</w:p>
        </w:tc>
      </w:tr>
      <w:tr w:rsidR="002D7CC2" w:rsidRPr="00E148E9" w14:paraId="04A0718B" w14:textId="77777777" w:rsidTr="003E6EE2">
        <w:trPr>
          <w:trHeight w:val="709"/>
        </w:trPr>
        <w:tc>
          <w:tcPr>
            <w:tcW w:w="2689" w:type="dxa"/>
            <w:vAlign w:val="center"/>
          </w:tcPr>
          <w:p w14:paraId="5D3679C8" w14:textId="367F5ACD" w:rsidR="009D3F1C" w:rsidRPr="00E148E9" w:rsidRDefault="003A771B" w:rsidP="003A771B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O</w:t>
            </w:r>
            <w:r w:rsidR="00E33A8D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ffering price</w:t>
            </w:r>
          </w:p>
        </w:tc>
        <w:tc>
          <w:tcPr>
            <w:tcW w:w="7200" w:type="dxa"/>
            <w:vAlign w:val="center"/>
          </w:tcPr>
          <w:p w14:paraId="778FB9B0" w14:textId="7A5CD364" w:rsidR="00AE475C" w:rsidRPr="00E148E9" w:rsidRDefault="00500A62" w:rsidP="007C38A2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If </w:t>
            </w:r>
            <w:r w:rsidR="00AE475C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the total </w:t>
            </w:r>
            <w:r w:rsidR="009E579C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quantity </w:t>
            </w:r>
            <w:r w:rsidR="00AE475C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awarded </w:t>
            </w: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in the </w:t>
            </w:r>
            <w:r w:rsidR="00AE475C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competitive auction reaches the full amount available </w:t>
            </w: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in the auction</w:t>
            </w:r>
            <w:r w:rsidR="00AE475C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, the offering price </w:t>
            </w:r>
            <w:r w:rsidR="003A771B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for </w:t>
            </w:r>
            <w:r w:rsidR="00AA397D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subsequent public subscription or preliminary overallotment </w:t>
            </w:r>
            <w:r w:rsidR="00AE475C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shall be the weighted average </w:t>
            </w: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price calculated by the </w:t>
            </w:r>
            <w:r w:rsidR="00AE475C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price</w:t>
            </w: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s and quantities</w:t>
            </w:r>
            <w:r w:rsidR="00AE475C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of all successful bids (decimals beyond cents shall be rounded up or down), and shall be capped at a multiple of </w:t>
            </w:r>
            <w:r w:rsidR="009E579C" w:rsidRPr="00E148E9">
              <w:rPr>
                <w:rFonts w:ascii="Times New Roman" w:eastAsia="標楷體" w:hAnsi="Times New Roman"/>
                <w:color w:val="000000" w:themeColor="text1"/>
                <w:szCs w:val="24"/>
                <w:highlight w:val="lightGray"/>
              </w:rPr>
              <w:t>___</w:t>
            </w:r>
            <w:r w:rsidR="009E579C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times </w:t>
            </w:r>
            <w:r w:rsidR="00AE475C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the minimum offering price</w:t>
            </w:r>
            <w:r w:rsidR="009E579C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. I</w:t>
            </w:r>
            <w:r w:rsidR="00AE475C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f the total </w:t>
            </w:r>
            <w:r w:rsidR="009E579C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quantity awarded does not reach </w:t>
            </w:r>
            <w:r w:rsidR="00AE475C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the </w:t>
            </w:r>
            <w:r w:rsidR="009E579C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quantity available in the competitive </w:t>
            </w:r>
            <w:r w:rsidR="00AE475C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auction, then the minimum offering price shall serve as the offering price</w:t>
            </w:r>
            <w:r w:rsidR="003A771B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. </w:t>
            </w:r>
            <w:r w:rsidR="002D7CC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(</w:t>
            </w:r>
            <w:r w:rsidR="002D7CC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請填列一定倍數，如</w:t>
            </w:r>
            <w:r w:rsidR="002D7CC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1.3)</w:t>
            </w:r>
          </w:p>
          <w:p w14:paraId="0DEAD2AA" w14:textId="5902E1FD" w:rsidR="002D7CC2" w:rsidRPr="00E148E9" w:rsidRDefault="00AE475C" w:rsidP="003E6EE2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lastRenderedPageBreak/>
              <w:t xml:space="preserve">The actual </w:t>
            </w:r>
            <w:r w:rsidR="00E33A8D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offering price</w:t>
            </w:r>
            <w:r w:rsidR="0056539D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can be looked up on the </w:t>
            </w:r>
            <w:r w:rsidR="00AC599C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competitive auction</w:t>
            </w:r>
            <w:r w:rsidR="0056539D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system</w:t>
            </w:r>
            <w:r w:rsidR="00E33A8D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(</w:t>
            </w:r>
            <w:r w:rsidR="00DA502A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https</w:t>
            </w:r>
            <w:r w:rsidR="00AC599C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:</w:t>
            </w:r>
            <w:r w:rsidR="00DA502A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//scas.twse.com.tw</w:t>
            </w:r>
            <w:r w:rsidR="00E33A8D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="0056539D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or the TWSE website after 10 a.m. on the bid opening date</w:t>
            </w:r>
            <w:r w:rsidR="002D7CC2" w:rsidRPr="00E148E9">
              <w:rPr>
                <w:rFonts w:ascii="Times New Roman" w:eastAsia="標楷體" w:hAnsi="Times New Roman"/>
                <w:szCs w:val="24"/>
              </w:rPr>
              <w:t xml:space="preserve"> </w:t>
            </w:r>
            <w:proofErr w:type="spellStart"/>
            <w:r w:rsidR="002D7CC2" w:rsidRPr="00E148E9">
              <w:rPr>
                <w:rFonts w:ascii="Times New Roman" w:eastAsia="標楷體" w:hAnsi="Times New Roman"/>
                <w:szCs w:val="24"/>
                <w:highlight w:val="lightGray"/>
                <w:u w:val="single"/>
              </w:rPr>
              <w:t>yyyy</w:t>
            </w:r>
            <w:proofErr w:type="spellEnd"/>
            <w:r w:rsidR="002D7CC2" w:rsidRPr="00E148E9">
              <w:rPr>
                <w:rFonts w:ascii="Times New Roman" w:eastAsia="標楷體" w:hAnsi="Times New Roman"/>
                <w:szCs w:val="24"/>
                <w:highlight w:val="lightGray"/>
                <w:u w:val="single"/>
              </w:rPr>
              <w:t>/mm/</w:t>
            </w:r>
            <w:proofErr w:type="gramStart"/>
            <w:r w:rsidR="002D7CC2" w:rsidRPr="00E148E9">
              <w:rPr>
                <w:rFonts w:ascii="Times New Roman" w:eastAsia="標楷體" w:hAnsi="Times New Roman"/>
                <w:szCs w:val="24"/>
                <w:highlight w:val="lightGray"/>
                <w:u w:val="single"/>
              </w:rPr>
              <w:t>dd</w:t>
            </w:r>
            <w:r w:rsidR="002D7CC2" w:rsidRPr="00E148E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56539D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  <w:proofErr w:type="gramEnd"/>
            <w:r w:rsidR="003E6EE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(</w:t>
            </w:r>
            <w:r w:rsidR="003E6EE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請填列開標日期，以西元年月日表示</w:t>
            </w:r>
            <w:r w:rsidR="003E6EE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</w:p>
        </w:tc>
      </w:tr>
      <w:tr w:rsidR="002D7CC2" w:rsidRPr="00E148E9" w14:paraId="0D4796F3" w14:textId="77777777" w:rsidTr="003E6EE2">
        <w:trPr>
          <w:trHeight w:val="77"/>
        </w:trPr>
        <w:tc>
          <w:tcPr>
            <w:tcW w:w="2689" w:type="dxa"/>
            <w:vAlign w:val="center"/>
          </w:tcPr>
          <w:p w14:paraId="7EFCFD6D" w14:textId="6948C363" w:rsidR="009D3F1C" w:rsidRPr="00E148E9" w:rsidRDefault="0056539D" w:rsidP="00926949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lastRenderedPageBreak/>
              <w:t>Bidding period</w:t>
            </w:r>
          </w:p>
        </w:tc>
        <w:tc>
          <w:tcPr>
            <w:tcW w:w="7200" w:type="dxa"/>
            <w:vAlign w:val="center"/>
          </w:tcPr>
          <w:p w14:paraId="2A7F760C" w14:textId="30F14132" w:rsidR="009D3F1C" w:rsidRPr="00E148E9" w:rsidRDefault="002D7CC2" w:rsidP="00977E40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spellStart"/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  <w:highlight w:val="lightGray"/>
                <w:u w:val="single"/>
              </w:rPr>
              <w:t>yyyy</w:t>
            </w:r>
            <w:proofErr w:type="spellEnd"/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  <w:highlight w:val="lightGray"/>
                <w:u w:val="single"/>
              </w:rPr>
              <w:t>/mm/dd</w:t>
            </w: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="005C2ABF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to</w:t>
            </w: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  <w:highlight w:val="lightGray"/>
                <w:u w:val="single"/>
              </w:rPr>
              <w:t>yyyy</w:t>
            </w:r>
            <w:proofErr w:type="spellEnd"/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  <w:highlight w:val="lightGray"/>
                <w:u w:val="single"/>
              </w:rPr>
              <w:t>/mm/dd</w:t>
            </w:r>
          </w:p>
          <w:p w14:paraId="5000101D" w14:textId="77777777" w:rsidR="009D3F1C" w:rsidRPr="00E148E9" w:rsidRDefault="0056539D" w:rsidP="00977E40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Daily from 9 a.m. to 2 p.m. on business days during the bidding period</w:t>
            </w:r>
          </w:p>
          <w:p w14:paraId="4A933AE7" w14:textId="06596B8E" w:rsidR="002D7CC2" w:rsidRPr="00E148E9" w:rsidRDefault="002D7CC2" w:rsidP="00977E40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請分別填列投標開始日及投標截止日，以西元年月日表示</w:t>
            </w:r>
          </w:p>
        </w:tc>
      </w:tr>
      <w:tr w:rsidR="00B10F09" w:rsidRPr="00E148E9" w14:paraId="553119F6" w14:textId="77777777" w:rsidTr="003E6EE2">
        <w:trPr>
          <w:trHeight w:val="131"/>
        </w:trPr>
        <w:tc>
          <w:tcPr>
            <w:tcW w:w="2689" w:type="dxa"/>
            <w:vAlign w:val="center"/>
          </w:tcPr>
          <w:p w14:paraId="70D3216B" w14:textId="2697547E" w:rsidR="009D3F1C" w:rsidRPr="00E148E9" w:rsidRDefault="003A771B" w:rsidP="00926949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Date and place for opening of bids</w:t>
            </w:r>
          </w:p>
        </w:tc>
        <w:tc>
          <w:tcPr>
            <w:tcW w:w="7200" w:type="dxa"/>
            <w:vAlign w:val="center"/>
          </w:tcPr>
          <w:p w14:paraId="40D89BAA" w14:textId="719F2F55" w:rsidR="009D3F1C" w:rsidRPr="00E148E9" w:rsidRDefault="00C2336F" w:rsidP="007C38A2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Bids will be opened at the TWSE at 10 a.m. on </w:t>
            </w:r>
            <w:proofErr w:type="spellStart"/>
            <w:r w:rsidR="002D7CC2" w:rsidRPr="00E148E9">
              <w:rPr>
                <w:rFonts w:ascii="Times New Roman" w:eastAsia="標楷體" w:hAnsi="Times New Roman"/>
                <w:color w:val="000000" w:themeColor="text1"/>
                <w:szCs w:val="24"/>
                <w:highlight w:val="lightGray"/>
                <w:u w:val="single"/>
              </w:rPr>
              <w:t>yyyy</w:t>
            </w:r>
            <w:proofErr w:type="spellEnd"/>
            <w:r w:rsidR="002D7CC2" w:rsidRPr="00E148E9">
              <w:rPr>
                <w:rFonts w:ascii="Times New Roman" w:eastAsia="標楷體" w:hAnsi="Times New Roman"/>
                <w:color w:val="000000" w:themeColor="text1"/>
                <w:szCs w:val="24"/>
                <w:highlight w:val="lightGray"/>
                <w:u w:val="single"/>
              </w:rPr>
              <w:t>/mm/dd</w:t>
            </w:r>
          </w:p>
          <w:p w14:paraId="50B35CB4" w14:textId="3DD92509" w:rsidR="00524B0B" w:rsidRPr="00E148E9" w:rsidRDefault="00524B0B" w:rsidP="007C38A2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If the total quantity bid </w:t>
            </w:r>
            <w:r w:rsidR="004E60DE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for </w:t>
            </w: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in valid bids is insufficient to </w:t>
            </w:r>
            <w:r w:rsidR="00F97FEC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cover all the securities </w:t>
            </w: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offered through the competitive auction, the TWSE will not open the bids</w:t>
            </w:r>
            <w:r w:rsidR="005C2ABF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</w:p>
          <w:p w14:paraId="5CA0430D" w14:textId="77777777" w:rsidR="009D3F1C" w:rsidRPr="00E148E9" w:rsidRDefault="00E33A8D" w:rsidP="007C38A2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="00524B0B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This item does not need to be filled in for a case of transfer of listing from the TIB to the Emerging St</w:t>
            </w:r>
            <w:r w:rsidR="00926949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oc</w:t>
            </w:r>
            <w:r w:rsidR="00524B0B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k Board.)</w:t>
            </w:r>
          </w:p>
          <w:p w14:paraId="6EB5F2D0" w14:textId="2F7FDEDC" w:rsidR="00B10F09" w:rsidRPr="00E148E9" w:rsidRDefault="00B10F09" w:rsidP="007C38A2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請填列開標日期，以西元年月日表示</w:t>
            </w:r>
          </w:p>
        </w:tc>
      </w:tr>
      <w:tr w:rsidR="00B10F09" w:rsidRPr="00E148E9" w14:paraId="40AFB314" w14:textId="77777777" w:rsidTr="003E6EE2">
        <w:trPr>
          <w:trHeight w:val="567"/>
        </w:trPr>
        <w:tc>
          <w:tcPr>
            <w:tcW w:w="2689" w:type="dxa"/>
            <w:vAlign w:val="center"/>
          </w:tcPr>
          <w:p w14:paraId="525B37AC" w14:textId="67041016" w:rsidR="009D3F1C" w:rsidRPr="00E148E9" w:rsidRDefault="00FB7650" w:rsidP="00FB7650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Minimum bidding unit</w:t>
            </w:r>
            <w:r w:rsidR="00E33A8D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(in units of a thousand shares)</w:t>
            </w:r>
          </w:p>
        </w:tc>
        <w:tc>
          <w:tcPr>
            <w:tcW w:w="7200" w:type="dxa"/>
            <w:vAlign w:val="center"/>
          </w:tcPr>
          <w:p w14:paraId="1073AC8F" w14:textId="53530873" w:rsidR="009D3F1C" w:rsidRPr="00E148E9" w:rsidRDefault="00FB7650" w:rsidP="00977E40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  <w:highlight w:val="lightGray"/>
              </w:rPr>
              <w:t>_____</w:t>
            </w:r>
            <w:r w:rsidR="003E6EE2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="00B10F09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unit (</w:t>
            </w:r>
            <w:r w:rsidR="00B10F09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請填列最低每標單位</w:t>
            </w:r>
            <w:r w:rsidR="00B10F09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</w:p>
        </w:tc>
      </w:tr>
      <w:tr w:rsidR="00B10F09" w:rsidRPr="00E148E9" w14:paraId="45306F03" w14:textId="77777777" w:rsidTr="003E6EE2">
        <w:trPr>
          <w:trHeight w:val="567"/>
        </w:trPr>
        <w:tc>
          <w:tcPr>
            <w:tcW w:w="2689" w:type="dxa"/>
            <w:vAlign w:val="center"/>
          </w:tcPr>
          <w:p w14:paraId="4256FB3D" w14:textId="48288605" w:rsidR="009D3F1C" w:rsidRPr="00E148E9" w:rsidRDefault="00926949" w:rsidP="00977E40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M</w:t>
            </w:r>
            <w:r w:rsidR="0090305C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aximum bid quantity per bid form</w:t>
            </w:r>
            <w:r w:rsidR="00E33A8D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="00FB7650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(in units of a thousand shares)</w:t>
            </w:r>
          </w:p>
        </w:tc>
        <w:tc>
          <w:tcPr>
            <w:tcW w:w="7200" w:type="dxa"/>
            <w:vAlign w:val="center"/>
          </w:tcPr>
          <w:p w14:paraId="1DF117F2" w14:textId="7D8B552C" w:rsidR="009D3F1C" w:rsidRPr="00E148E9" w:rsidRDefault="003E6EE2" w:rsidP="00977E40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  <w:highlight w:val="lightGray"/>
              </w:rPr>
              <w:t>_____</w:t>
            </w: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units</w:t>
            </w:r>
            <w:r w:rsidR="00B10F09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(</w:t>
            </w:r>
            <w:r w:rsidR="00B10F09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請填列每一投標單最高投標張數</w:t>
            </w:r>
            <w:r w:rsidR="00B10F09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</w:p>
        </w:tc>
      </w:tr>
      <w:tr w:rsidR="00B10F09" w:rsidRPr="00E148E9" w14:paraId="3E2AA8A1" w14:textId="77777777" w:rsidTr="003E6EE2">
        <w:trPr>
          <w:trHeight w:val="567"/>
        </w:trPr>
        <w:tc>
          <w:tcPr>
            <w:tcW w:w="2689" w:type="dxa"/>
            <w:vAlign w:val="center"/>
          </w:tcPr>
          <w:p w14:paraId="0BE2AA6B" w14:textId="0077AA9D" w:rsidR="009D3F1C" w:rsidRPr="00E148E9" w:rsidRDefault="00926949" w:rsidP="00926949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M</w:t>
            </w:r>
            <w:r w:rsidR="0090305C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aximum quantity allocatable to each successful bidder </w:t>
            </w:r>
            <w:r w:rsidR="00FB7650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(in units of a thousand shares)</w:t>
            </w:r>
          </w:p>
        </w:tc>
        <w:tc>
          <w:tcPr>
            <w:tcW w:w="7200" w:type="dxa"/>
            <w:vAlign w:val="center"/>
          </w:tcPr>
          <w:p w14:paraId="11B09401" w14:textId="33C6A552" w:rsidR="003800BC" w:rsidRPr="00E148E9" w:rsidRDefault="003E6EE2" w:rsidP="00977E40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  <w:highlight w:val="lightGray"/>
              </w:rPr>
              <w:t>_____</w:t>
            </w: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units</w:t>
            </w:r>
            <w:r w:rsidR="00B10F09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(</w:t>
            </w:r>
            <w:r w:rsidR="00B10F09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請填列每人最高得標張數</w:t>
            </w:r>
            <w:r w:rsidR="00B10F09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</w:p>
        </w:tc>
      </w:tr>
      <w:tr w:rsidR="00B10F09" w:rsidRPr="00E148E9" w14:paraId="716122EE" w14:textId="77777777" w:rsidTr="003E6EE2">
        <w:trPr>
          <w:trHeight w:val="907"/>
        </w:trPr>
        <w:tc>
          <w:tcPr>
            <w:tcW w:w="2689" w:type="dxa"/>
            <w:vAlign w:val="center"/>
          </w:tcPr>
          <w:p w14:paraId="6024AF41" w14:textId="45FA73AD" w:rsidR="009D3F1C" w:rsidRPr="00E148E9" w:rsidRDefault="0090305C" w:rsidP="00977E40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Bid deposit</w:t>
            </w:r>
          </w:p>
        </w:tc>
        <w:tc>
          <w:tcPr>
            <w:tcW w:w="7200" w:type="dxa"/>
            <w:vAlign w:val="center"/>
          </w:tcPr>
          <w:p w14:paraId="02CA75DE" w14:textId="77777777" w:rsidR="00346C89" w:rsidRPr="00E148E9" w:rsidRDefault="0090305C" w:rsidP="0090305C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The deposit per bid is </w:t>
            </w: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  <w:highlight w:val="lightGray"/>
              </w:rPr>
              <w:t>____</w:t>
            </w: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% of the bid amount.</w:t>
            </w:r>
          </w:p>
          <w:p w14:paraId="49203E7B" w14:textId="77777777" w:rsidR="00BD5F52" w:rsidRPr="00E148E9" w:rsidRDefault="0090305C" w:rsidP="007C38A2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Deposit payable per bid: bid price per share </w:t>
            </w:r>
            <w:r w:rsidR="009D3F1C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×</w:t>
            </w: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number of shares bid for </w:t>
            </w:r>
            <w:r w:rsidR="00346C89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× </w:t>
            </w: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  <w:highlight w:val="lightGray"/>
              </w:rPr>
              <w:t>____</w:t>
            </w: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="009D3F1C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%</w:t>
            </w:r>
          </w:p>
          <w:p w14:paraId="7A643563" w14:textId="44670131" w:rsidR="00B10F09" w:rsidRPr="00E148E9" w:rsidRDefault="00B10F09" w:rsidP="007C38A2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請填列投標保證金比率</w:t>
            </w:r>
          </w:p>
        </w:tc>
      </w:tr>
      <w:tr w:rsidR="00B10F09" w:rsidRPr="00E148E9" w14:paraId="2B8894A3" w14:textId="77777777" w:rsidTr="003E6EE2">
        <w:trPr>
          <w:trHeight w:val="567"/>
        </w:trPr>
        <w:tc>
          <w:tcPr>
            <w:tcW w:w="2689" w:type="dxa"/>
            <w:vAlign w:val="center"/>
          </w:tcPr>
          <w:p w14:paraId="251C7928" w14:textId="1846CD28" w:rsidR="009D3F1C" w:rsidRPr="00E148E9" w:rsidRDefault="00754F03" w:rsidP="004E60DE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Bid</w:t>
            </w:r>
            <w:r w:rsidR="004E60DE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processing fee</w:t>
            </w:r>
            <w:r w:rsidR="00E33A8D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(</w:t>
            </w: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TWD)</w:t>
            </w:r>
          </w:p>
        </w:tc>
        <w:tc>
          <w:tcPr>
            <w:tcW w:w="7200" w:type="dxa"/>
            <w:vAlign w:val="center"/>
          </w:tcPr>
          <w:p w14:paraId="31CD282F" w14:textId="281312E0" w:rsidR="00E25F27" w:rsidRPr="00E148E9" w:rsidRDefault="00754F03" w:rsidP="00977E40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A bid processing fee of TWD</w:t>
            </w: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  <w:highlight w:val="lightGray"/>
              </w:rPr>
              <w:t>______</w:t>
            </w: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is payable per bid. </w:t>
            </w:r>
            <w:r w:rsidR="004E60DE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="004E60DE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請填列投標處理費</w:t>
            </w:r>
            <w:r w:rsidR="004E60D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14:paraId="5060C594" w14:textId="7EC7E699" w:rsidR="00B10F09" w:rsidRPr="00E148E9" w:rsidRDefault="00754F03" w:rsidP="004E60DE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The bid processing fees will not be refunded for unsuccessful or disqualified bids.</w:t>
            </w:r>
          </w:p>
        </w:tc>
      </w:tr>
      <w:tr w:rsidR="00B10F09" w:rsidRPr="00E148E9" w14:paraId="75385E88" w14:textId="77777777" w:rsidTr="003E6EE2">
        <w:trPr>
          <w:trHeight w:val="528"/>
        </w:trPr>
        <w:tc>
          <w:tcPr>
            <w:tcW w:w="2689" w:type="dxa"/>
            <w:vAlign w:val="center"/>
          </w:tcPr>
          <w:p w14:paraId="363C651B" w14:textId="432163C0" w:rsidR="000D0A8F" w:rsidRPr="00E148E9" w:rsidRDefault="00481F01" w:rsidP="00926949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lastRenderedPageBreak/>
              <w:t xml:space="preserve">Deadline for payment of the </w:t>
            </w:r>
            <w:r w:rsidR="0090305C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bid deposit</w:t>
            </w: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and </w:t>
            </w:r>
            <w:r w:rsidR="00754F03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bid processing fee</w:t>
            </w: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to the designated bank</w:t>
            </w:r>
          </w:p>
        </w:tc>
        <w:tc>
          <w:tcPr>
            <w:tcW w:w="7200" w:type="dxa"/>
            <w:vAlign w:val="center"/>
          </w:tcPr>
          <w:p w14:paraId="45FF7BAC" w14:textId="314BC117" w:rsidR="000D0A8F" w:rsidRPr="00E148E9" w:rsidRDefault="00181279" w:rsidP="00977E40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spellStart"/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  <w:highlight w:val="lightGray"/>
              </w:rPr>
              <w:t>yyyy</w:t>
            </w:r>
            <w:proofErr w:type="spellEnd"/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  <w:highlight w:val="lightGray"/>
              </w:rPr>
              <w:t>/mm/dd</w:t>
            </w:r>
            <w:r w:rsidR="00B10F09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(</w:t>
            </w:r>
            <w:r w:rsidR="00B10F09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請填列投標保證金繳款截止日，以西元年月日表示</w:t>
            </w:r>
            <w:r w:rsidR="00B10F09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</w:p>
        </w:tc>
      </w:tr>
      <w:tr w:rsidR="00B10F09" w:rsidRPr="00E148E9" w14:paraId="559960F5" w14:textId="77777777" w:rsidTr="003E6EE2">
        <w:trPr>
          <w:trHeight w:val="528"/>
        </w:trPr>
        <w:tc>
          <w:tcPr>
            <w:tcW w:w="2689" w:type="dxa"/>
            <w:vAlign w:val="center"/>
          </w:tcPr>
          <w:p w14:paraId="1082C87C" w14:textId="7C1CC34B" w:rsidR="000D0A8F" w:rsidRPr="00E148E9" w:rsidRDefault="00346C89" w:rsidP="00346C89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Date for refund of deposit for unsuccessful and disqualified bids</w:t>
            </w:r>
          </w:p>
        </w:tc>
        <w:tc>
          <w:tcPr>
            <w:tcW w:w="7200" w:type="dxa"/>
            <w:vAlign w:val="center"/>
          </w:tcPr>
          <w:p w14:paraId="0451EA62" w14:textId="43DB9357" w:rsidR="000D0A8F" w:rsidRPr="00E148E9" w:rsidRDefault="00181279" w:rsidP="00977E40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spellStart"/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  <w:highlight w:val="lightGray"/>
              </w:rPr>
              <w:t>yyyy</w:t>
            </w:r>
            <w:proofErr w:type="spellEnd"/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  <w:highlight w:val="lightGray"/>
              </w:rPr>
              <w:t>/mm/dd</w:t>
            </w:r>
            <w:r w:rsidR="00B10F09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(</w:t>
            </w:r>
            <w:r w:rsidR="00B10F09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請填列保證金退款日，以西元年月日表示</w:t>
            </w:r>
            <w:r w:rsidR="00B10F09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</w:p>
        </w:tc>
      </w:tr>
      <w:tr w:rsidR="00B10F09" w:rsidRPr="00E148E9" w14:paraId="7665095B" w14:textId="77777777" w:rsidTr="003E6EE2">
        <w:trPr>
          <w:trHeight w:val="416"/>
        </w:trPr>
        <w:tc>
          <w:tcPr>
            <w:tcW w:w="2689" w:type="dxa"/>
            <w:vAlign w:val="center"/>
          </w:tcPr>
          <w:p w14:paraId="27DD3E64" w14:textId="405C8580" w:rsidR="000D0A8F" w:rsidRPr="00E148E9" w:rsidRDefault="00346C89" w:rsidP="00977E40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Award processing fee</w:t>
            </w:r>
          </w:p>
        </w:tc>
        <w:tc>
          <w:tcPr>
            <w:tcW w:w="7200" w:type="dxa"/>
            <w:vAlign w:val="center"/>
          </w:tcPr>
          <w:p w14:paraId="1C146052" w14:textId="0A966D30" w:rsidR="000D0A8F" w:rsidRPr="00E148E9" w:rsidRDefault="00346C89" w:rsidP="007C38A2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The award processing fee per successful bid is </w:t>
            </w: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  <w:highlight w:val="lightGray"/>
              </w:rPr>
              <w:t>____</w:t>
            </w: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% of the award price.</w:t>
            </w:r>
          </w:p>
          <w:p w14:paraId="589286B3" w14:textId="77777777" w:rsidR="00346C89" w:rsidRPr="00E148E9" w:rsidRDefault="00346C89" w:rsidP="007C38A2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Award processing fee payable per successful bid: award price per share </w:t>
            </w:r>
            <w:r w:rsidR="0011117C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× </w:t>
            </w: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number of shares awarded </w:t>
            </w:r>
            <w:r w:rsidR="0011117C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×</w:t>
            </w: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  <w:highlight w:val="lightGray"/>
              </w:rPr>
              <w:t>____</w:t>
            </w: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%</w:t>
            </w:r>
          </w:p>
          <w:p w14:paraId="6DAF3A86" w14:textId="31EF153B" w:rsidR="00B10F09" w:rsidRPr="00E148E9" w:rsidRDefault="00B10F09" w:rsidP="007C38A2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請填列得標手續費比率</w:t>
            </w:r>
          </w:p>
        </w:tc>
      </w:tr>
      <w:tr w:rsidR="00B10F09" w:rsidRPr="00E148E9" w14:paraId="7047D563" w14:textId="77777777" w:rsidTr="003E6EE2">
        <w:trPr>
          <w:trHeight w:val="528"/>
        </w:trPr>
        <w:tc>
          <w:tcPr>
            <w:tcW w:w="2689" w:type="dxa"/>
            <w:vAlign w:val="center"/>
          </w:tcPr>
          <w:p w14:paraId="38B17950" w14:textId="63490674" w:rsidR="005B34D7" w:rsidRPr="00E148E9" w:rsidRDefault="005B34D7" w:rsidP="00926949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Deadline for payment of the award price and award processing fee to the designated bank</w:t>
            </w:r>
          </w:p>
        </w:tc>
        <w:tc>
          <w:tcPr>
            <w:tcW w:w="7200" w:type="dxa"/>
            <w:vAlign w:val="center"/>
          </w:tcPr>
          <w:p w14:paraId="58EE6161" w14:textId="01780BA1" w:rsidR="00481F01" w:rsidRPr="00E148E9" w:rsidRDefault="00181279" w:rsidP="00977E40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spellStart"/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  <w:highlight w:val="lightGray"/>
              </w:rPr>
              <w:t>yyyy</w:t>
            </w:r>
            <w:proofErr w:type="spellEnd"/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  <w:highlight w:val="lightGray"/>
              </w:rPr>
              <w:t>/mm/dd</w:t>
            </w:r>
            <w:r w:rsidR="00B10F09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(</w:t>
            </w:r>
            <w:r w:rsidR="00B10F09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請填列得標款繳款截止日，以西元年月日表示</w:t>
            </w:r>
            <w:r w:rsidR="00B10F09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</w:p>
          <w:p w14:paraId="3843071C" w14:textId="33A972DB" w:rsidR="00977E40" w:rsidRPr="00E148E9" w:rsidRDefault="003B07BE" w:rsidP="007C38A2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Successful bidders are required to subscribe to the shares at their award price. The award price payable shall be net of the </w:t>
            </w:r>
            <w:r w:rsidR="0090305C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bid deposit</w:t>
            </w: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that has been deducted. </w:t>
            </w:r>
          </w:p>
          <w:p w14:paraId="0B87B56D" w14:textId="2E667CA6" w:rsidR="00A5236B" w:rsidRPr="00E148E9" w:rsidRDefault="003B07BE" w:rsidP="007C38A2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If a successful bidder fails to timely perform their payment obligations, they will lose their award status and the bid deposit will be confiscated by the lead underwriter</w:t>
            </w:r>
            <w:r w:rsidR="007E5160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</w:p>
        </w:tc>
      </w:tr>
      <w:tr w:rsidR="00B10F09" w:rsidRPr="00E148E9" w14:paraId="4BEC6026" w14:textId="77777777" w:rsidTr="003E6EE2">
        <w:trPr>
          <w:trHeight w:val="910"/>
        </w:trPr>
        <w:tc>
          <w:tcPr>
            <w:tcW w:w="2689" w:type="dxa"/>
            <w:vAlign w:val="center"/>
          </w:tcPr>
          <w:p w14:paraId="3085B6C2" w14:textId="1E65FB45" w:rsidR="000D0A8F" w:rsidRPr="00E148E9" w:rsidRDefault="007A36FD" w:rsidP="007A36FD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Date for refund of the </w:t>
            </w:r>
            <w:r w:rsidR="0090305C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bid deposit</w:t>
            </w: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and partial </w:t>
            </w:r>
            <w:r w:rsidR="00754F03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bid processing fee</w:t>
            </w: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in a case in which</w:t>
            </w:r>
            <w:r w:rsidR="005C2ABF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price </w:t>
            </w:r>
            <w:r w:rsidR="005C2ABF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is not </w:t>
            </w: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set</w:t>
            </w:r>
          </w:p>
        </w:tc>
        <w:tc>
          <w:tcPr>
            <w:tcW w:w="7200" w:type="dxa"/>
            <w:vAlign w:val="center"/>
          </w:tcPr>
          <w:p w14:paraId="14C10513" w14:textId="3361BF89" w:rsidR="000D0A8F" w:rsidRPr="00E148E9" w:rsidRDefault="00181279" w:rsidP="00977E40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spellStart"/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  <w:highlight w:val="lightGray"/>
              </w:rPr>
              <w:t>yyyy</w:t>
            </w:r>
            <w:proofErr w:type="spellEnd"/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  <w:highlight w:val="lightGray"/>
              </w:rPr>
              <w:t>/mm/dd</w:t>
            </w:r>
            <w:r w:rsidR="00B10F09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(</w:t>
            </w:r>
            <w:r w:rsidR="00B10F09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請填列流標案件保證金退款日，以西元年月日表示</w:t>
            </w:r>
            <w:r w:rsidR="00B10F09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</w:p>
        </w:tc>
      </w:tr>
      <w:tr w:rsidR="00B10F09" w:rsidRPr="00E148E9" w14:paraId="13277D5E" w14:textId="77777777" w:rsidTr="003E6EE2">
        <w:trPr>
          <w:trHeight w:val="910"/>
        </w:trPr>
        <w:tc>
          <w:tcPr>
            <w:tcW w:w="2689" w:type="dxa"/>
            <w:vAlign w:val="center"/>
          </w:tcPr>
          <w:p w14:paraId="7760361E" w14:textId="57F46A79" w:rsidR="00F36233" w:rsidRPr="00E148E9" w:rsidRDefault="007A36FD" w:rsidP="00926949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Bidder qualifications and restrictions </w:t>
            </w:r>
          </w:p>
        </w:tc>
        <w:tc>
          <w:tcPr>
            <w:tcW w:w="7200" w:type="dxa"/>
            <w:vAlign w:val="center"/>
          </w:tcPr>
          <w:p w14:paraId="41090C3E" w14:textId="1595D588" w:rsidR="00F36233" w:rsidRPr="00E148E9" w:rsidRDefault="007A36FD" w:rsidP="007C38A2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The bidder must conform to the requirements set out in Articles 35 and 36 of the Taiwan Securities Association Rules Governing Underwriting and Resale of Securities by Securities Firms.</w:t>
            </w:r>
          </w:p>
        </w:tc>
      </w:tr>
      <w:tr w:rsidR="00B10F09" w:rsidRPr="00E148E9" w14:paraId="15B40CBD" w14:textId="77777777" w:rsidTr="003E6EE2">
        <w:trPr>
          <w:trHeight w:val="910"/>
        </w:trPr>
        <w:tc>
          <w:tcPr>
            <w:tcW w:w="2689" w:type="dxa"/>
            <w:vAlign w:val="center"/>
          </w:tcPr>
          <w:p w14:paraId="36F5DD62" w14:textId="6330E095" w:rsidR="00F36233" w:rsidRPr="00E148E9" w:rsidRDefault="007A36FD" w:rsidP="00926949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Anticipated listing date</w:t>
            </w:r>
          </w:p>
        </w:tc>
        <w:tc>
          <w:tcPr>
            <w:tcW w:w="7200" w:type="dxa"/>
            <w:vAlign w:val="center"/>
          </w:tcPr>
          <w:p w14:paraId="09CBA582" w14:textId="77777777" w:rsidR="00F36233" w:rsidRPr="00E148E9" w:rsidRDefault="00B10F09" w:rsidP="007C38A2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spellStart"/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  <w:highlight w:val="lightGray"/>
              </w:rPr>
              <w:t>yyyy</w:t>
            </w:r>
            <w:proofErr w:type="spellEnd"/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  <w:highlight w:val="lightGray"/>
              </w:rPr>
              <w:t>/mm/dd</w:t>
            </w: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="007A36FD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(The actual date will be </w:t>
            </w:r>
            <w:r w:rsidR="007C51A7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the date </w:t>
            </w:r>
            <w:r w:rsidR="007A36FD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publicly announced by the issuer and the TWSE/</w:t>
            </w:r>
            <w:proofErr w:type="spellStart"/>
            <w:r w:rsidR="007A36FD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TPEx</w:t>
            </w:r>
            <w:proofErr w:type="spellEnd"/>
            <w:r w:rsidR="007A36FD"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</w:p>
          <w:p w14:paraId="113ABEBD" w14:textId="0EB6D659" w:rsidR="00B10F09" w:rsidRPr="00E148E9" w:rsidRDefault="00B10F09" w:rsidP="007C38A2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48E9">
              <w:rPr>
                <w:rFonts w:ascii="Times New Roman" w:eastAsia="標楷體" w:hAnsi="Times New Roman"/>
                <w:color w:val="000000" w:themeColor="text1"/>
                <w:szCs w:val="24"/>
              </w:rPr>
              <w:t>請填列預計掛牌日，以西元年月日表示</w:t>
            </w:r>
          </w:p>
        </w:tc>
      </w:tr>
    </w:tbl>
    <w:p w14:paraId="76DE4EAD" w14:textId="6C7F3A9E" w:rsidR="00EB1082" w:rsidRPr="00E148E9" w:rsidRDefault="007A36FD" w:rsidP="00EB1082">
      <w:pPr>
        <w:spacing w:line="440" w:lineRule="exact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E148E9">
        <w:rPr>
          <w:rFonts w:ascii="Times New Roman" w:eastAsia="標楷體" w:hAnsi="Times New Roman"/>
          <w:color w:val="000000" w:themeColor="text1"/>
          <w:szCs w:val="24"/>
        </w:rPr>
        <w:t xml:space="preserve">Notes: </w:t>
      </w:r>
    </w:p>
    <w:p w14:paraId="4AC1C0CD" w14:textId="2E6557CA" w:rsidR="007A36FD" w:rsidRPr="00E148E9" w:rsidRDefault="007A36FD" w:rsidP="007C38A2">
      <w:pPr>
        <w:pStyle w:val="a9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E148E9">
        <w:rPr>
          <w:rFonts w:ascii="Times New Roman" w:eastAsia="標楷體" w:hAnsi="Times New Roman"/>
          <w:color w:val="000000" w:themeColor="text1"/>
          <w:szCs w:val="24"/>
        </w:rPr>
        <w:t xml:space="preserve">The content of this Public Announcement is </w:t>
      </w:r>
      <w:r w:rsidR="007D113F" w:rsidRPr="00E148E9">
        <w:rPr>
          <w:rFonts w:ascii="Times New Roman" w:eastAsia="標楷體" w:hAnsi="Times New Roman"/>
          <w:color w:val="000000" w:themeColor="text1"/>
          <w:szCs w:val="24"/>
        </w:rPr>
        <w:t xml:space="preserve">merely </w:t>
      </w:r>
      <w:r w:rsidRPr="00E148E9">
        <w:rPr>
          <w:rFonts w:ascii="Times New Roman" w:eastAsia="標楷體" w:hAnsi="Times New Roman"/>
          <w:color w:val="000000" w:themeColor="text1"/>
          <w:szCs w:val="24"/>
        </w:rPr>
        <w:t xml:space="preserve">an English-language summary of </w:t>
      </w:r>
      <w:r w:rsidR="007D113F" w:rsidRPr="00E148E9">
        <w:rPr>
          <w:rFonts w:ascii="Times New Roman" w:eastAsia="標楷體" w:hAnsi="Times New Roman"/>
          <w:color w:val="000000" w:themeColor="text1"/>
          <w:szCs w:val="24"/>
        </w:rPr>
        <w:t xml:space="preserve">information regarding the underwriting case. For </w:t>
      </w:r>
      <w:r w:rsidR="007C51A7" w:rsidRPr="00E148E9">
        <w:rPr>
          <w:rFonts w:ascii="Times New Roman" w:eastAsia="標楷體" w:hAnsi="Times New Roman"/>
          <w:color w:val="000000" w:themeColor="text1"/>
          <w:szCs w:val="24"/>
        </w:rPr>
        <w:t xml:space="preserve">the </w:t>
      </w:r>
      <w:r w:rsidR="007D113F" w:rsidRPr="00E148E9">
        <w:rPr>
          <w:rFonts w:ascii="Times New Roman" w:eastAsia="標楷體" w:hAnsi="Times New Roman"/>
          <w:color w:val="000000" w:themeColor="text1"/>
          <w:szCs w:val="24"/>
        </w:rPr>
        <w:t xml:space="preserve">complete and authoritative </w:t>
      </w:r>
      <w:r w:rsidR="007C51A7" w:rsidRPr="00E148E9">
        <w:rPr>
          <w:rFonts w:ascii="Times New Roman" w:eastAsia="標楷體" w:hAnsi="Times New Roman"/>
          <w:color w:val="000000" w:themeColor="text1"/>
          <w:szCs w:val="24"/>
        </w:rPr>
        <w:t>information</w:t>
      </w:r>
      <w:r w:rsidR="007D113F" w:rsidRPr="00E148E9">
        <w:rPr>
          <w:rFonts w:ascii="Times New Roman" w:eastAsia="標楷體" w:hAnsi="Times New Roman"/>
          <w:color w:val="000000" w:themeColor="text1"/>
          <w:szCs w:val="24"/>
        </w:rPr>
        <w:t xml:space="preserve">, please refer to the full official Chinese-language public announcement of the competitive auction. </w:t>
      </w:r>
    </w:p>
    <w:p w14:paraId="1CDBE620" w14:textId="63FBC13A" w:rsidR="00CD0CD8" w:rsidRPr="00E148E9" w:rsidRDefault="00CD0CD8" w:rsidP="007C38A2">
      <w:pPr>
        <w:pStyle w:val="a9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E148E9">
        <w:rPr>
          <w:rFonts w:ascii="Times New Roman" w:eastAsia="標楷體" w:hAnsi="Times New Roman"/>
          <w:color w:val="000000" w:themeColor="text1"/>
          <w:szCs w:val="24"/>
        </w:rPr>
        <w:t xml:space="preserve">Please carefully read the prospectus. Investors may obtain prospectuses from the website of the </w:t>
      </w:r>
      <w:r w:rsidRPr="00E148E9">
        <w:rPr>
          <w:rFonts w:ascii="Times New Roman" w:eastAsia="標楷體" w:hAnsi="Times New Roman"/>
          <w:color w:val="000000" w:themeColor="text1"/>
          <w:szCs w:val="24"/>
        </w:rPr>
        <w:lastRenderedPageBreak/>
        <w:t xml:space="preserve">lead underwriter or on the Market Observation Post </w:t>
      </w:r>
      <w:r w:rsidR="00C169E5" w:rsidRPr="00E148E9">
        <w:rPr>
          <w:rFonts w:ascii="Times New Roman" w:eastAsia="標楷體" w:hAnsi="Times New Roman"/>
          <w:color w:val="000000" w:themeColor="text1"/>
          <w:szCs w:val="24"/>
        </w:rPr>
        <w:t xml:space="preserve">System </w:t>
      </w:r>
      <w:proofErr w:type="spellStart"/>
      <w:proofErr w:type="gramStart"/>
      <w:r w:rsidRPr="00E148E9">
        <w:rPr>
          <w:rFonts w:ascii="Times New Roman" w:eastAsia="標楷體" w:hAnsi="Times New Roman"/>
          <w:color w:val="000000" w:themeColor="text1"/>
          <w:szCs w:val="24"/>
        </w:rPr>
        <w:t>website</w:t>
      </w:r>
      <w:r w:rsidR="00C169E5" w:rsidRPr="00E148E9">
        <w:rPr>
          <w:rFonts w:ascii="Times New Roman" w:eastAsia="標楷體" w:hAnsi="Times New Roman"/>
          <w:color w:val="000000" w:themeColor="text1"/>
          <w:szCs w:val="24"/>
        </w:rPr>
        <w:t>.The</w:t>
      </w:r>
      <w:proofErr w:type="spellEnd"/>
      <w:proofErr w:type="gramEnd"/>
      <w:r w:rsidRPr="00E148E9">
        <w:rPr>
          <w:rFonts w:ascii="Times New Roman" w:eastAsia="標楷體" w:hAnsi="Times New Roman"/>
          <w:color w:val="000000" w:themeColor="text1"/>
          <w:szCs w:val="24"/>
        </w:rPr>
        <w:t xml:space="preserve"> Chinese or English pages </w:t>
      </w:r>
      <w:r w:rsidR="00C169E5" w:rsidRPr="00E148E9">
        <w:rPr>
          <w:rFonts w:ascii="Times New Roman" w:eastAsia="標楷體" w:hAnsi="Times New Roman"/>
          <w:color w:val="000000" w:themeColor="text1"/>
          <w:szCs w:val="24"/>
        </w:rPr>
        <w:t xml:space="preserve">are </w:t>
      </w:r>
      <w:r w:rsidRPr="00E148E9">
        <w:rPr>
          <w:rFonts w:ascii="Times New Roman" w:eastAsia="標楷體" w:hAnsi="Times New Roman"/>
          <w:color w:val="000000" w:themeColor="text1"/>
          <w:szCs w:val="24"/>
        </w:rPr>
        <w:t xml:space="preserve">as follows: </w:t>
      </w:r>
    </w:p>
    <w:p w14:paraId="2C5EFA6D" w14:textId="3F725F3E" w:rsidR="00EB1082" w:rsidRPr="00E148E9" w:rsidRDefault="00CD0CD8" w:rsidP="00CD0CD8">
      <w:pPr>
        <w:pStyle w:val="a9"/>
        <w:spacing w:line="400" w:lineRule="exact"/>
        <w:ind w:leftChars="0" w:left="455"/>
        <w:jc w:val="both"/>
        <w:rPr>
          <w:rFonts w:ascii="Times New Roman" w:eastAsia="標楷體" w:hAnsi="Times New Roman" w:hint="eastAsia"/>
          <w:color w:val="000000" w:themeColor="text1"/>
          <w:szCs w:val="24"/>
        </w:rPr>
      </w:pPr>
      <w:r w:rsidRPr="00E148E9">
        <w:rPr>
          <w:rFonts w:ascii="Times New Roman" w:eastAsia="標楷體" w:hAnsi="Times New Roman"/>
          <w:color w:val="000000" w:themeColor="text1"/>
          <w:szCs w:val="24"/>
        </w:rPr>
        <w:t>(Chinese)</w:t>
      </w:r>
      <w:r w:rsidR="00EB1082" w:rsidRPr="00E148E9">
        <w:rPr>
          <w:rFonts w:ascii="Times New Roman" w:eastAsia="標楷體" w:hAnsi="Times New Roman"/>
          <w:color w:val="000000" w:themeColor="text1"/>
          <w:szCs w:val="24"/>
        </w:rPr>
        <w:t>公開資訊觀測站網站</w:t>
      </w:r>
      <w:r w:rsidR="00EB1082" w:rsidRPr="00E148E9">
        <w:rPr>
          <w:rFonts w:ascii="Times New Roman" w:eastAsia="標楷體" w:hAnsi="Times New Roman"/>
          <w:color w:val="000000" w:themeColor="text1"/>
          <w:szCs w:val="24"/>
        </w:rPr>
        <w:t>→</w:t>
      </w:r>
      <w:r w:rsidR="00712CEA">
        <w:rPr>
          <w:rFonts w:ascii="Times New Roman" w:eastAsia="標楷體" w:hAnsi="Times New Roman" w:hint="eastAsia"/>
          <w:color w:val="000000" w:themeColor="text1"/>
          <w:szCs w:val="24"/>
        </w:rPr>
        <w:t>單一公司</w:t>
      </w:r>
      <w:r w:rsidR="00EB1082" w:rsidRPr="00E148E9">
        <w:rPr>
          <w:rFonts w:ascii="Times New Roman" w:eastAsia="標楷體" w:hAnsi="Times New Roman"/>
          <w:color w:val="000000" w:themeColor="text1"/>
          <w:szCs w:val="24"/>
        </w:rPr>
        <w:t>→</w:t>
      </w:r>
      <w:r w:rsidR="00EB1082" w:rsidRPr="00E148E9">
        <w:rPr>
          <w:rFonts w:ascii="Times New Roman" w:eastAsia="標楷體" w:hAnsi="Times New Roman"/>
          <w:color w:val="000000" w:themeColor="text1"/>
          <w:szCs w:val="24"/>
        </w:rPr>
        <w:t>電子</w:t>
      </w:r>
      <w:r w:rsidR="00712CEA">
        <w:rPr>
          <w:rFonts w:ascii="Times New Roman" w:eastAsia="標楷體" w:hAnsi="Times New Roman" w:hint="eastAsia"/>
          <w:color w:val="000000" w:themeColor="text1"/>
          <w:szCs w:val="24"/>
        </w:rPr>
        <w:t>文件下載</w:t>
      </w:r>
    </w:p>
    <w:p w14:paraId="73C6D647" w14:textId="5456B0CD" w:rsidR="00CD0CD8" w:rsidRPr="00E148E9" w:rsidRDefault="00CD0CD8" w:rsidP="00CD0CD8">
      <w:pPr>
        <w:pStyle w:val="a9"/>
        <w:spacing w:line="400" w:lineRule="exact"/>
        <w:ind w:leftChars="0" w:left="45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E148E9">
        <w:rPr>
          <w:rFonts w:ascii="Times New Roman" w:eastAsia="標楷體" w:hAnsi="Times New Roman"/>
          <w:color w:val="000000" w:themeColor="text1"/>
          <w:szCs w:val="24"/>
        </w:rPr>
        <w:t xml:space="preserve">(English) Market Observation Post </w:t>
      </w:r>
      <w:proofErr w:type="spellStart"/>
      <w:r w:rsidRPr="00E148E9">
        <w:rPr>
          <w:rFonts w:ascii="Times New Roman" w:eastAsia="標楷體" w:hAnsi="Times New Roman"/>
          <w:color w:val="000000" w:themeColor="text1"/>
          <w:szCs w:val="24"/>
        </w:rPr>
        <w:t>System→Electronic</w:t>
      </w:r>
      <w:proofErr w:type="spellEnd"/>
      <w:r w:rsidRPr="00E148E9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proofErr w:type="spellStart"/>
      <w:r w:rsidRPr="00E148E9">
        <w:rPr>
          <w:rFonts w:ascii="Times New Roman" w:eastAsia="標楷體" w:hAnsi="Times New Roman"/>
          <w:color w:val="000000" w:themeColor="text1"/>
          <w:szCs w:val="24"/>
        </w:rPr>
        <w:t>Books→Prospectuses</w:t>
      </w:r>
      <w:proofErr w:type="spellEnd"/>
    </w:p>
    <w:p w14:paraId="3560AB69" w14:textId="57FEC468" w:rsidR="00CD2C81" w:rsidRPr="00E148E9" w:rsidRDefault="00CD0CD8" w:rsidP="007C38A2">
      <w:pPr>
        <w:pStyle w:val="a9"/>
        <w:numPr>
          <w:ilvl w:val="0"/>
          <w:numId w:val="1"/>
        </w:numPr>
        <w:spacing w:line="400" w:lineRule="exact"/>
        <w:ind w:leftChars="0"/>
        <w:rPr>
          <w:rFonts w:ascii="Times New Roman" w:hAnsi="Times New Roman"/>
          <w:color w:val="000000" w:themeColor="text1"/>
          <w:szCs w:val="24"/>
        </w:rPr>
      </w:pPr>
      <w:r w:rsidRPr="00E148E9">
        <w:rPr>
          <w:rFonts w:ascii="Times New Roman" w:eastAsia="標楷體" w:hAnsi="Times New Roman"/>
          <w:color w:val="000000" w:themeColor="text1"/>
          <w:szCs w:val="24"/>
        </w:rPr>
        <w:t>Investors may visit the TWSE Securities Competitive Auction System website</w:t>
      </w:r>
      <w:r w:rsidR="00E33A8D" w:rsidRPr="00E148E9">
        <w:rPr>
          <w:rFonts w:ascii="Times New Roman" w:eastAsia="標楷體" w:hAnsi="Times New Roman"/>
          <w:color w:val="000000" w:themeColor="text1"/>
          <w:szCs w:val="24"/>
        </w:rPr>
        <w:t xml:space="preserve"> (</w:t>
      </w:r>
      <w:r w:rsidR="00EB1082" w:rsidRPr="00E148E9">
        <w:rPr>
          <w:rFonts w:ascii="Times New Roman" w:eastAsia="標楷體" w:hAnsi="Times New Roman"/>
          <w:color w:val="000000" w:themeColor="text1"/>
          <w:szCs w:val="24"/>
        </w:rPr>
        <w:t>https</w:t>
      </w:r>
      <w:r w:rsidR="00AC599C" w:rsidRPr="00E148E9">
        <w:rPr>
          <w:rFonts w:ascii="Times New Roman" w:eastAsia="標楷體" w:hAnsi="Times New Roman"/>
          <w:color w:val="000000" w:themeColor="text1"/>
          <w:szCs w:val="24"/>
        </w:rPr>
        <w:t>:</w:t>
      </w:r>
      <w:r w:rsidR="00EB1082" w:rsidRPr="00E148E9">
        <w:rPr>
          <w:rFonts w:ascii="Times New Roman" w:eastAsia="標楷體" w:hAnsi="Times New Roman"/>
          <w:color w:val="000000" w:themeColor="text1"/>
          <w:szCs w:val="24"/>
        </w:rPr>
        <w:t>//scas.twse.com.tw</w:t>
      </w:r>
      <w:r w:rsidR="00E33A8D" w:rsidRPr="00E148E9">
        <w:rPr>
          <w:rFonts w:ascii="Times New Roman" w:eastAsia="標楷體" w:hAnsi="Times New Roman"/>
          <w:color w:val="000000" w:themeColor="text1"/>
          <w:szCs w:val="24"/>
        </w:rPr>
        <w:t>)</w:t>
      </w:r>
      <w:r w:rsidR="00EB1082" w:rsidRPr="00E148E9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="00926949" w:rsidRPr="00E148E9">
        <w:rPr>
          <w:rFonts w:ascii="Times New Roman" w:eastAsia="標楷體" w:hAnsi="Times New Roman"/>
          <w:color w:val="000000" w:themeColor="text1"/>
          <w:szCs w:val="24"/>
        </w:rPr>
        <w:t>(</w:t>
      </w:r>
      <w:r w:rsidR="0055109D" w:rsidRPr="00E148E9">
        <w:rPr>
          <w:rFonts w:ascii="Times New Roman" w:eastAsia="標楷體" w:hAnsi="Times New Roman"/>
          <w:color w:val="000000" w:themeColor="text1"/>
          <w:szCs w:val="24"/>
        </w:rPr>
        <w:t xml:space="preserve">and log in with </w:t>
      </w:r>
      <w:r w:rsidR="00926949" w:rsidRPr="00E148E9">
        <w:rPr>
          <w:rFonts w:ascii="Times New Roman" w:eastAsia="標楷體" w:hAnsi="Times New Roman"/>
          <w:color w:val="000000" w:themeColor="text1"/>
          <w:szCs w:val="24"/>
        </w:rPr>
        <w:t xml:space="preserve">an electronic certificate issued by a securities firm) </w:t>
      </w:r>
      <w:r w:rsidR="007C51A7" w:rsidRPr="00E148E9">
        <w:rPr>
          <w:rFonts w:ascii="Times New Roman" w:eastAsia="標楷體" w:hAnsi="Times New Roman"/>
          <w:color w:val="000000" w:themeColor="text1"/>
          <w:szCs w:val="24"/>
        </w:rPr>
        <w:t xml:space="preserve">to </w:t>
      </w:r>
      <w:r w:rsidR="00926949" w:rsidRPr="00E148E9">
        <w:rPr>
          <w:rFonts w:ascii="Times New Roman" w:eastAsia="標楷體" w:hAnsi="Times New Roman"/>
          <w:color w:val="000000" w:themeColor="text1"/>
          <w:szCs w:val="24"/>
        </w:rPr>
        <w:t xml:space="preserve">duly fill out </w:t>
      </w:r>
      <w:r w:rsidR="007C51A7" w:rsidRPr="00E148E9">
        <w:rPr>
          <w:rFonts w:ascii="Times New Roman" w:eastAsia="標楷體" w:hAnsi="Times New Roman"/>
          <w:color w:val="000000" w:themeColor="text1"/>
          <w:szCs w:val="24"/>
        </w:rPr>
        <w:t xml:space="preserve">a </w:t>
      </w:r>
      <w:r w:rsidR="00926949" w:rsidRPr="00E148E9">
        <w:rPr>
          <w:rFonts w:ascii="Times New Roman" w:eastAsia="標楷體" w:hAnsi="Times New Roman"/>
          <w:color w:val="000000" w:themeColor="text1"/>
          <w:szCs w:val="24"/>
        </w:rPr>
        <w:t xml:space="preserve">bid form </w:t>
      </w:r>
      <w:r w:rsidR="007C51A7" w:rsidRPr="00E148E9">
        <w:rPr>
          <w:rFonts w:ascii="Times New Roman" w:eastAsia="標楷體" w:hAnsi="Times New Roman"/>
          <w:color w:val="000000" w:themeColor="text1"/>
          <w:szCs w:val="24"/>
        </w:rPr>
        <w:t xml:space="preserve">online </w:t>
      </w:r>
      <w:r w:rsidR="00926949" w:rsidRPr="00E148E9">
        <w:rPr>
          <w:rFonts w:ascii="Times New Roman" w:eastAsia="標楷體" w:hAnsi="Times New Roman"/>
          <w:color w:val="000000" w:themeColor="text1"/>
          <w:szCs w:val="24"/>
        </w:rPr>
        <w:t>in the specified format</w:t>
      </w:r>
      <w:r w:rsidR="0055109D" w:rsidRPr="00E148E9">
        <w:rPr>
          <w:rFonts w:ascii="Times New Roman" w:eastAsia="標楷體" w:hAnsi="Times New Roman"/>
          <w:color w:val="000000" w:themeColor="text1"/>
          <w:szCs w:val="24"/>
        </w:rPr>
        <w:t>,</w:t>
      </w:r>
      <w:r w:rsidR="00926949" w:rsidRPr="00E148E9">
        <w:rPr>
          <w:rFonts w:ascii="Times New Roman" w:eastAsia="標楷體" w:hAnsi="Times New Roman"/>
          <w:color w:val="000000" w:themeColor="text1"/>
          <w:szCs w:val="24"/>
        </w:rPr>
        <w:t xml:space="preserve"> or submit </w:t>
      </w:r>
      <w:r w:rsidR="0055109D" w:rsidRPr="00E148E9">
        <w:rPr>
          <w:rFonts w:ascii="Times New Roman" w:eastAsia="標楷體" w:hAnsi="Times New Roman"/>
          <w:color w:val="000000" w:themeColor="text1"/>
          <w:szCs w:val="24"/>
        </w:rPr>
        <w:t>a</w:t>
      </w:r>
      <w:r w:rsidR="00926949" w:rsidRPr="00E148E9">
        <w:rPr>
          <w:rFonts w:ascii="Times New Roman" w:eastAsia="標楷體" w:hAnsi="Times New Roman"/>
          <w:color w:val="000000" w:themeColor="text1"/>
          <w:szCs w:val="24"/>
        </w:rPr>
        <w:t xml:space="preserve"> bid through a terminal at the head office or a branch of their securities firm. </w:t>
      </w:r>
    </w:p>
    <w:sectPr w:rsidR="00CD2C81" w:rsidRPr="00E148E9" w:rsidSect="002B6692">
      <w:pgSz w:w="11906" w:h="16838"/>
      <w:pgMar w:top="964" w:right="964" w:bottom="964" w:left="964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BED14" w14:textId="77777777" w:rsidR="00E4096B" w:rsidRDefault="00E4096B" w:rsidP="00F36233">
      <w:r>
        <w:separator/>
      </w:r>
    </w:p>
  </w:endnote>
  <w:endnote w:type="continuationSeparator" w:id="0">
    <w:p w14:paraId="69213FC6" w14:textId="77777777" w:rsidR="00E4096B" w:rsidRDefault="00E4096B" w:rsidP="00F3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EA5ED" w14:textId="77777777" w:rsidR="00E4096B" w:rsidRDefault="00E4096B" w:rsidP="00F36233">
      <w:r>
        <w:separator/>
      </w:r>
    </w:p>
  </w:footnote>
  <w:footnote w:type="continuationSeparator" w:id="0">
    <w:p w14:paraId="361DB3F5" w14:textId="77777777" w:rsidR="00E4096B" w:rsidRDefault="00E4096B" w:rsidP="00F36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56623"/>
    <w:multiLevelType w:val="hybridMultilevel"/>
    <w:tmpl w:val="A2D0868C"/>
    <w:lvl w:ilvl="0" w:tplc="FFFFFFFF">
      <w:start w:val="1"/>
      <w:numFmt w:val="decimal"/>
      <w:lvlText w:val="%1."/>
      <w:lvlJc w:val="left"/>
      <w:pPr>
        <w:ind w:left="455" w:hanging="40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010" w:hanging="480"/>
      </w:pPr>
    </w:lvl>
    <w:lvl w:ilvl="2" w:tplc="FFFFFFFF" w:tentative="1">
      <w:start w:val="1"/>
      <w:numFmt w:val="lowerRoman"/>
      <w:lvlText w:val="%3."/>
      <w:lvlJc w:val="right"/>
      <w:pPr>
        <w:ind w:left="1490" w:hanging="480"/>
      </w:pPr>
    </w:lvl>
    <w:lvl w:ilvl="3" w:tplc="FFFFFFFF" w:tentative="1">
      <w:start w:val="1"/>
      <w:numFmt w:val="decimal"/>
      <w:lvlText w:val="%4."/>
      <w:lvlJc w:val="left"/>
      <w:pPr>
        <w:ind w:left="197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50" w:hanging="480"/>
      </w:pPr>
    </w:lvl>
    <w:lvl w:ilvl="5" w:tplc="FFFFFFFF" w:tentative="1">
      <w:start w:val="1"/>
      <w:numFmt w:val="lowerRoman"/>
      <w:lvlText w:val="%6."/>
      <w:lvlJc w:val="right"/>
      <w:pPr>
        <w:ind w:left="2930" w:hanging="480"/>
      </w:pPr>
    </w:lvl>
    <w:lvl w:ilvl="6" w:tplc="FFFFFFFF" w:tentative="1">
      <w:start w:val="1"/>
      <w:numFmt w:val="decimal"/>
      <w:lvlText w:val="%7."/>
      <w:lvlJc w:val="left"/>
      <w:pPr>
        <w:ind w:left="341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90" w:hanging="480"/>
      </w:pPr>
    </w:lvl>
    <w:lvl w:ilvl="8" w:tplc="FFFFFFFF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1" w15:restartNumberingAfterBreak="0">
    <w:nsid w:val="5F0B6DC7"/>
    <w:multiLevelType w:val="hybridMultilevel"/>
    <w:tmpl w:val="AF8ABFE2"/>
    <w:lvl w:ilvl="0" w:tplc="2A3A78EE">
      <w:start w:val="1"/>
      <w:numFmt w:val="decimal"/>
      <w:lvlText w:val="%1."/>
      <w:lvlJc w:val="left"/>
      <w:pPr>
        <w:ind w:left="45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2" w15:restartNumberingAfterBreak="0">
    <w:nsid w:val="64876828"/>
    <w:multiLevelType w:val="hybridMultilevel"/>
    <w:tmpl w:val="A2D0868C"/>
    <w:lvl w:ilvl="0" w:tplc="FFFFFFFF">
      <w:start w:val="1"/>
      <w:numFmt w:val="decimal"/>
      <w:lvlText w:val="%1."/>
      <w:lvlJc w:val="left"/>
      <w:pPr>
        <w:ind w:left="455" w:hanging="40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010" w:hanging="480"/>
      </w:pPr>
    </w:lvl>
    <w:lvl w:ilvl="2" w:tplc="FFFFFFFF" w:tentative="1">
      <w:start w:val="1"/>
      <w:numFmt w:val="lowerRoman"/>
      <w:lvlText w:val="%3."/>
      <w:lvlJc w:val="right"/>
      <w:pPr>
        <w:ind w:left="1490" w:hanging="480"/>
      </w:pPr>
    </w:lvl>
    <w:lvl w:ilvl="3" w:tplc="FFFFFFFF" w:tentative="1">
      <w:start w:val="1"/>
      <w:numFmt w:val="decimal"/>
      <w:lvlText w:val="%4."/>
      <w:lvlJc w:val="left"/>
      <w:pPr>
        <w:ind w:left="197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50" w:hanging="480"/>
      </w:pPr>
    </w:lvl>
    <w:lvl w:ilvl="5" w:tplc="FFFFFFFF" w:tentative="1">
      <w:start w:val="1"/>
      <w:numFmt w:val="lowerRoman"/>
      <w:lvlText w:val="%6."/>
      <w:lvlJc w:val="right"/>
      <w:pPr>
        <w:ind w:left="2930" w:hanging="480"/>
      </w:pPr>
    </w:lvl>
    <w:lvl w:ilvl="6" w:tplc="FFFFFFFF" w:tentative="1">
      <w:start w:val="1"/>
      <w:numFmt w:val="decimal"/>
      <w:lvlText w:val="%7."/>
      <w:lvlJc w:val="left"/>
      <w:pPr>
        <w:ind w:left="341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90" w:hanging="480"/>
      </w:pPr>
    </w:lvl>
    <w:lvl w:ilvl="8" w:tplc="FFFFFFFF" w:tentative="1">
      <w:start w:val="1"/>
      <w:numFmt w:val="lowerRoman"/>
      <w:lvlText w:val="%9."/>
      <w:lvlJc w:val="right"/>
      <w:pPr>
        <w:ind w:left="4370" w:hanging="480"/>
      </w:pPr>
    </w:lvl>
  </w:abstractNum>
  <w:num w:numId="1" w16cid:durableId="504590043">
    <w:abstractNumId w:val="1"/>
  </w:num>
  <w:num w:numId="2" w16cid:durableId="18287183">
    <w:abstractNumId w:val="2"/>
  </w:num>
  <w:num w:numId="3" w16cid:durableId="65681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63"/>
    <w:rsid w:val="000426E5"/>
    <w:rsid w:val="00047163"/>
    <w:rsid w:val="00052CC0"/>
    <w:rsid w:val="000B6DA7"/>
    <w:rsid w:val="000D0A8F"/>
    <w:rsid w:val="0011117C"/>
    <w:rsid w:val="0012425E"/>
    <w:rsid w:val="00181279"/>
    <w:rsid w:val="001B4E4B"/>
    <w:rsid w:val="001E25DD"/>
    <w:rsid w:val="002773F5"/>
    <w:rsid w:val="00280755"/>
    <w:rsid w:val="002A271B"/>
    <w:rsid w:val="002B6692"/>
    <w:rsid w:val="002D7CC2"/>
    <w:rsid w:val="002E59F4"/>
    <w:rsid w:val="00302626"/>
    <w:rsid w:val="003450E0"/>
    <w:rsid w:val="00346C89"/>
    <w:rsid w:val="00372FD2"/>
    <w:rsid w:val="0037545E"/>
    <w:rsid w:val="003800BC"/>
    <w:rsid w:val="003804DF"/>
    <w:rsid w:val="003A771B"/>
    <w:rsid w:val="003B07BE"/>
    <w:rsid w:val="003C21E5"/>
    <w:rsid w:val="003C3893"/>
    <w:rsid w:val="003D2177"/>
    <w:rsid w:val="003E6EE2"/>
    <w:rsid w:val="00481F01"/>
    <w:rsid w:val="00483FC7"/>
    <w:rsid w:val="00491575"/>
    <w:rsid w:val="00496643"/>
    <w:rsid w:val="00496F34"/>
    <w:rsid w:val="004B3445"/>
    <w:rsid w:val="004D5DDC"/>
    <w:rsid w:val="004E60DE"/>
    <w:rsid w:val="00500A62"/>
    <w:rsid w:val="00501150"/>
    <w:rsid w:val="00524B0B"/>
    <w:rsid w:val="00547641"/>
    <w:rsid w:val="0055109D"/>
    <w:rsid w:val="00551788"/>
    <w:rsid w:val="00563D12"/>
    <w:rsid w:val="0056539D"/>
    <w:rsid w:val="005B34D7"/>
    <w:rsid w:val="005C2ABF"/>
    <w:rsid w:val="005D4179"/>
    <w:rsid w:val="00625CB7"/>
    <w:rsid w:val="00681D4F"/>
    <w:rsid w:val="006B0E37"/>
    <w:rsid w:val="006B1FF4"/>
    <w:rsid w:val="00712CEA"/>
    <w:rsid w:val="00714A74"/>
    <w:rsid w:val="00745C1F"/>
    <w:rsid w:val="00754F03"/>
    <w:rsid w:val="00756FA8"/>
    <w:rsid w:val="00762C14"/>
    <w:rsid w:val="00767643"/>
    <w:rsid w:val="0078242B"/>
    <w:rsid w:val="007A36FD"/>
    <w:rsid w:val="007B719A"/>
    <w:rsid w:val="007C064A"/>
    <w:rsid w:val="007C1E40"/>
    <w:rsid w:val="007C38A2"/>
    <w:rsid w:val="007C51A7"/>
    <w:rsid w:val="007D113F"/>
    <w:rsid w:val="007D4EDD"/>
    <w:rsid w:val="007E5160"/>
    <w:rsid w:val="008259D0"/>
    <w:rsid w:val="00837C3D"/>
    <w:rsid w:val="00860C3E"/>
    <w:rsid w:val="008716E6"/>
    <w:rsid w:val="008936A0"/>
    <w:rsid w:val="00902839"/>
    <w:rsid w:val="0090305C"/>
    <w:rsid w:val="00914EB3"/>
    <w:rsid w:val="00926949"/>
    <w:rsid w:val="00977E40"/>
    <w:rsid w:val="0099315E"/>
    <w:rsid w:val="009A4DF9"/>
    <w:rsid w:val="009B40F9"/>
    <w:rsid w:val="009D3F1C"/>
    <w:rsid w:val="009E579C"/>
    <w:rsid w:val="00A00B2E"/>
    <w:rsid w:val="00A03B52"/>
    <w:rsid w:val="00A07F6E"/>
    <w:rsid w:val="00A5141D"/>
    <w:rsid w:val="00A5236B"/>
    <w:rsid w:val="00A949A5"/>
    <w:rsid w:val="00AA397D"/>
    <w:rsid w:val="00AC599C"/>
    <w:rsid w:val="00AE2044"/>
    <w:rsid w:val="00AE475C"/>
    <w:rsid w:val="00AF31D0"/>
    <w:rsid w:val="00B10F09"/>
    <w:rsid w:val="00B30EC4"/>
    <w:rsid w:val="00B9538D"/>
    <w:rsid w:val="00BB1ACC"/>
    <w:rsid w:val="00BD5F52"/>
    <w:rsid w:val="00C043C2"/>
    <w:rsid w:val="00C169E5"/>
    <w:rsid w:val="00C2336F"/>
    <w:rsid w:val="00CD0CD8"/>
    <w:rsid w:val="00CD2C81"/>
    <w:rsid w:val="00D204CF"/>
    <w:rsid w:val="00D553EC"/>
    <w:rsid w:val="00D7511C"/>
    <w:rsid w:val="00DA502A"/>
    <w:rsid w:val="00DA7F1F"/>
    <w:rsid w:val="00E148E9"/>
    <w:rsid w:val="00E14B95"/>
    <w:rsid w:val="00E25F27"/>
    <w:rsid w:val="00E32315"/>
    <w:rsid w:val="00E33A8D"/>
    <w:rsid w:val="00E4096B"/>
    <w:rsid w:val="00EB1082"/>
    <w:rsid w:val="00EC57D4"/>
    <w:rsid w:val="00EC6B0B"/>
    <w:rsid w:val="00EE34EC"/>
    <w:rsid w:val="00F2472D"/>
    <w:rsid w:val="00F32EC9"/>
    <w:rsid w:val="00F36233"/>
    <w:rsid w:val="00F87785"/>
    <w:rsid w:val="00F9744D"/>
    <w:rsid w:val="00F97FEC"/>
    <w:rsid w:val="00FB7650"/>
    <w:rsid w:val="00FC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62A10E"/>
  <w15:chartTrackingRefBased/>
  <w15:docId w15:val="{BCE43B66-9F92-401A-81FA-B5537336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16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716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36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623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6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6233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F3623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36233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F36233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F362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36233"/>
    <w:rPr>
      <w:rFonts w:ascii="細明體" w:eastAsia="細明體" w:hAnsi="細明體" w:cs="細明體"/>
      <w:kern w:val="0"/>
      <w:szCs w:val="24"/>
    </w:rPr>
  </w:style>
  <w:style w:type="paragraph" w:styleId="aa">
    <w:name w:val="Revision"/>
    <w:hidden/>
    <w:uiPriority w:val="99"/>
    <w:semiHidden/>
    <w:rsid w:val="00AF31D0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9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4A958-BD9A-4C51-A8B8-FA75D3DD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784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韻琳 鍾</dc:creator>
  <cp:keywords/>
  <dc:description/>
  <cp:lastModifiedBy>鍾韻琳</cp:lastModifiedBy>
  <cp:revision>8</cp:revision>
  <cp:lastPrinted>2025-03-20T05:47:00Z</cp:lastPrinted>
  <dcterms:created xsi:type="dcterms:W3CDTF">2024-12-13T08:18:00Z</dcterms:created>
  <dcterms:modified xsi:type="dcterms:W3CDTF">2025-03-20T05:55:00Z</dcterms:modified>
</cp:coreProperties>
</file>