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D6701" w14:textId="13790B88" w:rsidR="00A7327D" w:rsidRPr="00646F82" w:rsidRDefault="0001091E" w:rsidP="00404E36">
      <w:pPr>
        <w:kinsoku w:val="0"/>
        <w:overflowPunct w:val="0"/>
        <w:autoSpaceDE w:val="0"/>
        <w:autoSpaceDN w:val="0"/>
        <w:spacing w:line="400" w:lineRule="exact"/>
        <w:ind w:right="-1"/>
        <w:rPr>
          <w:rFonts w:ascii="Times New Roman" w:eastAsia="標楷體" w:hAnsi="Times New Roman" w:cs="Times New Roman"/>
          <w:bCs/>
          <w:spacing w:val="6"/>
          <w:szCs w:val="32"/>
        </w:rPr>
      </w:pPr>
      <w:r w:rsidRPr="00EB7E6D">
        <w:rPr>
          <w:rFonts w:ascii="Times New Roman" w:eastAsia="標楷體" w:hAnsi="Times New Roman" w:cs="Times New Roman"/>
          <w:b/>
          <w:spacing w:val="6"/>
          <w:sz w:val="32"/>
          <w:szCs w:val="40"/>
        </w:rPr>
        <w:t>修正條文對照表</w:t>
      </w:r>
      <w:r>
        <w:rPr>
          <w:rFonts w:ascii="新細明體" w:hAnsi="新細明體" w:cs="Times New Roman" w:hint="eastAsia"/>
          <w:b/>
          <w:spacing w:val="6"/>
          <w:sz w:val="32"/>
          <w:szCs w:val="40"/>
        </w:rPr>
        <w:t>：</w:t>
      </w:r>
      <w:r w:rsidR="00A7327D" w:rsidRPr="00EB7E6D">
        <w:rPr>
          <w:rFonts w:ascii="Times New Roman" w:eastAsia="標楷體" w:hAnsi="Times New Roman" w:cs="Times New Roman"/>
          <w:b/>
          <w:spacing w:val="6"/>
          <w:sz w:val="32"/>
          <w:szCs w:val="40"/>
        </w:rPr>
        <w:t>中華民國證券商業同業公會證券商受託買賣外國有價證券管理辦法</w:t>
      </w:r>
    </w:p>
    <w:tbl>
      <w:tblPr>
        <w:tblpPr w:leftFromText="180" w:rightFromText="180" w:vertAnchor="text" w:horzAnchor="margin" w:tblpY="26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542"/>
        <w:gridCol w:w="2551"/>
      </w:tblGrid>
      <w:tr w:rsidR="0040418F" w:rsidRPr="00404E36" w14:paraId="6EC1A059" w14:textId="511E28C1" w:rsidTr="00404E36">
        <w:trPr>
          <w:trHeight w:hRule="exact" w:val="436"/>
          <w:tblHeader/>
        </w:trPr>
        <w:tc>
          <w:tcPr>
            <w:tcW w:w="3541" w:type="dxa"/>
            <w:shd w:val="clear" w:color="auto" w:fill="auto"/>
            <w:vAlign w:val="center"/>
          </w:tcPr>
          <w:p w14:paraId="62753B79" w14:textId="77777777" w:rsidR="0040418F" w:rsidRPr="00404E36" w:rsidRDefault="0040418F" w:rsidP="0040418F">
            <w:pPr>
              <w:snapToGrid w:val="0"/>
              <w:jc w:val="center"/>
              <w:rPr>
                <w:rFonts w:ascii="Times New Roman" w:eastAsia="標楷體" w:hAnsi="Times New Roman" w:cs="Times New Roman"/>
                <w:bCs/>
                <w:sz w:val="28"/>
              </w:rPr>
            </w:pPr>
            <w:r w:rsidRPr="00404E36">
              <w:rPr>
                <w:rFonts w:ascii="Times New Roman" w:eastAsia="標楷體" w:hAnsi="Times New Roman" w:cs="Times New Roman"/>
                <w:bCs/>
                <w:sz w:val="28"/>
              </w:rPr>
              <w:t>修訂條文</w:t>
            </w:r>
          </w:p>
        </w:tc>
        <w:tc>
          <w:tcPr>
            <w:tcW w:w="3542" w:type="dxa"/>
            <w:shd w:val="clear" w:color="auto" w:fill="auto"/>
            <w:vAlign w:val="center"/>
          </w:tcPr>
          <w:p w14:paraId="46776DF1" w14:textId="77777777" w:rsidR="0040418F" w:rsidRPr="00404E36" w:rsidRDefault="0040418F" w:rsidP="0040418F">
            <w:pPr>
              <w:snapToGrid w:val="0"/>
              <w:jc w:val="center"/>
              <w:rPr>
                <w:rFonts w:ascii="Times New Roman" w:eastAsia="標楷體" w:hAnsi="Times New Roman" w:cs="Times New Roman"/>
                <w:bCs/>
                <w:sz w:val="28"/>
              </w:rPr>
            </w:pPr>
            <w:r w:rsidRPr="00404E36">
              <w:rPr>
                <w:rFonts w:ascii="Times New Roman" w:eastAsia="標楷體" w:hAnsi="Times New Roman" w:cs="Times New Roman"/>
                <w:bCs/>
                <w:sz w:val="28"/>
              </w:rPr>
              <w:t>現行條文</w:t>
            </w:r>
          </w:p>
        </w:tc>
        <w:tc>
          <w:tcPr>
            <w:tcW w:w="2551" w:type="dxa"/>
            <w:vAlign w:val="center"/>
          </w:tcPr>
          <w:p w14:paraId="0D0E4809" w14:textId="4248056C" w:rsidR="0040418F" w:rsidRPr="00404E36" w:rsidRDefault="0040418F" w:rsidP="0040418F">
            <w:pPr>
              <w:snapToGrid w:val="0"/>
              <w:jc w:val="center"/>
              <w:rPr>
                <w:rFonts w:ascii="Times New Roman" w:eastAsia="標楷體" w:hAnsi="Times New Roman" w:cs="Times New Roman"/>
                <w:bCs/>
                <w:sz w:val="28"/>
              </w:rPr>
            </w:pPr>
            <w:r w:rsidRPr="00404E36">
              <w:rPr>
                <w:rFonts w:ascii="Times New Roman" w:eastAsia="標楷體" w:hAnsi="Times New Roman" w:cs="Times New Roman"/>
                <w:bCs/>
                <w:sz w:val="28"/>
              </w:rPr>
              <w:t>說明</w:t>
            </w:r>
          </w:p>
        </w:tc>
      </w:tr>
      <w:tr w:rsidR="00F36BA8" w:rsidRPr="00404E36" w14:paraId="2644AC38" w14:textId="77EE4587" w:rsidTr="00404E36">
        <w:trPr>
          <w:trHeight w:val="558"/>
        </w:trPr>
        <w:tc>
          <w:tcPr>
            <w:tcW w:w="3541" w:type="dxa"/>
            <w:shd w:val="clear" w:color="auto" w:fill="auto"/>
          </w:tcPr>
          <w:p w14:paraId="7065C6A4" w14:textId="11CB265D" w:rsidR="00F36BA8" w:rsidRPr="00404E36" w:rsidRDefault="00F36BA8" w:rsidP="00404E36">
            <w:pPr>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t>第</w:t>
            </w:r>
            <w:r w:rsidR="00404E36">
              <w:rPr>
                <w:rFonts w:ascii="Times New Roman" w:eastAsia="標楷體" w:hAnsi="Times New Roman" w:cs="Times New Roman" w:hint="eastAsia"/>
                <w:sz w:val="28"/>
              </w:rPr>
              <w:t>21</w:t>
            </w:r>
            <w:r w:rsidRPr="00404E36">
              <w:rPr>
                <w:rFonts w:ascii="Times New Roman" w:eastAsia="標楷體" w:hAnsi="Times New Roman" w:cs="Times New Roman"/>
                <w:sz w:val="28"/>
              </w:rPr>
              <w:t>條</w:t>
            </w:r>
          </w:p>
          <w:p w14:paraId="0B82733F" w14:textId="14EDB898" w:rsidR="00F36BA8" w:rsidRPr="00404E36" w:rsidRDefault="00F36BA8" w:rsidP="00404E36">
            <w:pPr>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t>證券商就其受託買進之外國有價證券，除委託人為專業機構投資人</w:t>
            </w:r>
            <w:r w:rsidRPr="00646F82">
              <w:rPr>
                <w:rFonts w:ascii="Times New Roman" w:eastAsia="標楷體" w:hAnsi="Times New Roman" w:cs="Times New Roman"/>
                <w:b/>
                <w:bCs/>
                <w:sz w:val="28"/>
                <w:u w:val="single"/>
              </w:rPr>
              <w:t>、高淨值投資法人</w:t>
            </w:r>
            <w:r w:rsidRPr="003D7A10">
              <w:rPr>
                <w:rFonts w:ascii="Times New Roman" w:eastAsia="標楷體" w:hAnsi="Times New Roman" w:cs="Times New Roman"/>
                <w:b/>
                <w:bCs/>
                <w:sz w:val="28"/>
                <w:u w:val="single"/>
              </w:rPr>
              <w:t>及高資產</w:t>
            </w:r>
            <w:r w:rsidR="0001091E" w:rsidRPr="003D7A10">
              <w:rPr>
                <w:rFonts w:ascii="Times New Roman" w:eastAsia="標楷體" w:hAnsi="Times New Roman" w:cs="Times New Roman"/>
                <w:b/>
                <w:bCs/>
                <w:sz w:val="28"/>
                <w:u w:val="single"/>
              </w:rPr>
              <w:t>法人</w:t>
            </w:r>
            <w:r w:rsidRPr="003D7A10">
              <w:rPr>
                <w:rFonts w:ascii="Times New Roman" w:eastAsia="標楷體" w:hAnsi="Times New Roman" w:cs="Times New Roman"/>
                <w:b/>
                <w:bCs/>
                <w:sz w:val="28"/>
                <w:u w:val="single"/>
              </w:rPr>
              <w:t>客戶</w:t>
            </w:r>
            <w:r w:rsidRPr="003D7A10">
              <w:rPr>
                <w:rFonts w:ascii="Times New Roman" w:eastAsia="標楷體" w:hAnsi="Times New Roman" w:cs="Times New Roman"/>
                <w:sz w:val="28"/>
              </w:rPr>
              <w:t>外，應於交易當地保管機構</w:t>
            </w:r>
            <w:r w:rsidR="00404E36" w:rsidRPr="003D7A10">
              <w:rPr>
                <w:rFonts w:ascii="Times New Roman" w:eastAsia="標楷體" w:hAnsi="Times New Roman" w:cs="Times New Roman" w:hint="eastAsia"/>
                <w:b/>
                <w:bCs/>
                <w:sz w:val="28"/>
                <w:u w:val="single"/>
              </w:rPr>
              <w:t>或委由臺灣集中保管結算所股份有限公司</w:t>
            </w:r>
            <w:r w:rsidRPr="003D7A10">
              <w:rPr>
                <w:rFonts w:ascii="Times New Roman" w:eastAsia="標楷體" w:hAnsi="Times New Roman" w:cs="Times New Roman"/>
                <w:sz w:val="28"/>
              </w:rPr>
              <w:t>開設保管專戶，以證券商自己之名</w:t>
            </w:r>
            <w:r w:rsidRPr="00404E36">
              <w:rPr>
                <w:rFonts w:ascii="Times New Roman" w:eastAsia="標楷體" w:hAnsi="Times New Roman" w:cs="Times New Roman"/>
                <w:sz w:val="28"/>
              </w:rPr>
              <w:t>義寄託存入該帳戶保管。該帳戶應標明係委託人證券專戶，並於保管契約</w:t>
            </w:r>
            <w:proofErr w:type="gramStart"/>
            <w:r w:rsidRPr="00404E36">
              <w:rPr>
                <w:rFonts w:ascii="Times New Roman" w:eastAsia="標楷體" w:hAnsi="Times New Roman" w:cs="Times New Roman"/>
                <w:sz w:val="28"/>
              </w:rPr>
              <w:t>載明係受託</w:t>
            </w:r>
            <w:proofErr w:type="gramEnd"/>
            <w:r w:rsidRPr="00404E36">
              <w:rPr>
                <w:rFonts w:ascii="Times New Roman" w:eastAsia="標楷體" w:hAnsi="Times New Roman" w:cs="Times New Roman"/>
                <w:sz w:val="28"/>
              </w:rPr>
              <w:t>買進並為委託人之利益送存保管之意旨，但無須出示委託人姓名及其個別買賣紀錄。</w:t>
            </w:r>
          </w:p>
          <w:p w14:paraId="268C007E" w14:textId="77777777" w:rsidR="00F36BA8" w:rsidRPr="00404E36" w:rsidRDefault="00F36BA8" w:rsidP="00404E36">
            <w:pPr>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t>證券商以</w:t>
            </w:r>
            <w:proofErr w:type="gramStart"/>
            <w:r w:rsidRPr="00404E36">
              <w:rPr>
                <w:rFonts w:ascii="Times New Roman" w:eastAsia="標楷體" w:hAnsi="Times New Roman" w:cs="Times New Roman"/>
                <w:sz w:val="28"/>
              </w:rPr>
              <w:t>複</w:t>
            </w:r>
            <w:proofErr w:type="gramEnd"/>
            <w:r w:rsidRPr="00404E36">
              <w:rPr>
                <w:rFonts w:ascii="Times New Roman" w:eastAsia="標楷體" w:hAnsi="Times New Roman" w:cs="Times New Roman"/>
                <w:sz w:val="28"/>
              </w:rPr>
              <w:t>委託方式買進之有價證券，得以最終執行委託內容之</w:t>
            </w:r>
            <w:proofErr w:type="gramStart"/>
            <w:r w:rsidRPr="00404E36">
              <w:rPr>
                <w:rFonts w:ascii="Times New Roman" w:eastAsia="標楷體" w:hAnsi="Times New Roman" w:cs="Times New Roman"/>
                <w:sz w:val="28"/>
              </w:rPr>
              <w:t>複</w:t>
            </w:r>
            <w:proofErr w:type="gramEnd"/>
            <w:r w:rsidRPr="00404E36">
              <w:rPr>
                <w:rFonts w:ascii="Times New Roman" w:eastAsia="標楷體" w:hAnsi="Times New Roman" w:cs="Times New Roman"/>
                <w:sz w:val="28"/>
              </w:rPr>
              <w:t>受託金融機構名義，依前項規定送存保管。</w:t>
            </w:r>
          </w:p>
          <w:p w14:paraId="63FBBBFC" w14:textId="77777777" w:rsidR="00F36BA8" w:rsidRPr="00404E36" w:rsidRDefault="00F36BA8" w:rsidP="00404E36">
            <w:pPr>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t>前二項寄託保管之有價證券，應依原買進委託人之指示，證券商始得於該委託人委託買進及送存保管之同</w:t>
            </w:r>
            <w:r w:rsidRPr="00404E36">
              <w:rPr>
                <w:rFonts w:ascii="Times New Roman" w:eastAsia="標楷體" w:hAnsi="Times New Roman" w:cs="Times New Roman"/>
                <w:sz w:val="28"/>
              </w:rPr>
              <w:lastRenderedPageBreak/>
              <w:t>種證券數量餘額範圍內，受託賣出。</w:t>
            </w:r>
          </w:p>
          <w:p w14:paraId="4B67A70F" w14:textId="77777777" w:rsidR="00F36BA8" w:rsidRPr="00404E36" w:rsidRDefault="00F36BA8" w:rsidP="00404E36">
            <w:pPr>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t>證券商受託買賣應交割之證券，應由第一項或第二項保管機構依證券商或最終執行委託內容之</w:t>
            </w:r>
            <w:proofErr w:type="gramStart"/>
            <w:r w:rsidRPr="00404E36">
              <w:rPr>
                <w:rFonts w:ascii="Times New Roman" w:eastAsia="標楷體" w:hAnsi="Times New Roman" w:cs="Times New Roman"/>
                <w:sz w:val="28"/>
              </w:rPr>
              <w:t>複</w:t>
            </w:r>
            <w:proofErr w:type="gramEnd"/>
            <w:r w:rsidRPr="00404E36">
              <w:rPr>
                <w:rFonts w:ascii="Times New Roman" w:eastAsia="標楷體" w:hAnsi="Times New Roman" w:cs="Times New Roman"/>
                <w:sz w:val="28"/>
              </w:rPr>
              <w:t>受託金融機構之指示收付之。</w:t>
            </w:r>
          </w:p>
          <w:p w14:paraId="0C296448" w14:textId="424D4895" w:rsidR="00F36BA8" w:rsidRPr="00404E36" w:rsidRDefault="00F64AEF" w:rsidP="00404E36">
            <w:pPr>
              <w:spacing w:afterLines="30" w:after="108" w:line="480" w:lineRule="exact"/>
              <w:jc w:val="both"/>
              <w:rPr>
                <w:rFonts w:ascii="Times New Roman" w:eastAsia="標楷體" w:hAnsi="Times New Roman" w:cs="Times New Roman"/>
                <w:strike/>
                <w:sz w:val="28"/>
              </w:rPr>
            </w:pPr>
            <w:r w:rsidRPr="00646F82">
              <w:rPr>
                <w:rFonts w:ascii="Times New Roman" w:eastAsia="標楷體" w:hAnsi="Times New Roman" w:cs="Times New Roman"/>
                <w:b/>
                <w:bCs/>
                <w:sz w:val="28"/>
                <w:u w:val="single"/>
              </w:rPr>
              <w:t>證券商接受高淨值投資法人及高資</w:t>
            </w:r>
            <w:r w:rsidRPr="003D7A10">
              <w:rPr>
                <w:rFonts w:ascii="Times New Roman" w:eastAsia="標楷體" w:hAnsi="Times New Roman" w:cs="Times New Roman"/>
                <w:b/>
                <w:bCs/>
                <w:sz w:val="28"/>
                <w:u w:val="single"/>
              </w:rPr>
              <w:t>產</w:t>
            </w:r>
            <w:r w:rsidR="00404E36" w:rsidRPr="003D7A10">
              <w:rPr>
                <w:rFonts w:ascii="Times New Roman" w:eastAsia="標楷體" w:hAnsi="Times New Roman" w:cs="Times New Roman" w:hint="eastAsia"/>
                <w:b/>
                <w:bCs/>
                <w:sz w:val="28"/>
                <w:u w:val="single"/>
              </w:rPr>
              <w:t>法人</w:t>
            </w:r>
            <w:r w:rsidRPr="003D7A10">
              <w:rPr>
                <w:rFonts w:ascii="Times New Roman" w:eastAsia="標楷體" w:hAnsi="Times New Roman" w:cs="Times New Roman"/>
                <w:b/>
                <w:bCs/>
                <w:sz w:val="28"/>
                <w:u w:val="single"/>
              </w:rPr>
              <w:t>客</w:t>
            </w:r>
            <w:r w:rsidRPr="00646F82">
              <w:rPr>
                <w:rFonts w:ascii="Times New Roman" w:eastAsia="標楷體" w:hAnsi="Times New Roman" w:cs="Times New Roman"/>
                <w:b/>
                <w:bCs/>
                <w:sz w:val="28"/>
                <w:u w:val="single"/>
              </w:rPr>
              <w:t>戶委託買進之外國有價證券，得存入</w:t>
            </w:r>
            <w:r w:rsidR="00642E9A" w:rsidRPr="00646F82">
              <w:rPr>
                <w:rFonts w:ascii="Times New Roman" w:eastAsia="標楷體" w:hAnsi="Times New Roman" w:cs="Times New Roman"/>
                <w:b/>
                <w:bCs/>
                <w:sz w:val="28"/>
                <w:u w:val="single"/>
              </w:rPr>
              <w:t>限</w:t>
            </w:r>
            <w:r w:rsidRPr="00646F82">
              <w:rPr>
                <w:rFonts w:ascii="Times New Roman" w:eastAsia="標楷體" w:hAnsi="Times New Roman" w:cs="Times New Roman"/>
                <w:b/>
                <w:bCs/>
                <w:sz w:val="28"/>
                <w:u w:val="single"/>
              </w:rPr>
              <w:t>以委託人名義於保管機構開設之保管帳戶。證券商應與委託人於受託契約中約定外國有價證券交割款項之收付及外國有價證券保管相關權益事宜。</w:t>
            </w:r>
          </w:p>
        </w:tc>
        <w:tc>
          <w:tcPr>
            <w:tcW w:w="3542" w:type="dxa"/>
            <w:shd w:val="clear" w:color="auto" w:fill="auto"/>
          </w:tcPr>
          <w:p w14:paraId="2498D9B8" w14:textId="7C579FF7" w:rsidR="00F36BA8" w:rsidRPr="00404E36" w:rsidRDefault="00F36BA8" w:rsidP="00404E36">
            <w:pPr>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lastRenderedPageBreak/>
              <w:t>第</w:t>
            </w:r>
            <w:r w:rsidR="00404E36">
              <w:rPr>
                <w:rFonts w:ascii="Times New Roman" w:eastAsia="標楷體" w:hAnsi="Times New Roman" w:cs="Times New Roman" w:hint="eastAsia"/>
                <w:sz w:val="28"/>
              </w:rPr>
              <w:t>21</w:t>
            </w:r>
            <w:r w:rsidRPr="00404E36">
              <w:rPr>
                <w:rFonts w:ascii="Times New Roman" w:eastAsia="標楷體" w:hAnsi="Times New Roman" w:cs="Times New Roman"/>
                <w:sz w:val="28"/>
              </w:rPr>
              <w:t>條</w:t>
            </w:r>
          </w:p>
          <w:p w14:paraId="16E53FE3" w14:textId="77777777" w:rsidR="00F36BA8" w:rsidRPr="00404E36" w:rsidRDefault="00F36BA8" w:rsidP="00404E36">
            <w:pPr>
              <w:snapToGrid w:val="0"/>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t>證券商就其受託買進之外國有價證券，除</w:t>
            </w:r>
            <w:r w:rsidRPr="00404E36">
              <w:rPr>
                <w:rFonts w:ascii="Times New Roman" w:eastAsia="標楷體" w:hAnsi="Times New Roman" w:cs="Times New Roman"/>
                <w:bCs/>
                <w:sz w:val="28"/>
              </w:rPr>
              <w:t>委託人為專業機構投資人</w:t>
            </w:r>
            <w:r w:rsidRPr="00404E36">
              <w:rPr>
                <w:rFonts w:ascii="Times New Roman" w:eastAsia="標楷體" w:hAnsi="Times New Roman" w:cs="Times New Roman"/>
                <w:sz w:val="28"/>
              </w:rPr>
              <w:t>外，應於交易當地保管機構開設保管專戶，以證券商自己之名義寄託存入該帳戶保管。該帳戶應標明係委託人證券專戶，並於保管契約</w:t>
            </w:r>
            <w:proofErr w:type="gramStart"/>
            <w:r w:rsidRPr="00404E36">
              <w:rPr>
                <w:rFonts w:ascii="Times New Roman" w:eastAsia="標楷體" w:hAnsi="Times New Roman" w:cs="Times New Roman"/>
                <w:sz w:val="28"/>
              </w:rPr>
              <w:t>載明係受託</w:t>
            </w:r>
            <w:proofErr w:type="gramEnd"/>
            <w:r w:rsidRPr="00404E36">
              <w:rPr>
                <w:rFonts w:ascii="Times New Roman" w:eastAsia="標楷體" w:hAnsi="Times New Roman" w:cs="Times New Roman"/>
                <w:sz w:val="28"/>
              </w:rPr>
              <w:t>買進並為委託人之利益送存保管之意旨，但無須出示委託人姓名及其個別買賣紀錄。</w:t>
            </w:r>
          </w:p>
          <w:p w14:paraId="73D0AB59" w14:textId="77777777" w:rsidR="00F36BA8" w:rsidRPr="00404E36" w:rsidRDefault="00F36BA8" w:rsidP="00404E36">
            <w:pPr>
              <w:snapToGrid w:val="0"/>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t>證券商以</w:t>
            </w:r>
            <w:proofErr w:type="gramStart"/>
            <w:r w:rsidRPr="00404E36">
              <w:rPr>
                <w:rFonts w:ascii="Times New Roman" w:eastAsia="標楷體" w:hAnsi="Times New Roman" w:cs="Times New Roman"/>
                <w:sz w:val="28"/>
              </w:rPr>
              <w:t>複</w:t>
            </w:r>
            <w:proofErr w:type="gramEnd"/>
            <w:r w:rsidRPr="00404E36">
              <w:rPr>
                <w:rFonts w:ascii="Times New Roman" w:eastAsia="標楷體" w:hAnsi="Times New Roman" w:cs="Times New Roman"/>
                <w:sz w:val="28"/>
              </w:rPr>
              <w:t>委託方式買進之有價證券，得以最終執行委託內容之</w:t>
            </w:r>
            <w:proofErr w:type="gramStart"/>
            <w:r w:rsidRPr="00404E36">
              <w:rPr>
                <w:rFonts w:ascii="Times New Roman" w:eastAsia="標楷體" w:hAnsi="Times New Roman" w:cs="Times New Roman"/>
                <w:sz w:val="28"/>
              </w:rPr>
              <w:t>複</w:t>
            </w:r>
            <w:proofErr w:type="gramEnd"/>
            <w:r w:rsidRPr="00404E36">
              <w:rPr>
                <w:rFonts w:ascii="Times New Roman" w:eastAsia="標楷體" w:hAnsi="Times New Roman" w:cs="Times New Roman"/>
                <w:sz w:val="28"/>
              </w:rPr>
              <w:t>受託金融機構名義，依前項規定送存保管。</w:t>
            </w:r>
          </w:p>
          <w:p w14:paraId="274A64E7" w14:textId="77777777" w:rsidR="00F36BA8" w:rsidRPr="00404E36" w:rsidRDefault="00F36BA8" w:rsidP="00404E36">
            <w:pPr>
              <w:snapToGrid w:val="0"/>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t>前二項寄託保管之有價證券，應依原買進委託人之指示，證券商始得於該委託人委託買進及送存保管之同種證券數量餘額範圍內，受託賣出。</w:t>
            </w:r>
          </w:p>
          <w:p w14:paraId="41C7BA58" w14:textId="6C0DB739" w:rsidR="00F36BA8" w:rsidRPr="00404E36" w:rsidRDefault="00F36BA8" w:rsidP="00404E36">
            <w:pPr>
              <w:snapToGrid w:val="0"/>
              <w:spacing w:afterLines="30" w:after="108" w:line="480" w:lineRule="exact"/>
              <w:jc w:val="both"/>
              <w:rPr>
                <w:rFonts w:ascii="Times New Roman" w:eastAsia="標楷體" w:hAnsi="Times New Roman" w:cs="Times New Roman"/>
                <w:sz w:val="28"/>
              </w:rPr>
            </w:pPr>
            <w:r w:rsidRPr="00404E36">
              <w:rPr>
                <w:rFonts w:ascii="Times New Roman" w:eastAsia="標楷體" w:hAnsi="Times New Roman" w:cs="Times New Roman"/>
                <w:sz w:val="28"/>
              </w:rPr>
              <w:lastRenderedPageBreak/>
              <w:t>證券商受託買賣應交割之證券，應由第一項或第二項保管機構依證券商或最終執行委託內容之</w:t>
            </w:r>
            <w:proofErr w:type="gramStart"/>
            <w:r w:rsidRPr="00404E36">
              <w:rPr>
                <w:rFonts w:ascii="Times New Roman" w:eastAsia="標楷體" w:hAnsi="Times New Roman" w:cs="Times New Roman"/>
                <w:sz w:val="28"/>
              </w:rPr>
              <w:t>複</w:t>
            </w:r>
            <w:proofErr w:type="gramEnd"/>
            <w:r w:rsidRPr="00404E36">
              <w:rPr>
                <w:rFonts w:ascii="Times New Roman" w:eastAsia="標楷體" w:hAnsi="Times New Roman" w:cs="Times New Roman"/>
                <w:sz w:val="28"/>
              </w:rPr>
              <w:t>受託金融機構之指示收付之。</w:t>
            </w:r>
          </w:p>
        </w:tc>
        <w:tc>
          <w:tcPr>
            <w:tcW w:w="2551" w:type="dxa"/>
          </w:tcPr>
          <w:p w14:paraId="55A7D9A6" w14:textId="17781C13" w:rsidR="00AC000A" w:rsidRPr="003D7A10" w:rsidRDefault="00AC000A" w:rsidP="00404E36">
            <w:pPr>
              <w:pStyle w:val="ac"/>
              <w:numPr>
                <w:ilvl w:val="0"/>
                <w:numId w:val="2"/>
              </w:numPr>
              <w:snapToGrid w:val="0"/>
              <w:spacing w:afterLines="30" w:after="108" w:line="480" w:lineRule="exact"/>
              <w:ind w:leftChars="0" w:left="609" w:hanging="609"/>
              <w:jc w:val="both"/>
              <w:rPr>
                <w:rFonts w:ascii="Times New Roman" w:eastAsia="標楷體" w:hAnsi="Times New Roman" w:cs="Times New Roman"/>
                <w:sz w:val="28"/>
              </w:rPr>
            </w:pPr>
            <w:r w:rsidRPr="003D7A10">
              <w:rPr>
                <w:rFonts w:ascii="Times New Roman" w:eastAsia="標楷體" w:hAnsi="Times New Roman" w:cs="Times New Roman"/>
                <w:sz w:val="28"/>
              </w:rPr>
              <w:lastRenderedPageBreak/>
              <w:t>配合證券商受託買賣外國有價證券管理規則第</w:t>
            </w:r>
            <w:r w:rsidR="00404E36" w:rsidRPr="003D7A10">
              <w:rPr>
                <w:rFonts w:ascii="Times New Roman" w:eastAsia="標楷體" w:hAnsi="Times New Roman" w:cs="Times New Roman" w:hint="eastAsia"/>
                <w:sz w:val="28"/>
              </w:rPr>
              <w:t>二十三</w:t>
            </w:r>
            <w:r w:rsidRPr="003D7A10">
              <w:rPr>
                <w:rFonts w:ascii="Times New Roman" w:eastAsia="標楷體" w:hAnsi="Times New Roman" w:cs="Times New Roman"/>
                <w:sz w:val="28"/>
              </w:rPr>
              <w:t>條</w:t>
            </w:r>
            <w:r w:rsidR="00404E36" w:rsidRPr="003D7A10">
              <w:rPr>
                <w:rFonts w:ascii="Times New Roman" w:eastAsia="標楷體" w:hAnsi="Times New Roman" w:cs="Times New Roman" w:hint="eastAsia"/>
                <w:sz w:val="28"/>
              </w:rPr>
              <w:t>條文</w:t>
            </w:r>
            <w:r w:rsidRPr="003D7A10">
              <w:rPr>
                <w:rFonts w:ascii="Times New Roman" w:eastAsia="標楷體" w:hAnsi="Times New Roman" w:cs="Times New Roman"/>
                <w:sz w:val="28"/>
              </w:rPr>
              <w:t>修訂</w:t>
            </w:r>
            <w:r w:rsidR="00404E36" w:rsidRPr="003D7A10">
              <w:rPr>
                <w:rFonts w:ascii="Times New Roman" w:eastAsia="標楷體" w:hAnsi="Times New Roman" w:cs="Times New Roman" w:hint="eastAsia"/>
                <w:sz w:val="28"/>
              </w:rPr>
              <w:t>，於本條第一項明定證券商接受高淨值投資法人及高資產法人客戶委託買進之外國有價證券，得寄託於委託人指定之保管機構</w:t>
            </w:r>
            <w:r w:rsidR="00646F82" w:rsidRPr="003D7A10">
              <w:rPr>
                <w:rFonts w:ascii="Times New Roman" w:eastAsia="標楷體" w:hAnsi="Times New Roman" w:cs="Times New Roman" w:hint="eastAsia"/>
                <w:sz w:val="28"/>
              </w:rPr>
              <w:t>；並增訂</w:t>
            </w:r>
            <w:r w:rsidR="00404E36" w:rsidRPr="003D7A10">
              <w:rPr>
                <w:rFonts w:ascii="Times New Roman" w:eastAsia="標楷體" w:hAnsi="Times New Roman" w:cs="Times New Roman" w:hint="eastAsia"/>
                <w:sz w:val="28"/>
              </w:rPr>
              <w:t>證券商就其受託買進之外國有價證券得委由臺灣集中保管結算所股份有限公司保管之規定</w:t>
            </w:r>
            <w:r w:rsidRPr="003D7A10">
              <w:rPr>
                <w:rFonts w:ascii="Times New Roman" w:eastAsia="標楷體" w:hAnsi="Times New Roman" w:cs="Times New Roman"/>
                <w:sz w:val="28"/>
              </w:rPr>
              <w:t>。</w:t>
            </w:r>
          </w:p>
          <w:p w14:paraId="0AEE3818" w14:textId="3C115216" w:rsidR="00AC000A" w:rsidRPr="003D7A10" w:rsidRDefault="00AC000A" w:rsidP="00404E36">
            <w:pPr>
              <w:pStyle w:val="ac"/>
              <w:numPr>
                <w:ilvl w:val="0"/>
                <w:numId w:val="2"/>
              </w:numPr>
              <w:snapToGrid w:val="0"/>
              <w:spacing w:afterLines="30" w:after="108" w:line="480" w:lineRule="exact"/>
              <w:ind w:leftChars="0" w:left="609" w:hanging="609"/>
              <w:jc w:val="both"/>
              <w:rPr>
                <w:rFonts w:ascii="Times New Roman" w:eastAsia="標楷體" w:hAnsi="Times New Roman" w:cs="Times New Roman"/>
                <w:sz w:val="28"/>
              </w:rPr>
            </w:pPr>
            <w:r w:rsidRPr="003D7A10">
              <w:rPr>
                <w:rFonts w:ascii="Times New Roman" w:eastAsia="標楷體" w:hAnsi="Times New Roman" w:cs="Times New Roman"/>
                <w:sz w:val="28"/>
              </w:rPr>
              <w:t>增</w:t>
            </w:r>
            <w:r w:rsidR="00CE2D37" w:rsidRPr="003D7A10">
              <w:rPr>
                <w:rFonts w:ascii="Times New Roman" w:eastAsia="標楷體" w:hAnsi="Times New Roman" w:cs="Times New Roman"/>
                <w:sz w:val="28"/>
              </w:rPr>
              <w:t>訂</w:t>
            </w:r>
            <w:r w:rsidRPr="003D7A10">
              <w:rPr>
                <w:rFonts w:ascii="Times New Roman" w:eastAsia="標楷體" w:hAnsi="Times New Roman" w:cs="Times New Roman"/>
                <w:sz w:val="28"/>
              </w:rPr>
              <w:t>第五項</w:t>
            </w:r>
            <w:r w:rsidR="00CE2D37" w:rsidRPr="003D7A10">
              <w:rPr>
                <w:rFonts w:ascii="Times New Roman" w:eastAsia="標楷體" w:hAnsi="Times New Roman" w:cs="Times New Roman"/>
                <w:sz w:val="28"/>
              </w:rPr>
              <w:t>：</w:t>
            </w:r>
            <w:r w:rsidR="00233539" w:rsidRPr="003D7A10">
              <w:rPr>
                <w:rFonts w:ascii="Times New Roman" w:eastAsia="標楷體" w:hAnsi="Times New Roman" w:cs="Times New Roman"/>
                <w:sz w:val="28"/>
              </w:rPr>
              <w:t>證券商接受高淨值投資法人及高資產</w:t>
            </w:r>
            <w:r w:rsidR="00404E36" w:rsidRPr="003D7A10">
              <w:rPr>
                <w:rFonts w:ascii="Times New Roman" w:eastAsia="標楷體" w:hAnsi="Times New Roman" w:cs="Times New Roman" w:hint="eastAsia"/>
                <w:sz w:val="28"/>
              </w:rPr>
              <w:t>法人</w:t>
            </w:r>
            <w:r w:rsidR="00233539" w:rsidRPr="003D7A10">
              <w:rPr>
                <w:rFonts w:ascii="Times New Roman" w:eastAsia="標楷體" w:hAnsi="Times New Roman" w:cs="Times New Roman"/>
                <w:sz w:val="28"/>
              </w:rPr>
              <w:lastRenderedPageBreak/>
              <w:t>客戶委託買進之外國有價證券，</w:t>
            </w:r>
            <w:r w:rsidR="00F64AEF" w:rsidRPr="003D7A10">
              <w:rPr>
                <w:rFonts w:ascii="Times New Roman" w:eastAsia="標楷體" w:hAnsi="Times New Roman" w:cs="Times New Roman"/>
                <w:sz w:val="28"/>
              </w:rPr>
              <w:t>得寄存於委託人指定之保管機構帳戶，且該帳戶應以委託人名義於</w:t>
            </w:r>
            <w:r w:rsidR="00D6446D" w:rsidRPr="003D7A10">
              <w:rPr>
                <w:rFonts w:ascii="Times New Roman" w:eastAsia="標楷體" w:hAnsi="Times New Roman" w:cs="Times New Roman"/>
                <w:sz w:val="28"/>
              </w:rPr>
              <w:t>保管機構</w:t>
            </w:r>
            <w:r w:rsidR="00F64AEF" w:rsidRPr="003D7A10">
              <w:rPr>
                <w:rFonts w:ascii="Times New Roman" w:eastAsia="標楷體" w:hAnsi="Times New Roman" w:cs="Times New Roman"/>
                <w:sz w:val="28"/>
              </w:rPr>
              <w:t>開設。證券商應與委託人於受託契約中約</w:t>
            </w:r>
            <w:r w:rsidR="00CA3918" w:rsidRPr="003D7A10">
              <w:rPr>
                <w:rFonts w:ascii="Times New Roman" w:eastAsia="標楷體" w:hAnsi="Times New Roman" w:cs="Times New Roman"/>
                <w:sz w:val="28"/>
              </w:rPr>
              <w:t>定</w:t>
            </w:r>
            <w:r w:rsidR="00F64AEF" w:rsidRPr="003D7A10">
              <w:rPr>
                <w:rFonts w:ascii="Times New Roman" w:eastAsia="標楷體" w:hAnsi="Times New Roman" w:cs="Times New Roman"/>
                <w:sz w:val="28"/>
              </w:rPr>
              <w:t>外國有價證券交割款項之收付</w:t>
            </w:r>
            <w:r w:rsidR="00A0271F" w:rsidRPr="003D7A10">
              <w:rPr>
                <w:rFonts w:ascii="Times New Roman" w:eastAsia="標楷體" w:hAnsi="Times New Roman" w:cs="Times New Roman"/>
                <w:sz w:val="28"/>
              </w:rPr>
              <w:t>、</w:t>
            </w:r>
            <w:r w:rsidR="00F64AEF" w:rsidRPr="003D7A10">
              <w:rPr>
                <w:rFonts w:ascii="Times New Roman" w:eastAsia="標楷體" w:hAnsi="Times New Roman" w:cs="Times New Roman"/>
                <w:sz w:val="28"/>
              </w:rPr>
              <w:t>外國有價證券保管</w:t>
            </w:r>
            <w:r w:rsidR="00154D1E" w:rsidRPr="003D7A10">
              <w:rPr>
                <w:rFonts w:ascii="Times New Roman" w:eastAsia="標楷體" w:hAnsi="Times New Roman" w:cs="Times New Roman"/>
                <w:sz w:val="28"/>
              </w:rPr>
              <w:t>暨</w:t>
            </w:r>
            <w:r w:rsidR="00A0271F" w:rsidRPr="003D7A10">
              <w:rPr>
                <w:rFonts w:ascii="Times New Roman" w:eastAsia="標楷體" w:hAnsi="Times New Roman" w:cs="Times New Roman"/>
                <w:sz w:val="28"/>
              </w:rPr>
              <w:t>權益</w:t>
            </w:r>
            <w:r w:rsidR="00154D1E" w:rsidRPr="003D7A10">
              <w:rPr>
                <w:rFonts w:ascii="Times New Roman" w:eastAsia="標楷體" w:hAnsi="Times New Roman" w:cs="Times New Roman"/>
                <w:sz w:val="28"/>
              </w:rPr>
              <w:t>事項</w:t>
            </w:r>
            <w:r w:rsidR="00A0271F" w:rsidRPr="003D7A10">
              <w:rPr>
                <w:rFonts w:ascii="Times New Roman" w:eastAsia="標楷體" w:hAnsi="Times New Roman" w:cs="Times New Roman"/>
                <w:sz w:val="28"/>
              </w:rPr>
              <w:t>及投資紛爭處理等</w:t>
            </w:r>
            <w:r w:rsidR="00F64AEF" w:rsidRPr="003D7A10">
              <w:rPr>
                <w:rFonts w:ascii="Times New Roman" w:eastAsia="標楷體" w:hAnsi="Times New Roman" w:cs="Times New Roman"/>
                <w:sz w:val="28"/>
              </w:rPr>
              <w:t>相關事宜。</w:t>
            </w:r>
          </w:p>
        </w:tc>
      </w:tr>
    </w:tbl>
    <w:p w14:paraId="1C22A4D7" w14:textId="77777777" w:rsidR="0001091E" w:rsidRPr="0001091E" w:rsidRDefault="0001091E" w:rsidP="00EE2D42"/>
    <w:sectPr w:rsidR="0001091E" w:rsidRPr="0001091E" w:rsidSect="00BD77FA">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A3CF" w14:textId="77777777" w:rsidR="00145208" w:rsidRDefault="00145208" w:rsidP="004D3B90">
      <w:r>
        <w:separator/>
      </w:r>
    </w:p>
  </w:endnote>
  <w:endnote w:type="continuationSeparator" w:id="0">
    <w:p w14:paraId="1EC0A865" w14:textId="77777777" w:rsidR="00145208" w:rsidRDefault="00145208" w:rsidP="004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601284"/>
      <w:docPartObj>
        <w:docPartGallery w:val="Page Numbers (Bottom of Page)"/>
        <w:docPartUnique/>
      </w:docPartObj>
    </w:sdtPr>
    <w:sdtContent>
      <w:p w14:paraId="61D95936" w14:textId="41B30775" w:rsidR="004D3B90" w:rsidRDefault="004D3B90">
        <w:pPr>
          <w:pStyle w:val="a5"/>
          <w:jc w:val="center"/>
        </w:pPr>
        <w:r>
          <w:fldChar w:fldCharType="begin"/>
        </w:r>
        <w:r>
          <w:instrText>PAGE   \* MERGEFORMAT</w:instrText>
        </w:r>
        <w:r>
          <w:fldChar w:fldCharType="separate"/>
        </w:r>
        <w:r>
          <w:rPr>
            <w:lang w:val="zh-TW"/>
          </w:rPr>
          <w:t>2</w:t>
        </w:r>
        <w:r>
          <w:fldChar w:fldCharType="end"/>
        </w:r>
      </w:p>
    </w:sdtContent>
  </w:sdt>
  <w:p w14:paraId="2B940930" w14:textId="77777777" w:rsidR="004D3B90" w:rsidRDefault="004D3B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0976E" w14:textId="77777777" w:rsidR="00145208" w:rsidRDefault="00145208" w:rsidP="004D3B90">
      <w:r>
        <w:separator/>
      </w:r>
    </w:p>
  </w:footnote>
  <w:footnote w:type="continuationSeparator" w:id="0">
    <w:p w14:paraId="56E59DF3" w14:textId="77777777" w:rsidR="00145208" w:rsidRDefault="00145208" w:rsidP="004D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7428D"/>
    <w:multiLevelType w:val="hybridMultilevel"/>
    <w:tmpl w:val="F2DEE268"/>
    <w:lvl w:ilvl="0" w:tplc="10481A1A">
      <w:start w:val="1"/>
      <w:numFmt w:val="taiwaneseCountingThousand"/>
      <w:lvlText w:val="(%1)"/>
      <w:lvlJc w:val="left"/>
      <w:pPr>
        <w:ind w:left="1095" w:hanging="61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8D524A3"/>
    <w:multiLevelType w:val="hybridMultilevel"/>
    <w:tmpl w:val="BF60590A"/>
    <w:lvl w:ilvl="0" w:tplc="694E2C5E">
      <w:start w:val="1"/>
      <w:numFmt w:val="taiwaneseCountingThousand"/>
      <w:lvlText w:val="%1、"/>
      <w:lvlJc w:val="left"/>
      <w:pPr>
        <w:ind w:left="720" w:hanging="720"/>
      </w:pPr>
      <w:rPr>
        <w:rFonts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7B1F97"/>
    <w:multiLevelType w:val="hybridMultilevel"/>
    <w:tmpl w:val="14961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914017"/>
    <w:multiLevelType w:val="hybridMultilevel"/>
    <w:tmpl w:val="63CE718E"/>
    <w:lvl w:ilvl="0" w:tplc="04090001">
      <w:start w:val="1"/>
      <w:numFmt w:val="bullet"/>
      <w:lvlText w:val=""/>
      <w:lvlJc w:val="left"/>
      <w:pPr>
        <w:ind w:left="900" w:hanging="420"/>
      </w:pPr>
      <w:rPr>
        <w:rFonts w:ascii="Wingdings" w:hAnsi="Wingding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8356480"/>
    <w:multiLevelType w:val="hybridMultilevel"/>
    <w:tmpl w:val="09101448"/>
    <w:lvl w:ilvl="0" w:tplc="ABD0FC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833B85"/>
    <w:multiLevelType w:val="hybridMultilevel"/>
    <w:tmpl w:val="5DE475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1139F6"/>
    <w:multiLevelType w:val="hybridMultilevel"/>
    <w:tmpl w:val="AAA85C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CAC6CE5"/>
    <w:multiLevelType w:val="hybridMultilevel"/>
    <w:tmpl w:val="4C2499F0"/>
    <w:lvl w:ilvl="0" w:tplc="15CC874E">
      <w:start w:val="1"/>
      <w:numFmt w:val="decimal"/>
      <w:lvlText w:val="(%1)"/>
      <w:lvlJc w:val="left"/>
      <w:pPr>
        <w:ind w:left="5281" w:hanging="360"/>
      </w:pPr>
      <w:rPr>
        <w:rFonts w:ascii="Times New Roman" w:hAnsi="Times New Roman" w:cs="Times New Roman" w:hint="default"/>
        <w:sz w:val="28"/>
        <w:szCs w:val="28"/>
      </w:rPr>
    </w:lvl>
    <w:lvl w:ilvl="1" w:tplc="04090019" w:tentative="1">
      <w:start w:val="1"/>
      <w:numFmt w:val="ideographTraditional"/>
      <w:lvlText w:val="%2、"/>
      <w:lvlJc w:val="left"/>
      <w:pPr>
        <w:ind w:left="5881" w:hanging="480"/>
      </w:pPr>
    </w:lvl>
    <w:lvl w:ilvl="2" w:tplc="0409001B" w:tentative="1">
      <w:start w:val="1"/>
      <w:numFmt w:val="lowerRoman"/>
      <w:lvlText w:val="%3."/>
      <w:lvlJc w:val="right"/>
      <w:pPr>
        <w:ind w:left="6361" w:hanging="480"/>
      </w:pPr>
    </w:lvl>
    <w:lvl w:ilvl="3" w:tplc="0409000F" w:tentative="1">
      <w:start w:val="1"/>
      <w:numFmt w:val="decimal"/>
      <w:lvlText w:val="%4."/>
      <w:lvlJc w:val="left"/>
      <w:pPr>
        <w:ind w:left="6841" w:hanging="480"/>
      </w:pPr>
    </w:lvl>
    <w:lvl w:ilvl="4" w:tplc="04090019" w:tentative="1">
      <w:start w:val="1"/>
      <w:numFmt w:val="ideographTraditional"/>
      <w:lvlText w:val="%5、"/>
      <w:lvlJc w:val="left"/>
      <w:pPr>
        <w:ind w:left="7321" w:hanging="480"/>
      </w:pPr>
    </w:lvl>
    <w:lvl w:ilvl="5" w:tplc="0409001B" w:tentative="1">
      <w:start w:val="1"/>
      <w:numFmt w:val="lowerRoman"/>
      <w:lvlText w:val="%6."/>
      <w:lvlJc w:val="right"/>
      <w:pPr>
        <w:ind w:left="7801" w:hanging="480"/>
      </w:pPr>
    </w:lvl>
    <w:lvl w:ilvl="6" w:tplc="0409000F" w:tentative="1">
      <w:start w:val="1"/>
      <w:numFmt w:val="decimal"/>
      <w:lvlText w:val="%7."/>
      <w:lvlJc w:val="left"/>
      <w:pPr>
        <w:ind w:left="8281" w:hanging="480"/>
      </w:pPr>
    </w:lvl>
    <w:lvl w:ilvl="7" w:tplc="04090019" w:tentative="1">
      <w:start w:val="1"/>
      <w:numFmt w:val="ideographTraditional"/>
      <w:lvlText w:val="%8、"/>
      <w:lvlJc w:val="left"/>
      <w:pPr>
        <w:ind w:left="8761" w:hanging="480"/>
      </w:pPr>
    </w:lvl>
    <w:lvl w:ilvl="8" w:tplc="0409001B" w:tentative="1">
      <w:start w:val="1"/>
      <w:numFmt w:val="lowerRoman"/>
      <w:lvlText w:val="%9."/>
      <w:lvlJc w:val="right"/>
      <w:pPr>
        <w:ind w:left="9241" w:hanging="480"/>
      </w:pPr>
    </w:lvl>
  </w:abstractNum>
  <w:abstractNum w:abstractNumId="8" w15:restartNumberingAfterBreak="0">
    <w:nsid w:val="663009E9"/>
    <w:multiLevelType w:val="hybridMultilevel"/>
    <w:tmpl w:val="1A0C7E16"/>
    <w:lvl w:ilvl="0" w:tplc="F38869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436D80"/>
    <w:multiLevelType w:val="hybridMultilevel"/>
    <w:tmpl w:val="7A16210C"/>
    <w:lvl w:ilvl="0" w:tplc="0ECC2D1A">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05932132">
    <w:abstractNumId w:val="2"/>
  </w:num>
  <w:num w:numId="2" w16cid:durableId="2105760708">
    <w:abstractNumId w:val="4"/>
  </w:num>
  <w:num w:numId="3" w16cid:durableId="547763466">
    <w:abstractNumId w:val="7"/>
  </w:num>
  <w:num w:numId="4" w16cid:durableId="1231044088">
    <w:abstractNumId w:val="5"/>
  </w:num>
  <w:num w:numId="5" w16cid:durableId="262761237">
    <w:abstractNumId w:val="3"/>
  </w:num>
  <w:num w:numId="6" w16cid:durableId="1069035231">
    <w:abstractNumId w:val="6"/>
  </w:num>
  <w:num w:numId="7" w16cid:durableId="1451316970">
    <w:abstractNumId w:val="0"/>
  </w:num>
  <w:num w:numId="8" w16cid:durableId="1506283747">
    <w:abstractNumId w:val="8"/>
  </w:num>
  <w:num w:numId="9" w16cid:durableId="1106534783">
    <w:abstractNumId w:val="9"/>
  </w:num>
  <w:num w:numId="10" w16cid:durableId="400519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72"/>
    <w:rsid w:val="0001091E"/>
    <w:rsid w:val="00017F6B"/>
    <w:rsid w:val="000251FE"/>
    <w:rsid w:val="00043005"/>
    <w:rsid w:val="00043E52"/>
    <w:rsid w:val="00045DD3"/>
    <w:rsid w:val="00067442"/>
    <w:rsid w:val="0007081D"/>
    <w:rsid w:val="0007220D"/>
    <w:rsid w:val="000914A7"/>
    <w:rsid w:val="000A7785"/>
    <w:rsid w:val="00114A62"/>
    <w:rsid w:val="00116A0D"/>
    <w:rsid w:val="00145208"/>
    <w:rsid w:val="0015066C"/>
    <w:rsid w:val="00154D1E"/>
    <w:rsid w:val="001A5B6D"/>
    <w:rsid w:val="001B19AB"/>
    <w:rsid w:val="001C5A4A"/>
    <w:rsid w:val="002110D6"/>
    <w:rsid w:val="00233539"/>
    <w:rsid w:val="002636C3"/>
    <w:rsid w:val="002721AA"/>
    <w:rsid w:val="002904D0"/>
    <w:rsid w:val="002E1E25"/>
    <w:rsid w:val="0032010B"/>
    <w:rsid w:val="003277B7"/>
    <w:rsid w:val="00327D0B"/>
    <w:rsid w:val="003810FB"/>
    <w:rsid w:val="0038517B"/>
    <w:rsid w:val="00390265"/>
    <w:rsid w:val="003D169B"/>
    <w:rsid w:val="003D7A10"/>
    <w:rsid w:val="003E7DD0"/>
    <w:rsid w:val="0040418F"/>
    <w:rsid w:val="00404E36"/>
    <w:rsid w:val="004428EF"/>
    <w:rsid w:val="00472ECF"/>
    <w:rsid w:val="004C357B"/>
    <w:rsid w:val="004D1109"/>
    <w:rsid w:val="004D3B90"/>
    <w:rsid w:val="004E330B"/>
    <w:rsid w:val="00546235"/>
    <w:rsid w:val="00553B4C"/>
    <w:rsid w:val="005B3B3D"/>
    <w:rsid w:val="005F14C0"/>
    <w:rsid w:val="005F33F4"/>
    <w:rsid w:val="00626E1E"/>
    <w:rsid w:val="00632650"/>
    <w:rsid w:val="00642E9A"/>
    <w:rsid w:val="00646F82"/>
    <w:rsid w:val="00652C5E"/>
    <w:rsid w:val="00655BA8"/>
    <w:rsid w:val="00684145"/>
    <w:rsid w:val="006A1F4C"/>
    <w:rsid w:val="006A3A69"/>
    <w:rsid w:val="006A4896"/>
    <w:rsid w:val="006B5203"/>
    <w:rsid w:val="00703FAC"/>
    <w:rsid w:val="007054BA"/>
    <w:rsid w:val="00737D38"/>
    <w:rsid w:val="00782A49"/>
    <w:rsid w:val="007A0129"/>
    <w:rsid w:val="007F5759"/>
    <w:rsid w:val="00806BFF"/>
    <w:rsid w:val="008324BD"/>
    <w:rsid w:val="00836E49"/>
    <w:rsid w:val="00853ADE"/>
    <w:rsid w:val="00880D6C"/>
    <w:rsid w:val="008A53BE"/>
    <w:rsid w:val="008B3987"/>
    <w:rsid w:val="008B6270"/>
    <w:rsid w:val="008D7B72"/>
    <w:rsid w:val="008F0DC8"/>
    <w:rsid w:val="008F2851"/>
    <w:rsid w:val="00936606"/>
    <w:rsid w:val="00956868"/>
    <w:rsid w:val="00972441"/>
    <w:rsid w:val="00987234"/>
    <w:rsid w:val="009B64DD"/>
    <w:rsid w:val="009C0B34"/>
    <w:rsid w:val="00A0271F"/>
    <w:rsid w:val="00A02BF3"/>
    <w:rsid w:val="00A048A9"/>
    <w:rsid w:val="00A326E7"/>
    <w:rsid w:val="00A52FE0"/>
    <w:rsid w:val="00A7327D"/>
    <w:rsid w:val="00A90BBD"/>
    <w:rsid w:val="00AC000A"/>
    <w:rsid w:val="00B24766"/>
    <w:rsid w:val="00BD1535"/>
    <w:rsid w:val="00BD2C53"/>
    <w:rsid w:val="00BD77FA"/>
    <w:rsid w:val="00BF2DC3"/>
    <w:rsid w:val="00C517CE"/>
    <w:rsid w:val="00C6342E"/>
    <w:rsid w:val="00CA0B1A"/>
    <w:rsid w:val="00CA3918"/>
    <w:rsid w:val="00CB3313"/>
    <w:rsid w:val="00CE2D37"/>
    <w:rsid w:val="00D31C32"/>
    <w:rsid w:val="00D5256E"/>
    <w:rsid w:val="00D6446D"/>
    <w:rsid w:val="00DB3226"/>
    <w:rsid w:val="00E04B13"/>
    <w:rsid w:val="00E05C6A"/>
    <w:rsid w:val="00E526C6"/>
    <w:rsid w:val="00E54061"/>
    <w:rsid w:val="00EB4B78"/>
    <w:rsid w:val="00EB7E6D"/>
    <w:rsid w:val="00EE2D42"/>
    <w:rsid w:val="00EE6DE4"/>
    <w:rsid w:val="00F06AA5"/>
    <w:rsid w:val="00F07593"/>
    <w:rsid w:val="00F112B1"/>
    <w:rsid w:val="00F16859"/>
    <w:rsid w:val="00F36BA8"/>
    <w:rsid w:val="00F53DF1"/>
    <w:rsid w:val="00F64AEF"/>
    <w:rsid w:val="00F67179"/>
    <w:rsid w:val="00F73A12"/>
    <w:rsid w:val="00F83B55"/>
    <w:rsid w:val="00F84486"/>
    <w:rsid w:val="00FB4578"/>
    <w:rsid w:val="00FB4D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7792"/>
  <w15:chartTrackingRefBased/>
  <w15:docId w15:val="{3EED0A8F-6E71-4F14-A371-D630FABE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B72"/>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5722353186344998354msolistparagraph">
    <w:name w:val="m_5722353186344998354msolistparagraph"/>
    <w:basedOn w:val="a"/>
    <w:rsid w:val="008D7B72"/>
    <w:pPr>
      <w:spacing w:before="100" w:beforeAutospacing="1" w:after="100" w:afterAutospacing="1"/>
    </w:pPr>
    <w:rPr>
      <w:rFonts w:ascii="新細明體" w:hAnsi="新細明體" w:cs="新細明體"/>
    </w:rPr>
  </w:style>
  <w:style w:type="paragraph" w:styleId="a3">
    <w:name w:val="header"/>
    <w:basedOn w:val="a"/>
    <w:link w:val="a4"/>
    <w:uiPriority w:val="99"/>
    <w:unhideWhenUsed/>
    <w:rsid w:val="004D3B90"/>
    <w:pPr>
      <w:tabs>
        <w:tab w:val="center" w:pos="4153"/>
        <w:tab w:val="right" w:pos="8306"/>
      </w:tabs>
      <w:snapToGrid w:val="0"/>
    </w:pPr>
    <w:rPr>
      <w:sz w:val="20"/>
      <w:szCs w:val="20"/>
    </w:rPr>
  </w:style>
  <w:style w:type="character" w:customStyle="1" w:styleId="a4">
    <w:name w:val="頁首 字元"/>
    <w:basedOn w:val="a0"/>
    <w:link w:val="a3"/>
    <w:uiPriority w:val="99"/>
    <w:rsid w:val="004D3B90"/>
    <w:rPr>
      <w:rFonts w:ascii="Calibri" w:eastAsia="新細明體" w:hAnsi="Calibri" w:cs="Calibri"/>
      <w:kern w:val="0"/>
      <w:sz w:val="20"/>
      <w:szCs w:val="20"/>
    </w:rPr>
  </w:style>
  <w:style w:type="paragraph" w:styleId="a5">
    <w:name w:val="footer"/>
    <w:basedOn w:val="a"/>
    <w:link w:val="a6"/>
    <w:uiPriority w:val="99"/>
    <w:unhideWhenUsed/>
    <w:rsid w:val="004D3B90"/>
    <w:pPr>
      <w:tabs>
        <w:tab w:val="center" w:pos="4153"/>
        <w:tab w:val="right" w:pos="8306"/>
      </w:tabs>
      <w:snapToGrid w:val="0"/>
    </w:pPr>
    <w:rPr>
      <w:sz w:val="20"/>
      <w:szCs w:val="20"/>
    </w:rPr>
  </w:style>
  <w:style w:type="character" w:customStyle="1" w:styleId="a6">
    <w:name w:val="頁尾 字元"/>
    <w:basedOn w:val="a0"/>
    <w:link w:val="a5"/>
    <w:uiPriority w:val="99"/>
    <w:rsid w:val="004D3B90"/>
    <w:rPr>
      <w:rFonts w:ascii="Calibri" w:eastAsia="新細明體" w:hAnsi="Calibri" w:cs="Calibri"/>
      <w:kern w:val="0"/>
      <w:sz w:val="20"/>
      <w:szCs w:val="20"/>
    </w:rPr>
  </w:style>
  <w:style w:type="character" w:styleId="a7">
    <w:name w:val="annotation reference"/>
    <w:basedOn w:val="a0"/>
    <w:uiPriority w:val="99"/>
    <w:semiHidden/>
    <w:unhideWhenUsed/>
    <w:rsid w:val="00BD1535"/>
    <w:rPr>
      <w:sz w:val="18"/>
      <w:szCs w:val="18"/>
    </w:rPr>
  </w:style>
  <w:style w:type="paragraph" w:styleId="a8">
    <w:name w:val="annotation text"/>
    <w:basedOn w:val="a"/>
    <w:link w:val="a9"/>
    <w:uiPriority w:val="99"/>
    <w:semiHidden/>
    <w:unhideWhenUsed/>
    <w:rsid w:val="00BD1535"/>
  </w:style>
  <w:style w:type="character" w:customStyle="1" w:styleId="a9">
    <w:name w:val="註解文字 字元"/>
    <w:basedOn w:val="a0"/>
    <w:link w:val="a8"/>
    <w:uiPriority w:val="99"/>
    <w:semiHidden/>
    <w:rsid w:val="00BD1535"/>
    <w:rPr>
      <w:rFonts w:ascii="Calibri" w:eastAsia="新細明體" w:hAnsi="Calibri" w:cs="Calibri"/>
      <w:kern w:val="0"/>
      <w:szCs w:val="24"/>
    </w:rPr>
  </w:style>
  <w:style w:type="paragraph" w:styleId="aa">
    <w:name w:val="annotation subject"/>
    <w:basedOn w:val="a8"/>
    <w:next w:val="a8"/>
    <w:link w:val="ab"/>
    <w:uiPriority w:val="99"/>
    <w:semiHidden/>
    <w:unhideWhenUsed/>
    <w:rsid w:val="00BD1535"/>
    <w:rPr>
      <w:b/>
      <w:bCs/>
    </w:rPr>
  </w:style>
  <w:style w:type="character" w:customStyle="1" w:styleId="ab">
    <w:name w:val="註解主旨 字元"/>
    <w:basedOn w:val="a9"/>
    <w:link w:val="aa"/>
    <w:uiPriority w:val="99"/>
    <w:semiHidden/>
    <w:rsid w:val="00BD1535"/>
    <w:rPr>
      <w:rFonts w:ascii="Calibri" w:eastAsia="新細明體" w:hAnsi="Calibri" w:cs="Calibri"/>
      <w:b/>
      <w:bCs/>
      <w:kern w:val="0"/>
      <w:szCs w:val="24"/>
    </w:rPr>
  </w:style>
  <w:style w:type="paragraph" w:styleId="ac">
    <w:name w:val="List Paragraph"/>
    <w:basedOn w:val="a"/>
    <w:link w:val="ad"/>
    <w:uiPriority w:val="34"/>
    <w:qFormat/>
    <w:rsid w:val="00AC000A"/>
    <w:pPr>
      <w:ind w:leftChars="200" w:left="480"/>
    </w:pPr>
  </w:style>
  <w:style w:type="character" w:customStyle="1" w:styleId="ad">
    <w:name w:val="清單段落 字元"/>
    <w:basedOn w:val="a0"/>
    <w:link w:val="ac"/>
    <w:uiPriority w:val="34"/>
    <w:rsid w:val="0001091E"/>
    <w:rPr>
      <w:rFonts w:ascii="Calibri" w:eastAsia="新細明體" w:hAnsi="Calibri" w:cs="Calibri"/>
      <w:kern w:val="0"/>
      <w:szCs w:val="24"/>
    </w:rPr>
  </w:style>
  <w:style w:type="paragraph" w:styleId="ae">
    <w:name w:val="Body Text"/>
    <w:basedOn w:val="a"/>
    <w:link w:val="af"/>
    <w:uiPriority w:val="1"/>
    <w:qFormat/>
    <w:rsid w:val="0001091E"/>
    <w:pPr>
      <w:widowControl w:val="0"/>
      <w:autoSpaceDE w:val="0"/>
      <w:autoSpaceDN w:val="0"/>
    </w:pPr>
    <w:rPr>
      <w:rFonts w:ascii="SimSun" w:eastAsia="SimSun" w:hAnsi="SimSun" w:cs="SimSun"/>
      <w:sz w:val="28"/>
      <w:szCs w:val="28"/>
    </w:rPr>
  </w:style>
  <w:style w:type="character" w:customStyle="1" w:styleId="af">
    <w:name w:val="本文 字元"/>
    <w:basedOn w:val="a0"/>
    <w:link w:val="ae"/>
    <w:uiPriority w:val="1"/>
    <w:rsid w:val="0001091E"/>
    <w:rPr>
      <w:rFonts w:ascii="SimSun" w:eastAsia="SimSun" w:hAnsi="SimSun" w:cs="SimSu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8F21C-C3D7-4B54-8DC6-A8994976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張嘉純</dc:creator>
  <cp:keywords/>
  <dc:description/>
  <cp:lastModifiedBy>張嘉純</cp:lastModifiedBy>
  <cp:revision>3</cp:revision>
  <cp:lastPrinted>2025-05-21T02:24:00Z</cp:lastPrinted>
  <dcterms:created xsi:type="dcterms:W3CDTF">2025-06-13T05:37:00Z</dcterms:created>
  <dcterms:modified xsi:type="dcterms:W3CDTF">2025-06-13T05:39:00Z</dcterms:modified>
</cp:coreProperties>
</file>