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9ABE4" w14:textId="2AAC207A" w:rsidR="004F3FB2" w:rsidRPr="00676A96" w:rsidRDefault="00676A96" w:rsidP="00676A96">
      <w:pPr>
        <w:pStyle w:val="a6"/>
        <w:autoSpaceDE w:val="0"/>
        <w:autoSpaceDN w:val="0"/>
        <w:snapToGrid/>
        <w:spacing w:beforeLines="50" w:before="180" w:afterLines="50" w:after="180" w:line="400" w:lineRule="exact"/>
        <w:outlineLvl w:val="0"/>
        <w:rPr>
          <w:rFonts w:ascii="Times New Roman" w:hint="eastAsia"/>
          <w:b w:val="0"/>
          <w:sz w:val="32"/>
          <w:szCs w:val="32"/>
          <w:lang w:eastAsia="zh-TW"/>
        </w:rPr>
      </w:pPr>
      <w:r w:rsidRPr="00676A96">
        <w:rPr>
          <w:rFonts w:ascii="Times New Roman" w:hint="eastAsia"/>
          <w:sz w:val="32"/>
          <w:szCs w:val="32"/>
          <w:lang w:eastAsia="zh-TW"/>
        </w:rPr>
        <w:t>中華民國證券商業同業公會證</w:t>
      </w:r>
      <w:r w:rsidRPr="00676A96">
        <w:rPr>
          <w:rFonts w:ascii="Times New Roman"/>
          <w:sz w:val="32"/>
          <w:szCs w:val="32"/>
          <w:lang w:eastAsia="zh-TW"/>
        </w:rPr>
        <w:t>券商受託買賣外國有價證券</w:t>
      </w:r>
      <w:r>
        <w:rPr>
          <w:rFonts w:ascii="Times New Roman" w:hint="eastAsia"/>
          <w:sz w:val="32"/>
          <w:szCs w:val="32"/>
          <w:lang w:eastAsia="zh-TW"/>
        </w:rPr>
        <w:t>管理</w:t>
      </w:r>
      <w:r w:rsidRPr="00676A96">
        <w:rPr>
          <w:rFonts w:ascii="Times New Roman" w:hint="eastAsia"/>
          <w:sz w:val="32"/>
          <w:szCs w:val="32"/>
          <w:lang w:eastAsia="zh-TW"/>
        </w:rPr>
        <w:t>辦法修正條文對照表</w:t>
      </w:r>
    </w:p>
    <w:tbl>
      <w:tblPr>
        <w:tblW w:w="9776" w:type="dxa"/>
        <w:tblInd w:w="-142"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12"/>
        <w:gridCol w:w="3613"/>
        <w:gridCol w:w="2551"/>
      </w:tblGrid>
      <w:tr w:rsidR="00EF73D0" w:rsidRPr="00145AD1" w14:paraId="12A86C9D" w14:textId="2C7D1D32" w:rsidTr="00676A96">
        <w:trPr>
          <w:trHeight w:val="540"/>
          <w:tblHeader/>
        </w:trPr>
        <w:tc>
          <w:tcPr>
            <w:tcW w:w="3612" w:type="dxa"/>
          </w:tcPr>
          <w:p w14:paraId="47C41235" w14:textId="77777777" w:rsidR="00EF73D0" w:rsidRPr="00145AD1" w:rsidRDefault="00EF73D0" w:rsidP="00676A96">
            <w:pPr>
              <w:spacing w:line="500" w:lineRule="exact"/>
              <w:jc w:val="center"/>
              <w:rPr>
                <w:rFonts w:eastAsia="標楷體"/>
                <w:sz w:val="28"/>
                <w:szCs w:val="28"/>
              </w:rPr>
            </w:pPr>
            <w:r w:rsidRPr="00145AD1">
              <w:rPr>
                <w:rFonts w:eastAsia="標楷體" w:hint="eastAsia"/>
                <w:sz w:val="28"/>
                <w:szCs w:val="28"/>
              </w:rPr>
              <w:t>修正條文</w:t>
            </w:r>
          </w:p>
        </w:tc>
        <w:tc>
          <w:tcPr>
            <w:tcW w:w="3613" w:type="dxa"/>
          </w:tcPr>
          <w:p w14:paraId="47FB66ED" w14:textId="77777777" w:rsidR="00EF73D0" w:rsidRPr="00145AD1" w:rsidRDefault="00EF73D0" w:rsidP="00676A96">
            <w:pPr>
              <w:spacing w:line="500" w:lineRule="exact"/>
              <w:ind w:leftChars="-11" w:left="-26" w:firstLineChars="11" w:firstLine="31"/>
              <w:jc w:val="center"/>
              <w:rPr>
                <w:rFonts w:eastAsia="標楷體"/>
                <w:sz w:val="28"/>
                <w:szCs w:val="28"/>
              </w:rPr>
            </w:pPr>
            <w:r w:rsidRPr="00145AD1">
              <w:rPr>
                <w:rFonts w:eastAsia="標楷體" w:hint="eastAsia"/>
                <w:sz w:val="28"/>
                <w:szCs w:val="28"/>
              </w:rPr>
              <w:t>現行條文</w:t>
            </w:r>
          </w:p>
        </w:tc>
        <w:tc>
          <w:tcPr>
            <w:tcW w:w="2551" w:type="dxa"/>
          </w:tcPr>
          <w:p w14:paraId="56D5C9D9" w14:textId="6B2AC7E5" w:rsidR="00EF73D0" w:rsidRPr="00145AD1" w:rsidRDefault="00EF73D0" w:rsidP="00676A96">
            <w:pPr>
              <w:spacing w:line="500" w:lineRule="exact"/>
              <w:ind w:leftChars="-11" w:left="-26" w:firstLineChars="11" w:firstLine="31"/>
              <w:jc w:val="center"/>
              <w:rPr>
                <w:rFonts w:eastAsia="標楷體"/>
                <w:sz w:val="28"/>
                <w:szCs w:val="28"/>
              </w:rPr>
            </w:pPr>
            <w:r>
              <w:rPr>
                <w:rFonts w:eastAsia="標楷體" w:hint="eastAsia"/>
                <w:sz w:val="28"/>
                <w:szCs w:val="28"/>
              </w:rPr>
              <w:t>說明</w:t>
            </w:r>
          </w:p>
        </w:tc>
      </w:tr>
      <w:tr w:rsidR="00EF73D0" w:rsidRPr="00172203" w14:paraId="69E97C9A" w14:textId="62AD7CFF" w:rsidTr="00116248">
        <w:trPr>
          <w:trHeight w:val="540"/>
        </w:trPr>
        <w:tc>
          <w:tcPr>
            <w:tcW w:w="3612" w:type="dxa"/>
            <w:tcBorders>
              <w:bottom w:val="single" w:sz="4" w:space="0" w:color="auto"/>
            </w:tcBorders>
          </w:tcPr>
          <w:p w14:paraId="23242597" w14:textId="77777777" w:rsidR="00EF73D0" w:rsidRDefault="00EF73D0" w:rsidP="00676A96">
            <w:pPr>
              <w:spacing w:line="500" w:lineRule="exact"/>
              <w:jc w:val="both"/>
              <w:rPr>
                <w:rFonts w:eastAsia="標楷體"/>
                <w:sz w:val="32"/>
                <w:szCs w:val="32"/>
              </w:rPr>
            </w:pPr>
            <w:r>
              <w:rPr>
                <w:rFonts w:eastAsia="標楷體" w:hint="eastAsia"/>
                <w:sz w:val="32"/>
                <w:szCs w:val="32"/>
              </w:rPr>
              <w:t>第四十條</w:t>
            </w:r>
          </w:p>
          <w:p w14:paraId="3CC2E8FF" w14:textId="77777777" w:rsidR="00EF73D0" w:rsidRPr="00803580" w:rsidRDefault="00EF73D0" w:rsidP="00676A96">
            <w:pPr>
              <w:spacing w:beforeLines="30" w:before="108" w:line="500" w:lineRule="exact"/>
              <w:jc w:val="both"/>
              <w:rPr>
                <w:rFonts w:eastAsia="標楷體"/>
                <w:sz w:val="32"/>
                <w:szCs w:val="32"/>
              </w:rPr>
            </w:pPr>
            <w:r w:rsidRPr="00803580">
              <w:rPr>
                <w:rFonts w:eastAsia="標楷體" w:hint="eastAsia"/>
                <w:sz w:val="32"/>
                <w:szCs w:val="32"/>
              </w:rPr>
              <w:t>證券商應依委託人書面通知，變更委託人帳戶所載本人、代理人或代表人姓名、身分證照編號或營利事業統一編號、通訊地址及連絡電話基本資料</w:t>
            </w:r>
            <w:r w:rsidRPr="00803580">
              <w:rPr>
                <w:rFonts w:eastAsia="標楷體" w:hint="eastAsia"/>
                <w:sz w:val="32"/>
                <w:szCs w:val="32"/>
              </w:rPr>
              <w:t>;</w:t>
            </w:r>
            <w:r w:rsidRPr="00803580">
              <w:rPr>
                <w:rFonts w:eastAsia="標楷體" w:hint="eastAsia"/>
                <w:sz w:val="32"/>
                <w:szCs w:val="32"/>
              </w:rPr>
              <w:t>前項資料更動，</w:t>
            </w:r>
            <w:proofErr w:type="gramStart"/>
            <w:r w:rsidRPr="00803580">
              <w:rPr>
                <w:rFonts w:eastAsia="標楷體" w:hint="eastAsia"/>
                <w:sz w:val="32"/>
                <w:szCs w:val="32"/>
              </w:rPr>
              <w:t>委託人倘未即時</w:t>
            </w:r>
            <w:proofErr w:type="gramEnd"/>
            <w:r w:rsidRPr="00803580">
              <w:rPr>
                <w:rFonts w:eastAsia="標楷體" w:hint="eastAsia"/>
                <w:sz w:val="32"/>
                <w:szCs w:val="32"/>
              </w:rPr>
              <w:t>通知，致證券商應行通知事項無法即時轉達者，以其通知於郵局第一次投遞日發生效力，證券商並得暫停或限制其受託買賣外國有價證券。</w:t>
            </w:r>
          </w:p>
          <w:p w14:paraId="1C7161FE" w14:textId="5AA849D3" w:rsidR="00EF73D0" w:rsidRPr="006C09B7" w:rsidRDefault="00EF73D0" w:rsidP="00676A96">
            <w:pPr>
              <w:spacing w:beforeLines="30" w:before="108" w:line="500" w:lineRule="exact"/>
              <w:jc w:val="both"/>
              <w:rPr>
                <w:rFonts w:eastAsia="標楷體"/>
                <w:sz w:val="32"/>
                <w:szCs w:val="32"/>
              </w:rPr>
            </w:pPr>
            <w:r w:rsidRPr="00803580">
              <w:rPr>
                <w:rFonts w:eastAsia="標楷體" w:hint="eastAsia"/>
                <w:sz w:val="32"/>
                <w:szCs w:val="32"/>
              </w:rPr>
              <w:t>證券商得受理委託人以電子憑證認證方式申請變更基本資料，變更基本資料內容以通訊地址、通訊地址郵遞區號、家用電話、公司電話、手機號碼、傳真機號碼、緊急連絡人及電話、電子信箱、職業欄</w:t>
            </w:r>
            <w:r w:rsidRPr="006C09B7">
              <w:rPr>
                <w:rFonts w:eastAsia="標楷體" w:hint="eastAsia"/>
                <w:sz w:val="32"/>
                <w:szCs w:val="32"/>
                <w:u w:val="single"/>
              </w:rPr>
              <w:t>、款項帳號</w:t>
            </w:r>
            <w:r w:rsidRPr="006C09B7">
              <w:rPr>
                <w:rFonts w:eastAsia="標楷體" w:hint="eastAsia"/>
                <w:sz w:val="32"/>
                <w:szCs w:val="32"/>
              </w:rPr>
              <w:t>為限。</w:t>
            </w:r>
          </w:p>
          <w:p w14:paraId="50E99008" w14:textId="5922233C" w:rsidR="00EF73D0" w:rsidRPr="00564A05" w:rsidRDefault="00676A96" w:rsidP="00676A96">
            <w:pPr>
              <w:spacing w:beforeLines="50" w:before="180" w:line="500" w:lineRule="exact"/>
              <w:jc w:val="both"/>
              <w:rPr>
                <w:rFonts w:eastAsia="標楷體"/>
                <w:sz w:val="32"/>
                <w:szCs w:val="32"/>
                <w:u w:val="single"/>
              </w:rPr>
            </w:pPr>
            <w:r>
              <w:rPr>
                <w:rFonts w:eastAsia="標楷體" w:hint="eastAsia"/>
                <w:sz w:val="32"/>
                <w:szCs w:val="32"/>
              </w:rPr>
              <w:t>(</w:t>
            </w:r>
            <w:r>
              <w:rPr>
                <w:rFonts w:eastAsia="標楷體" w:hint="eastAsia"/>
                <w:sz w:val="32"/>
                <w:szCs w:val="32"/>
              </w:rPr>
              <w:t>以下略</w:t>
            </w:r>
            <w:r>
              <w:rPr>
                <w:rFonts w:eastAsia="標楷體" w:hint="eastAsia"/>
                <w:sz w:val="32"/>
                <w:szCs w:val="32"/>
              </w:rPr>
              <w:t>)</w:t>
            </w:r>
          </w:p>
        </w:tc>
        <w:tc>
          <w:tcPr>
            <w:tcW w:w="3613" w:type="dxa"/>
            <w:tcBorders>
              <w:bottom w:val="single" w:sz="4" w:space="0" w:color="auto"/>
            </w:tcBorders>
          </w:tcPr>
          <w:p w14:paraId="1B58AD6E" w14:textId="0B0CFD18" w:rsidR="00EF73D0" w:rsidRDefault="00EF73D0" w:rsidP="00676A96">
            <w:pPr>
              <w:spacing w:line="500" w:lineRule="exact"/>
              <w:jc w:val="both"/>
              <w:rPr>
                <w:rFonts w:eastAsia="標楷體"/>
                <w:sz w:val="32"/>
                <w:szCs w:val="32"/>
              </w:rPr>
            </w:pPr>
            <w:r>
              <w:rPr>
                <w:rFonts w:eastAsia="標楷體" w:hint="eastAsia"/>
                <w:sz w:val="32"/>
                <w:szCs w:val="32"/>
              </w:rPr>
              <w:t>第四十條</w:t>
            </w:r>
          </w:p>
          <w:p w14:paraId="651FFDC1" w14:textId="212ECC19" w:rsidR="00EF73D0" w:rsidRPr="00803580" w:rsidRDefault="00EF73D0" w:rsidP="00676A96">
            <w:pPr>
              <w:spacing w:beforeLines="30" w:before="108" w:line="500" w:lineRule="exact"/>
              <w:jc w:val="both"/>
              <w:rPr>
                <w:rFonts w:eastAsia="標楷體"/>
                <w:sz w:val="32"/>
                <w:szCs w:val="32"/>
              </w:rPr>
            </w:pPr>
            <w:r w:rsidRPr="00803580">
              <w:rPr>
                <w:rFonts w:eastAsia="標楷體" w:hint="eastAsia"/>
                <w:sz w:val="32"/>
                <w:szCs w:val="32"/>
              </w:rPr>
              <w:t>證券商應依委託人書面通知，變更委託人帳戶所載本人、代理人或代表人姓名、身分證照編號或營利事業統一編號、通訊地址及連絡電話基本資料</w:t>
            </w:r>
            <w:r w:rsidRPr="00803580">
              <w:rPr>
                <w:rFonts w:eastAsia="標楷體" w:hint="eastAsia"/>
                <w:sz w:val="32"/>
                <w:szCs w:val="32"/>
              </w:rPr>
              <w:t>;</w:t>
            </w:r>
            <w:r w:rsidRPr="00803580">
              <w:rPr>
                <w:rFonts w:eastAsia="標楷體" w:hint="eastAsia"/>
                <w:sz w:val="32"/>
                <w:szCs w:val="32"/>
              </w:rPr>
              <w:t>前項資料更動，</w:t>
            </w:r>
            <w:proofErr w:type="gramStart"/>
            <w:r w:rsidRPr="00803580">
              <w:rPr>
                <w:rFonts w:eastAsia="標楷體" w:hint="eastAsia"/>
                <w:sz w:val="32"/>
                <w:szCs w:val="32"/>
              </w:rPr>
              <w:t>委託人倘未即時</w:t>
            </w:r>
            <w:proofErr w:type="gramEnd"/>
            <w:r w:rsidRPr="00803580">
              <w:rPr>
                <w:rFonts w:eastAsia="標楷體" w:hint="eastAsia"/>
                <w:sz w:val="32"/>
                <w:szCs w:val="32"/>
              </w:rPr>
              <w:t>通知，致證券商應行通知事項無法即時轉達者，以其通知於郵局第一次投遞日發生效力，證券商並得暫停或限制其受託買賣外國有價證券。</w:t>
            </w:r>
          </w:p>
          <w:p w14:paraId="1756B76C" w14:textId="77777777" w:rsidR="00EF73D0" w:rsidRPr="00803580" w:rsidRDefault="00EF73D0" w:rsidP="00676A96">
            <w:pPr>
              <w:spacing w:beforeLines="30" w:before="108" w:line="500" w:lineRule="exact"/>
              <w:jc w:val="both"/>
              <w:rPr>
                <w:rFonts w:eastAsia="標楷體"/>
                <w:sz w:val="32"/>
                <w:szCs w:val="32"/>
              </w:rPr>
            </w:pPr>
            <w:r w:rsidRPr="00803580">
              <w:rPr>
                <w:rFonts w:eastAsia="標楷體" w:hint="eastAsia"/>
                <w:sz w:val="32"/>
                <w:szCs w:val="32"/>
              </w:rPr>
              <w:t>證券商得受理委託人以電子憑證認證方式申請變更基本資料，變更基本資料內容以通訊地址、通訊地址郵遞區號、家用電話、公司電話、手機號碼、傳真機號碼、緊急連絡人及電話、電子信箱、職業欄為限。</w:t>
            </w:r>
          </w:p>
          <w:p w14:paraId="6BA9BDF6" w14:textId="49729E2C" w:rsidR="00676A96" w:rsidRPr="00564A05" w:rsidRDefault="00676A96" w:rsidP="00676A96">
            <w:pPr>
              <w:spacing w:beforeLines="50" w:before="180" w:line="500" w:lineRule="exact"/>
              <w:ind w:leftChars="-11" w:left="-26" w:firstLineChars="11" w:firstLine="35"/>
              <w:jc w:val="both"/>
              <w:rPr>
                <w:rFonts w:eastAsia="標楷體"/>
                <w:sz w:val="32"/>
                <w:szCs w:val="32"/>
                <w:u w:val="single"/>
              </w:rPr>
            </w:pPr>
            <w:r>
              <w:rPr>
                <w:rFonts w:eastAsia="標楷體" w:hint="eastAsia"/>
                <w:sz w:val="32"/>
                <w:szCs w:val="32"/>
                <w:u w:val="single"/>
              </w:rPr>
              <w:t>(</w:t>
            </w:r>
            <w:r>
              <w:rPr>
                <w:rFonts w:eastAsia="標楷體" w:hint="eastAsia"/>
                <w:sz w:val="32"/>
                <w:szCs w:val="32"/>
                <w:u w:val="single"/>
              </w:rPr>
              <w:t>以下略</w:t>
            </w:r>
            <w:r>
              <w:rPr>
                <w:rFonts w:eastAsia="標楷體" w:hint="eastAsia"/>
                <w:sz w:val="32"/>
                <w:szCs w:val="32"/>
                <w:u w:val="single"/>
              </w:rPr>
              <w:t>)</w:t>
            </w:r>
          </w:p>
        </w:tc>
        <w:tc>
          <w:tcPr>
            <w:tcW w:w="2551" w:type="dxa"/>
            <w:tcBorders>
              <w:bottom w:val="single" w:sz="4" w:space="0" w:color="auto"/>
            </w:tcBorders>
          </w:tcPr>
          <w:p w14:paraId="34A12372" w14:textId="51F5BA1F" w:rsidR="00EF73D0" w:rsidRDefault="00EF73D0" w:rsidP="00676A96">
            <w:pPr>
              <w:spacing w:beforeLines="50" w:before="180" w:line="500" w:lineRule="exact"/>
              <w:jc w:val="both"/>
              <w:rPr>
                <w:rFonts w:eastAsia="標楷體"/>
                <w:sz w:val="32"/>
                <w:szCs w:val="32"/>
              </w:rPr>
            </w:pPr>
            <w:r>
              <w:rPr>
                <w:rFonts w:eastAsia="標楷體" w:hint="eastAsia"/>
                <w:sz w:val="32"/>
                <w:szCs w:val="32"/>
              </w:rPr>
              <w:t>因應投資人申請以電子方式變更客戶基本資料之需求日增，並檢視現行與台股實務之差異。參酌台灣集中保管結算所針對委託人以電子方式變更基本資料相關規定，新增證券商得以電子方式受理委託人變更款項帳號。</w:t>
            </w:r>
          </w:p>
        </w:tc>
      </w:tr>
    </w:tbl>
    <w:p w14:paraId="7C67C9C6" w14:textId="34B4BB9F" w:rsidR="004F3FB2" w:rsidRPr="004F3FB2" w:rsidRDefault="004F3FB2" w:rsidP="004F3FB2"/>
    <w:sectPr w:rsidR="004F3FB2" w:rsidRPr="004F3FB2" w:rsidSect="00116248">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C5BE0" w14:textId="77777777" w:rsidR="001F5E70" w:rsidRDefault="001F5E70">
      <w:r>
        <w:separator/>
      </w:r>
    </w:p>
  </w:endnote>
  <w:endnote w:type="continuationSeparator" w:id="0">
    <w:p w14:paraId="45F1AB39" w14:textId="77777777" w:rsidR="001F5E70" w:rsidRDefault="001F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7BF8" w14:textId="77777777" w:rsidR="00C71CD7" w:rsidRDefault="004F3FB2">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4790F" w14:textId="77777777" w:rsidR="001F5E70" w:rsidRDefault="001F5E70">
      <w:r>
        <w:separator/>
      </w:r>
    </w:p>
  </w:footnote>
  <w:footnote w:type="continuationSeparator" w:id="0">
    <w:p w14:paraId="59610BF2" w14:textId="77777777" w:rsidR="001F5E70" w:rsidRDefault="001F5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14613"/>
    <w:multiLevelType w:val="hybridMultilevel"/>
    <w:tmpl w:val="B0AEB6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296078B"/>
    <w:multiLevelType w:val="hybridMultilevel"/>
    <w:tmpl w:val="AF24A2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2AA294D"/>
    <w:multiLevelType w:val="hybridMultilevel"/>
    <w:tmpl w:val="7BC4AFA4"/>
    <w:lvl w:ilvl="0" w:tplc="A0AED370">
      <w:start w:val="1"/>
      <w:numFmt w:val="taiwaneseCountingThousand"/>
      <w:lvlText w:val="%1、"/>
      <w:lvlJc w:val="left"/>
      <w:pPr>
        <w:ind w:left="1572" w:hanging="720"/>
      </w:pPr>
      <w:rPr>
        <w:rFonts w:ascii="標楷體" w:eastAsia="標楷體" w:hAnsi="標楷體" w:hint="eastAsia"/>
        <w:b w:val="0"/>
        <w:bCs w:val="0"/>
        <w:sz w:val="32"/>
        <w:szCs w:val="32"/>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num w:numId="1" w16cid:durableId="824201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0680872">
    <w:abstractNumId w:val="0"/>
  </w:num>
  <w:num w:numId="3" w16cid:durableId="153461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FB2"/>
    <w:rsid w:val="00116248"/>
    <w:rsid w:val="00131B4B"/>
    <w:rsid w:val="001F5E70"/>
    <w:rsid w:val="003D169B"/>
    <w:rsid w:val="004D64D1"/>
    <w:rsid w:val="004F3FB2"/>
    <w:rsid w:val="005B3B3D"/>
    <w:rsid w:val="00676A96"/>
    <w:rsid w:val="006C09B7"/>
    <w:rsid w:val="00803580"/>
    <w:rsid w:val="009401C3"/>
    <w:rsid w:val="00A73516"/>
    <w:rsid w:val="00C71CD7"/>
    <w:rsid w:val="00DD0C8C"/>
    <w:rsid w:val="00E5262F"/>
    <w:rsid w:val="00EF7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D43FF"/>
  <w15:chartTrackingRefBased/>
  <w15:docId w15:val="{90BCEE3B-9F63-4B4A-BE27-D7E2AEA4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FB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行文機關"/>
    <w:basedOn w:val="a"/>
    <w:rsid w:val="004F3FB2"/>
    <w:pPr>
      <w:snapToGrid w:val="0"/>
    </w:pPr>
    <w:rPr>
      <w:sz w:val="32"/>
    </w:rPr>
  </w:style>
  <w:style w:type="paragraph" w:styleId="a4">
    <w:name w:val="footer"/>
    <w:basedOn w:val="a"/>
    <w:link w:val="a5"/>
    <w:uiPriority w:val="99"/>
    <w:unhideWhenUsed/>
    <w:rsid w:val="004F3FB2"/>
    <w:pPr>
      <w:tabs>
        <w:tab w:val="center" w:pos="4153"/>
        <w:tab w:val="right" w:pos="8306"/>
      </w:tabs>
      <w:snapToGrid w:val="0"/>
    </w:pPr>
    <w:rPr>
      <w:rFonts w:asciiTheme="minorHAnsi" w:eastAsiaTheme="minorEastAsia" w:hAnsiTheme="minorHAnsi" w:cstheme="minorBidi"/>
      <w:sz w:val="20"/>
    </w:rPr>
  </w:style>
  <w:style w:type="character" w:customStyle="1" w:styleId="a5">
    <w:name w:val="頁尾 字元"/>
    <w:basedOn w:val="a0"/>
    <w:link w:val="a4"/>
    <w:uiPriority w:val="99"/>
    <w:rsid w:val="004F3FB2"/>
    <w:rPr>
      <w:sz w:val="20"/>
      <w:szCs w:val="20"/>
    </w:rPr>
  </w:style>
  <w:style w:type="paragraph" w:styleId="a6">
    <w:name w:val="Body Text"/>
    <w:basedOn w:val="a"/>
    <w:link w:val="a7"/>
    <w:rsid w:val="004F3FB2"/>
    <w:pPr>
      <w:snapToGrid w:val="0"/>
      <w:spacing w:line="460" w:lineRule="atLeast"/>
    </w:pPr>
    <w:rPr>
      <w:rFonts w:ascii="標楷體" w:eastAsia="標楷體"/>
      <w:b/>
      <w:sz w:val="40"/>
      <w:lang w:val="x-none" w:eastAsia="x-none"/>
    </w:rPr>
  </w:style>
  <w:style w:type="character" w:customStyle="1" w:styleId="a7">
    <w:name w:val="本文 字元"/>
    <w:basedOn w:val="a0"/>
    <w:link w:val="a6"/>
    <w:rsid w:val="004F3FB2"/>
    <w:rPr>
      <w:rFonts w:ascii="標楷體" w:eastAsia="標楷體" w:hAnsi="Times New Roman" w:cs="Times New Roman"/>
      <w:b/>
      <w:sz w:val="40"/>
      <w:szCs w:val="20"/>
      <w:lang w:val="x-none" w:eastAsia="x-none"/>
    </w:rPr>
  </w:style>
  <w:style w:type="paragraph" w:styleId="a8">
    <w:name w:val="header"/>
    <w:basedOn w:val="a"/>
    <w:link w:val="a9"/>
    <w:uiPriority w:val="99"/>
    <w:unhideWhenUsed/>
    <w:rsid w:val="00803580"/>
    <w:pPr>
      <w:tabs>
        <w:tab w:val="center" w:pos="4153"/>
        <w:tab w:val="right" w:pos="8306"/>
      </w:tabs>
      <w:snapToGrid w:val="0"/>
    </w:pPr>
    <w:rPr>
      <w:sz w:val="20"/>
    </w:rPr>
  </w:style>
  <w:style w:type="character" w:customStyle="1" w:styleId="a9">
    <w:name w:val="頁首 字元"/>
    <w:basedOn w:val="a0"/>
    <w:link w:val="a8"/>
    <w:uiPriority w:val="99"/>
    <w:rsid w:val="00803580"/>
    <w:rPr>
      <w:rFonts w:ascii="Times New Roman" w:eastAsia="新細明體" w:hAnsi="Times New Roman" w:cs="Times New Roman"/>
      <w:sz w:val="20"/>
      <w:szCs w:val="20"/>
    </w:rPr>
  </w:style>
  <w:style w:type="paragraph" w:styleId="aa">
    <w:name w:val="List Paragraph"/>
    <w:basedOn w:val="a"/>
    <w:uiPriority w:val="34"/>
    <w:qFormat/>
    <w:rsid w:val="008035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6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張嘉純</dc:creator>
  <cp:keywords/>
  <dc:description/>
  <cp:lastModifiedBy>張嘉純</cp:lastModifiedBy>
  <cp:revision>5</cp:revision>
  <dcterms:created xsi:type="dcterms:W3CDTF">2025-02-18T09:00:00Z</dcterms:created>
  <dcterms:modified xsi:type="dcterms:W3CDTF">2025-05-14T03:50:00Z</dcterms:modified>
</cp:coreProperties>
</file>