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E5BF" w14:textId="1030AED4" w:rsidR="0055184E" w:rsidRDefault="005235AC">
      <w:pPr>
        <w:jc w:val="center"/>
        <w:rPr>
          <w:rFonts w:ascii="標楷體" w:eastAsia="標楷體" w:hAnsi="標楷體"/>
          <w:b/>
          <w:sz w:val="32"/>
          <w:szCs w:val="32"/>
        </w:rPr>
      </w:pPr>
      <w:r>
        <w:rPr>
          <w:rFonts w:ascii="標楷體" w:eastAsia="標楷體" w:hAnsi="標楷體"/>
          <w:b/>
          <w:sz w:val="32"/>
          <w:szCs w:val="32"/>
        </w:rPr>
        <w:t>證券商辦理財富管理業務推廣之自律規範修正條文對照表</w:t>
      </w:r>
    </w:p>
    <w:tbl>
      <w:tblPr>
        <w:tblW w:w="9467" w:type="dxa"/>
        <w:tblInd w:w="161" w:type="dxa"/>
        <w:tblLayout w:type="fixed"/>
        <w:tblLook w:val="04A0" w:firstRow="1" w:lastRow="0" w:firstColumn="1" w:lastColumn="0" w:noHBand="0" w:noVBand="1"/>
      </w:tblPr>
      <w:tblGrid>
        <w:gridCol w:w="3120"/>
        <w:gridCol w:w="3169"/>
        <w:gridCol w:w="3178"/>
      </w:tblGrid>
      <w:tr w:rsidR="0055184E" w14:paraId="2C55CB45" w14:textId="77777777" w:rsidTr="002A7D5D">
        <w:trPr>
          <w:tblHeader/>
        </w:trPr>
        <w:tc>
          <w:tcPr>
            <w:tcW w:w="31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198A308" w14:textId="77777777" w:rsidR="0055184E" w:rsidRDefault="005235AC">
            <w:pPr>
              <w:tabs>
                <w:tab w:val="left" w:pos="1380"/>
              </w:tabs>
              <w:spacing w:line="283" w:lineRule="exact"/>
              <w:jc w:val="center"/>
              <w:rPr>
                <w:rFonts w:ascii="標楷體" w:eastAsia="標楷體" w:hAnsi="標楷體"/>
                <w:sz w:val="26"/>
                <w:szCs w:val="26"/>
              </w:rPr>
            </w:pPr>
            <w:r>
              <w:rPr>
                <w:rFonts w:ascii="標楷體" w:eastAsia="標楷體" w:hAnsi="標楷體"/>
                <w:sz w:val="26"/>
                <w:szCs w:val="26"/>
              </w:rPr>
              <w:t>修正條文</w:t>
            </w:r>
          </w:p>
        </w:tc>
        <w:tc>
          <w:tcPr>
            <w:tcW w:w="316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B35129" w14:textId="77777777" w:rsidR="0055184E" w:rsidRDefault="005235AC">
            <w:pPr>
              <w:spacing w:line="283" w:lineRule="exact"/>
              <w:jc w:val="center"/>
              <w:rPr>
                <w:rFonts w:ascii="標楷體" w:eastAsia="標楷體" w:hAnsi="標楷體"/>
                <w:sz w:val="26"/>
                <w:szCs w:val="26"/>
              </w:rPr>
            </w:pPr>
            <w:r>
              <w:rPr>
                <w:rFonts w:ascii="標楷體" w:eastAsia="標楷體" w:hAnsi="標楷體"/>
                <w:sz w:val="26"/>
                <w:szCs w:val="26"/>
              </w:rPr>
              <w:t>原條文</w:t>
            </w:r>
          </w:p>
        </w:tc>
        <w:tc>
          <w:tcPr>
            <w:tcW w:w="31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53D50E9" w14:textId="77777777" w:rsidR="0055184E" w:rsidRDefault="005235AC">
            <w:pPr>
              <w:spacing w:line="283" w:lineRule="exact"/>
              <w:jc w:val="center"/>
              <w:rPr>
                <w:rFonts w:ascii="標楷體" w:eastAsia="標楷體" w:hAnsi="標楷體"/>
                <w:sz w:val="26"/>
                <w:szCs w:val="26"/>
              </w:rPr>
            </w:pPr>
            <w:r>
              <w:rPr>
                <w:rFonts w:ascii="標楷體" w:eastAsia="標楷體" w:hAnsi="標楷體"/>
                <w:sz w:val="26"/>
                <w:szCs w:val="26"/>
              </w:rPr>
              <w:t>說明</w:t>
            </w:r>
          </w:p>
        </w:tc>
      </w:tr>
      <w:tr w:rsidR="0055184E" w14:paraId="35DF7016" w14:textId="77777777">
        <w:tc>
          <w:tcPr>
            <w:tcW w:w="3120" w:type="dxa"/>
            <w:tcBorders>
              <w:top w:val="single" w:sz="4" w:space="0" w:color="000000"/>
              <w:left w:val="single" w:sz="4" w:space="0" w:color="000000"/>
              <w:bottom w:val="single" w:sz="4" w:space="0" w:color="000000"/>
              <w:right w:val="single" w:sz="4" w:space="0" w:color="000000"/>
            </w:tcBorders>
          </w:tcPr>
          <w:p w14:paraId="3CA59426" w14:textId="77777777"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rPr>
              <w:t>第八條</w:t>
            </w:r>
          </w:p>
          <w:p w14:paraId="373140A9" w14:textId="77777777"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rPr>
              <w:t>證券商宜採下列措施，以防止財富管理業務人員未經客戶授權，擅自為客戶進行交易，或私自挪用客戶款項：</w:t>
            </w:r>
          </w:p>
          <w:p w14:paraId="778A587A" w14:textId="77777777"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rPr>
              <w:t>一、客戶帳戶作業：</w:t>
            </w:r>
          </w:p>
          <w:p w14:paraId="11712C4C" w14:textId="76DAF291"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rPr>
              <w:t>（一）建立客戶開戶確認及資料變更覆核機制，包括開戶作業及客戶帳戶資料變更與客戶本人確認的覆核作業規範，如印鑑、地址等。</w:t>
            </w:r>
          </w:p>
          <w:p w14:paraId="48989571" w14:textId="174C2BDC" w:rsidR="0004520D" w:rsidRPr="002A7D5D" w:rsidRDefault="0004520D" w:rsidP="0004520D">
            <w:pPr>
              <w:spacing w:line="360" w:lineRule="exact"/>
              <w:ind w:leftChars="-55" w:left="1" w:hangingChars="51" w:hanging="133"/>
              <w:rPr>
                <w:rFonts w:ascii="標楷體" w:eastAsia="標楷體" w:hAnsi="標楷體"/>
                <w:sz w:val="26"/>
                <w:szCs w:val="26"/>
                <w:u w:val="single"/>
              </w:rPr>
            </w:pPr>
            <w:r w:rsidRPr="002A7D5D">
              <w:rPr>
                <w:rFonts w:ascii="標楷體" w:eastAsia="標楷體" w:hAnsi="標楷體"/>
                <w:sz w:val="26"/>
                <w:szCs w:val="26"/>
              </w:rPr>
              <w:t>（</w:t>
            </w:r>
            <w:r w:rsidRPr="002A7D5D">
              <w:rPr>
                <w:rFonts w:ascii="標楷體" w:eastAsia="標楷體" w:hAnsi="標楷體" w:hint="eastAsia"/>
                <w:sz w:val="26"/>
                <w:szCs w:val="26"/>
              </w:rPr>
              <w:t>二</w:t>
            </w:r>
            <w:r w:rsidRPr="002A7D5D">
              <w:rPr>
                <w:rFonts w:ascii="標楷體" w:eastAsia="標楷體" w:hAnsi="標楷體"/>
                <w:sz w:val="26"/>
                <w:szCs w:val="26"/>
              </w:rPr>
              <w:t>）</w:t>
            </w:r>
            <w:r w:rsidRPr="002A7D5D">
              <w:rPr>
                <w:rFonts w:ascii="標楷體" w:eastAsia="標楷體" w:hAnsi="標楷體"/>
                <w:sz w:val="26"/>
                <w:szCs w:val="26"/>
                <w:u w:val="single"/>
              </w:rPr>
              <w:t>建立財富管理業務人員</w:t>
            </w:r>
            <w:r w:rsidR="00657289" w:rsidRPr="002A7D5D">
              <w:rPr>
                <w:rFonts w:ascii="標楷體" w:eastAsia="標楷體" w:hAnsi="標楷體" w:hint="eastAsia"/>
                <w:sz w:val="26"/>
                <w:szCs w:val="26"/>
                <w:u w:val="single"/>
              </w:rPr>
              <w:t>開戶前置作業及收取交易文件</w:t>
            </w:r>
            <w:r w:rsidRPr="002A7D5D">
              <w:rPr>
                <w:rFonts w:ascii="標楷體" w:eastAsia="標楷體" w:hAnsi="標楷體"/>
                <w:sz w:val="26"/>
                <w:szCs w:val="26"/>
                <w:u w:val="single"/>
              </w:rPr>
              <w:t>控管機制</w:t>
            </w:r>
            <w:r w:rsidRPr="002A7D5D">
              <w:rPr>
                <w:rFonts w:ascii="標楷體" w:eastAsia="標楷體" w:hAnsi="標楷體" w:hint="eastAsia"/>
                <w:sz w:val="26"/>
                <w:szCs w:val="26"/>
                <w:u w:val="single"/>
              </w:rPr>
              <w:t>，並留存紀錄。</w:t>
            </w:r>
          </w:p>
          <w:p w14:paraId="4EF6E25E" w14:textId="6B65F9CC" w:rsidR="0004520D" w:rsidRPr="002A7D5D" w:rsidRDefault="0004520D">
            <w:pPr>
              <w:spacing w:line="360" w:lineRule="exact"/>
              <w:rPr>
                <w:rFonts w:ascii="標楷體" w:eastAsia="標楷體" w:hAnsi="標楷體"/>
                <w:sz w:val="26"/>
                <w:szCs w:val="26"/>
                <w:u w:val="single"/>
              </w:rPr>
            </w:pPr>
            <w:r w:rsidRPr="002A7D5D">
              <w:rPr>
                <w:rFonts w:ascii="標楷體" w:eastAsia="標楷體" w:hAnsi="標楷體" w:hint="eastAsia"/>
                <w:sz w:val="26"/>
                <w:szCs w:val="26"/>
                <w:u w:val="single"/>
              </w:rPr>
              <w:t>(三)落實客戶</w:t>
            </w:r>
            <w:r w:rsidR="00865EE0" w:rsidRPr="002A7D5D">
              <w:rPr>
                <w:rFonts w:ascii="標楷體" w:eastAsia="標楷體" w:hAnsi="標楷體" w:hint="eastAsia"/>
                <w:sz w:val="26"/>
                <w:szCs w:val="26"/>
                <w:u w:val="single"/>
              </w:rPr>
              <w:t>投資風險屬性</w:t>
            </w:r>
            <w:r w:rsidRPr="002A7D5D">
              <w:rPr>
                <w:rFonts w:ascii="標楷體" w:eastAsia="標楷體" w:hAnsi="標楷體" w:hint="eastAsia"/>
                <w:sz w:val="26"/>
                <w:szCs w:val="26"/>
                <w:u w:val="single"/>
              </w:rPr>
              <w:t>評估內控作業處理</w:t>
            </w:r>
            <w:r w:rsidR="00865EE0" w:rsidRPr="002A7D5D">
              <w:rPr>
                <w:rFonts w:ascii="標楷體" w:eastAsia="標楷體" w:hAnsi="標楷體" w:hint="eastAsia"/>
                <w:sz w:val="26"/>
                <w:szCs w:val="26"/>
                <w:u w:val="single"/>
              </w:rPr>
              <w:t>、建立事後監控</w:t>
            </w:r>
            <w:r w:rsidRPr="002A7D5D">
              <w:rPr>
                <w:rFonts w:ascii="標楷體" w:eastAsia="標楷體" w:hAnsi="標楷體" w:hint="eastAsia"/>
                <w:sz w:val="26"/>
                <w:szCs w:val="26"/>
                <w:u w:val="single"/>
              </w:rPr>
              <w:t>機制。</w:t>
            </w:r>
          </w:p>
          <w:p w14:paraId="3DBD0958" w14:textId="15BFA43C"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u w:val="single"/>
              </w:rPr>
              <w:t>（</w:t>
            </w:r>
            <w:r w:rsidR="0004520D" w:rsidRPr="002A7D5D">
              <w:rPr>
                <w:rFonts w:ascii="標楷體" w:eastAsia="標楷體" w:hAnsi="標楷體" w:hint="eastAsia"/>
                <w:sz w:val="26"/>
                <w:szCs w:val="26"/>
                <w:u w:val="single"/>
              </w:rPr>
              <w:t>四</w:t>
            </w:r>
            <w:r w:rsidRPr="002A7D5D">
              <w:rPr>
                <w:rFonts w:ascii="標楷體" w:eastAsia="標楷體" w:hAnsi="標楷體"/>
                <w:sz w:val="26"/>
                <w:szCs w:val="26"/>
                <w:u w:val="single"/>
              </w:rPr>
              <w:t>）</w:t>
            </w:r>
            <w:r w:rsidRPr="002A7D5D">
              <w:rPr>
                <w:rFonts w:ascii="標楷體" w:eastAsia="標楷體" w:hAnsi="標楷體"/>
                <w:sz w:val="26"/>
                <w:szCs w:val="26"/>
              </w:rPr>
              <w:t>針對一定金額以上之交易，建立客戶交易確認管理機制，切實執行確認作業。</w:t>
            </w:r>
          </w:p>
          <w:p w14:paraId="181C557B" w14:textId="5C9C95F3"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u w:val="single"/>
              </w:rPr>
              <w:t>（</w:t>
            </w:r>
            <w:r w:rsidR="0004520D" w:rsidRPr="002A7D5D">
              <w:rPr>
                <w:rFonts w:ascii="標楷體" w:eastAsia="標楷體" w:hAnsi="標楷體" w:hint="eastAsia"/>
                <w:sz w:val="26"/>
                <w:szCs w:val="26"/>
                <w:u w:val="single"/>
              </w:rPr>
              <w:t>五</w:t>
            </w:r>
            <w:r w:rsidRPr="002A7D5D">
              <w:rPr>
                <w:rFonts w:ascii="標楷體" w:eastAsia="標楷體" w:hAnsi="標楷體"/>
                <w:sz w:val="26"/>
                <w:szCs w:val="26"/>
                <w:u w:val="single"/>
              </w:rPr>
              <w:t>）</w:t>
            </w:r>
            <w:r w:rsidRPr="002A7D5D">
              <w:rPr>
                <w:rFonts w:ascii="標楷體" w:eastAsia="標楷體" w:hAnsi="標楷體"/>
                <w:sz w:val="26"/>
                <w:szCs w:val="26"/>
              </w:rPr>
              <w:t>建立並落實客戶交易對帳單制度，以月、季、半年或年度方式，主動進行客戶帳戶交易明細及餘額確認機制，並由管理單位負責抽樣查核。</w:t>
            </w:r>
          </w:p>
          <w:p w14:paraId="1208015D" w14:textId="7559CE35"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u w:val="single"/>
              </w:rPr>
              <w:t>（</w:t>
            </w:r>
            <w:r w:rsidR="0004520D" w:rsidRPr="002A7D5D">
              <w:rPr>
                <w:rFonts w:ascii="標楷體" w:eastAsia="標楷體" w:hAnsi="標楷體" w:hint="eastAsia"/>
                <w:sz w:val="26"/>
                <w:szCs w:val="26"/>
                <w:u w:val="single"/>
              </w:rPr>
              <w:t>六</w:t>
            </w:r>
            <w:r w:rsidRPr="002A7D5D">
              <w:rPr>
                <w:rFonts w:ascii="標楷體" w:eastAsia="標楷體" w:hAnsi="標楷體"/>
                <w:sz w:val="26"/>
                <w:szCs w:val="26"/>
                <w:u w:val="single"/>
              </w:rPr>
              <w:t>）</w:t>
            </w:r>
            <w:r w:rsidRPr="002A7D5D">
              <w:rPr>
                <w:rFonts w:ascii="標楷體" w:eastAsia="標楷體" w:hAnsi="標楷體"/>
                <w:sz w:val="26"/>
                <w:szCs w:val="26"/>
              </w:rPr>
              <w:t>建立證券商與客戶本人約定授權交易之控管。</w:t>
            </w:r>
          </w:p>
          <w:p w14:paraId="582910AB" w14:textId="05C68430"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u w:val="single"/>
              </w:rPr>
              <w:t>（</w:t>
            </w:r>
            <w:r w:rsidR="0004520D" w:rsidRPr="002A7D5D">
              <w:rPr>
                <w:rFonts w:ascii="標楷體" w:eastAsia="標楷體" w:hAnsi="標楷體" w:hint="eastAsia"/>
                <w:sz w:val="26"/>
                <w:szCs w:val="26"/>
                <w:u w:val="single"/>
              </w:rPr>
              <w:t>七</w:t>
            </w:r>
            <w:r w:rsidRPr="002A7D5D">
              <w:rPr>
                <w:rFonts w:ascii="標楷體" w:eastAsia="標楷體" w:hAnsi="標楷體"/>
                <w:sz w:val="26"/>
                <w:szCs w:val="26"/>
                <w:u w:val="single"/>
              </w:rPr>
              <w:t>）</w:t>
            </w:r>
            <w:r w:rsidRPr="002A7D5D">
              <w:rPr>
                <w:rFonts w:ascii="標楷體" w:eastAsia="標楷體" w:hAnsi="標楷體"/>
                <w:sz w:val="26"/>
                <w:szCs w:val="26"/>
              </w:rPr>
              <w:t>建立證券商保管客戶物品管理辦法。</w:t>
            </w:r>
          </w:p>
          <w:p w14:paraId="3A715FB1" w14:textId="7A74D18D"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u w:val="single"/>
              </w:rPr>
              <w:t>（</w:t>
            </w:r>
            <w:r w:rsidR="0004520D" w:rsidRPr="002A7D5D">
              <w:rPr>
                <w:rFonts w:ascii="標楷體" w:eastAsia="標楷體" w:hAnsi="標楷體" w:hint="eastAsia"/>
                <w:sz w:val="26"/>
                <w:szCs w:val="26"/>
                <w:u w:val="single"/>
              </w:rPr>
              <w:t>八</w:t>
            </w:r>
            <w:r w:rsidRPr="002A7D5D">
              <w:rPr>
                <w:rFonts w:ascii="標楷體" w:eastAsia="標楷體" w:hAnsi="標楷體"/>
                <w:sz w:val="26"/>
                <w:szCs w:val="26"/>
                <w:u w:val="single"/>
              </w:rPr>
              <w:t>）</w:t>
            </w:r>
            <w:r w:rsidRPr="002A7D5D">
              <w:rPr>
                <w:rFonts w:ascii="標楷體" w:eastAsia="標楷體" w:hAnsi="標楷體"/>
                <w:sz w:val="26"/>
                <w:szCs w:val="26"/>
              </w:rPr>
              <w:t>落實客戶帳單內控</w:t>
            </w:r>
            <w:r w:rsidRPr="002A7D5D">
              <w:rPr>
                <w:rFonts w:ascii="標楷體" w:eastAsia="標楷體" w:hAnsi="標楷體"/>
                <w:sz w:val="26"/>
                <w:szCs w:val="26"/>
              </w:rPr>
              <w:lastRenderedPageBreak/>
              <w:t>作業處理及覆核管理機制。</w:t>
            </w:r>
          </w:p>
          <w:p w14:paraId="2A70CE89" w14:textId="7A6D0DA2"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u w:val="single"/>
              </w:rPr>
              <w:t>（</w:t>
            </w:r>
            <w:r w:rsidR="0004520D" w:rsidRPr="002A7D5D">
              <w:rPr>
                <w:rFonts w:ascii="標楷體" w:eastAsia="標楷體" w:hAnsi="標楷體" w:hint="eastAsia"/>
                <w:sz w:val="26"/>
                <w:szCs w:val="26"/>
                <w:u w:val="single"/>
              </w:rPr>
              <w:t>九</w:t>
            </w:r>
            <w:r w:rsidRPr="002A7D5D">
              <w:rPr>
                <w:rFonts w:ascii="標楷體" w:eastAsia="標楷體" w:hAnsi="標楷體"/>
                <w:sz w:val="26"/>
                <w:szCs w:val="26"/>
                <w:u w:val="single"/>
              </w:rPr>
              <w:t>）</w:t>
            </w:r>
            <w:r w:rsidR="00842AFB" w:rsidRPr="002A7D5D">
              <w:rPr>
                <w:rFonts w:ascii="標楷體" w:eastAsia="標楷體" w:hAnsi="標楷體" w:hint="eastAsia"/>
                <w:sz w:val="26"/>
                <w:szCs w:val="26"/>
                <w:u w:val="single"/>
              </w:rPr>
              <w:t>透過</w:t>
            </w:r>
            <w:r w:rsidRPr="002A7D5D">
              <w:rPr>
                <w:rFonts w:ascii="標楷體" w:eastAsia="標楷體" w:hAnsi="標楷體"/>
                <w:sz w:val="26"/>
                <w:szCs w:val="26"/>
                <w:u w:val="single"/>
              </w:rPr>
              <w:t>定期</w:t>
            </w:r>
            <w:r w:rsidR="00842AFB" w:rsidRPr="002A7D5D">
              <w:rPr>
                <w:rFonts w:ascii="標楷體" w:eastAsia="標楷體" w:hAnsi="標楷體" w:hint="eastAsia"/>
                <w:sz w:val="26"/>
                <w:szCs w:val="26"/>
                <w:u w:val="single"/>
              </w:rPr>
              <w:t>產出異常</w:t>
            </w:r>
            <w:r w:rsidRPr="002A7D5D">
              <w:rPr>
                <w:rFonts w:ascii="標楷體" w:eastAsia="標楷體" w:hAnsi="標楷體"/>
                <w:sz w:val="26"/>
                <w:szCs w:val="26"/>
                <w:u w:val="single"/>
              </w:rPr>
              <w:t>檢核</w:t>
            </w:r>
            <w:r w:rsidR="00842AFB" w:rsidRPr="002A7D5D">
              <w:rPr>
                <w:rFonts w:ascii="標楷體" w:eastAsia="標楷體" w:hAnsi="標楷體" w:hint="eastAsia"/>
                <w:sz w:val="26"/>
                <w:szCs w:val="26"/>
                <w:u w:val="single"/>
              </w:rPr>
              <w:t>報表，檢核</w:t>
            </w:r>
            <w:r w:rsidRPr="002A7D5D">
              <w:rPr>
                <w:rFonts w:ascii="標楷體" w:eastAsia="標楷體" w:hAnsi="標楷體"/>
                <w:sz w:val="26"/>
                <w:szCs w:val="26"/>
                <w:u w:val="single"/>
              </w:rPr>
              <w:t>財富管理業務人員與客戶是否有共用同一IP位址進行交易，或以同一地址或電子郵件信箱收取對帳單等異常情事</w:t>
            </w:r>
            <w:r w:rsidRPr="002A7D5D">
              <w:rPr>
                <w:rFonts w:ascii="標楷體" w:eastAsia="標楷體" w:hAnsi="標楷體"/>
                <w:sz w:val="26"/>
                <w:szCs w:val="26"/>
              </w:rPr>
              <w:t>。</w:t>
            </w:r>
          </w:p>
          <w:p w14:paraId="44B03151" w14:textId="77777777"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rPr>
              <w:t>二、人事內部管控：</w:t>
            </w:r>
          </w:p>
          <w:p w14:paraId="3660B835" w14:textId="77777777"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rPr>
              <w:t>（一）新進財富管理業務人員任用，除查詢臺灣證券交易所聯徵系統外，並應查核其票據信用紀錄、刑事紀錄，列入錄取考量。並以定期或不定期方式辦理財富管理業務人員的信用狀況查詢，及時瞭解其信用及財務狀況，預防弊端之發生。</w:t>
            </w:r>
          </w:p>
          <w:p w14:paraId="3787A38B" w14:textId="77777777"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rPr>
              <w:t>（二）落實財富管理業務人員休假制度，以利主管抽核檢視客戶帳戶之往來情形。</w:t>
            </w:r>
          </w:p>
          <w:p w14:paraId="3FFC0570" w14:textId="45A6367B" w:rsidR="0055184E" w:rsidRPr="002A7D5D" w:rsidRDefault="005235AC" w:rsidP="007145A4">
            <w:pPr>
              <w:spacing w:line="360" w:lineRule="exact"/>
              <w:ind w:left="34" w:hanging="34"/>
              <w:rPr>
                <w:rFonts w:ascii="標楷體" w:eastAsia="標楷體" w:hAnsi="標楷體"/>
                <w:sz w:val="26"/>
                <w:szCs w:val="26"/>
                <w:u w:val="single"/>
              </w:rPr>
            </w:pPr>
            <w:r w:rsidRPr="002A7D5D">
              <w:rPr>
                <w:rFonts w:ascii="標楷體" w:eastAsia="標楷體" w:hAnsi="標楷體"/>
                <w:sz w:val="26"/>
                <w:szCs w:val="26"/>
              </w:rPr>
              <w:t>（三）建立證券商內部自行查核機制，定期或不定期抽查財富管理業務人員辦公處所，以遏止私下保管客戶物品之情事。</w:t>
            </w:r>
          </w:p>
        </w:tc>
        <w:tc>
          <w:tcPr>
            <w:tcW w:w="3169" w:type="dxa"/>
            <w:tcBorders>
              <w:top w:val="single" w:sz="4" w:space="0" w:color="000000"/>
              <w:left w:val="single" w:sz="4" w:space="0" w:color="000000"/>
              <w:bottom w:val="single" w:sz="4" w:space="0" w:color="000000"/>
              <w:right w:val="single" w:sz="4" w:space="0" w:color="000000"/>
            </w:tcBorders>
          </w:tcPr>
          <w:p w14:paraId="42696524" w14:textId="77777777"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rPr>
              <w:lastRenderedPageBreak/>
              <w:t>第八條</w:t>
            </w:r>
          </w:p>
          <w:p w14:paraId="6059EC8B" w14:textId="77777777"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rPr>
              <w:t>證券商宜採下列措施，以防止財富管理業務人員未經客戶授權，擅自為客戶進行交易，或私自挪用客戶款項：</w:t>
            </w:r>
          </w:p>
          <w:p w14:paraId="74D481DC" w14:textId="77777777"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rPr>
              <w:t>一、客戶帳戶作業：</w:t>
            </w:r>
          </w:p>
          <w:p w14:paraId="1786CE4F" w14:textId="77777777"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rPr>
              <w:t>（一）建立客戶開戶確認及資料變更覆核機制，包括開戶作業及客戶帳戶資料變更與客戶本人確認的覆核作業規範，如印鑑、地址等。</w:t>
            </w:r>
          </w:p>
          <w:p w14:paraId="6BB54C4A" w14:textId="77777777" w:rsidR="0004520D" w:rsidRPr="002A7D5D" w:rsidRDefault="0004520D">
            <w:pPr>
              <w:spacing w:line="360" w:lineRule="exact"/>
              <w:rPr>
                <w:rFonts w:ascii="標楷體" w:eastAsia="標楷體" w:hAnsi="標楷體"/>
                <w:sz w:val="26"/>
                <w:szCs w:val="26"/>
              </w:rPr>
            </w:pPr>
          </w:p>
          <w:p w14:paraId="1FEC5B93" w14:textId="77777777" w:rsidR="0004520D" w:rsidRPr="002A7D5D" w:rsidRDefault="0004520D">
            <w:pPr>
              <w:spacing w:line="360" w:lineRule="exact"/>
              <w:rPr>
                <w:rFonts w:ascii="標楷體" w:eastAsia="標楷體" w:hAnsi="標楷體"/>
                <w:sz w:val="26"/>
                <w:szCs w:val="26"/>
              </w:rPr>
            </w:pPr>
          </w:p>
          <w:p w14:paraId="17497EF3" w14:textId="77777777" w:rsidR="0004520D" w:rsidRPr="002A7D5D" w:rsidRDefault="0004520D">
            <w:pPr>
              <w:spacing w:line="360" w:lineRule="exact"/>
              <w:rPr>
                <w:rFonts w:ascii="標楷體" w:eastAsia="標楷體" w:hAnsi="標楷體"/>
                <w:sz w:val="26"/>
                <w:szCs w:val="26"/>
              </w:rPr>
            </w:pPr>
          </w:p>
          <w:p w14:paraId="5647EF69" w14:textId="77777777" w:rsidR="0004520D" w:rsidRPr="002A7D5D" w:rsidRDefault="0004520D">
            <w:pPr>
              <w:spacing w:line="360" w:lineRule="exact"/>
              <w:rPr>
                <w:rFonts w:ascii="標楷體" w:eastAsia="標楷體" w:hAnsi="標楷體"/>
                <w:sz w:val="26"/>
                <w:szCs w:val="26"/>
              </w:rPr>
            </w:pPr>
          </w:p>
          <w:p w14:paraId="5D4FE0D7" w14:textId="77777777" w:rsidR="0004520D" w:rsidRPr="002A7D5D" w:rsidRDefault="0004520D">
            <w:pPr>
              <w:spacing w:line="360" w:lineRule="exact"/>
              <w:rPr>
                <w:rFonts w:ascii="標楷體" w:eastAsia="標楷體" w:hAnsi="標楷體"/>
                <w:sz w:val="26"/>
                <w:szCs w:val="26"/>
              </w:rPr>
            </w:pPr>
          </w:p>
          <w:p w14:paraId="072762D9" w14:textId="77777777" w:rsidR="0004520D" w:rsidRPr="002A7D5D" w:rsidRDefault="0004520D">
            <w:pPr>
              <w:spacing w:line="360" w:lineRule="exact"/>
              <w:rPr>
                <w:rFonts w:ascii="標楷體" w:eastAsia="標楷體" w:hAnsi="標楷體"/>
                <w:sz w:val="26"/>
                <w:szCs w:val="26"/>
              </w:rPr>
            </w:pPr>
          </w:p>
          <w:p w14:paraId="642E06F9" w14:textId="77777777" w:rsidR="002A7D5D" w:rsidRPr="002A7D5D" w:rsidRDefault="002A7D5D">
            <w:pPr>
              <w:spacing w:line="360" w:lineRule="exact"/>
              <w:rPr>
                <w:rFonts w:ascii="標楷體" w:eastAsia="標楷體" w:hAnsi="標楷體"/>
                <w:sz w:val="26"/>
                <w:szCs w:val="26"/>
                <w:u w:val="single"/>
              </w:rPr>
            </w:pPr>
          </w:p>
          <w:p w14:paraId="29A56A11" w14:textId="37EB97DF"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u w:val="single"/>
              </w:rPr>
              <w:t>（二）</w:t>
            </w:r>
            <w:r w:rsidRPr="002A7D5D">
              <w:rPr>
                <w:rFonts w:ascii="標楷體" w:eastAsia="標楷體" w:hAnsi="標楷體"/>
                <w:sz w:val="26"/>
                <w:szCs w:val="26"/>
              </w:rPr>
              <w:t>針對一定金額以上之交易，建立客戶交易確認管理機制，切實執行確認作業。</w:t>
            </w:r>
          </w:p>
          <w:p w14:paraId="49E2DEF3" w14:textId="77777777"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u w:val="single"/>
              </w:rPr>
              <w:t>（三）</w:t>
            </w:r>
            <w:r w:rsidRPr="002A7D5D">
              <w:rPr>
                <w:rFonts w:ascii="標楷體" w:eastAsia="標楷體" w:hAnsi="標楷體"/>
                <w:sz w:val="26"/>
                <w:szCs w:val="26"/>
              </w:rPr>
              <w:t>建立並落實客戶交易對帳單制度，以月、季、半年或年度方式，主動進行客戶帳戶交易明細及餘額確認機制，並由管理單位負責抽樣查核。</w:t>
            </w:r>
          </w:p>
          <w:p w14:paraId="1F8FE2C7" w14:textId="77777777"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u w:val="single"/>
              </w:rPr>
              <w:t>（四）</w:t>
            </w:r>
            <w:r w:rsidRPr="002A7D5D">
              <w:rPr>
                <w:rFonts w:ascii="標楷體" w:eastAsia="標楷體" w:hAnsi="標楷體"/>
                <w:sz w:val="26"/>
                <w:szCs w:val="26"/>
              </w:rPr>
              <w:t>建立證券商與客戶本人約定授權交易之控管。</w:t>
            </w:r>
          </w:p>
          <w:p w14:paraId="6DFB9F3E" w14:textId="77777777"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u w:val="single"/>
              </w:rPr>
              <w:t>（五）</w:t>
            </w:r>
            <w:r w:rsidRPr="002A7D5D">
              <w:rPr>
                <w:rFonts w:ascii="標楷體" w:eastAsia="標楷體" w:hAnsi="標楷體"/>
                <w:sz w:val="26"/>
                <w:szCs w:val="26"/>
              </w:rPr>
              <w:t>建立證券商保管客戶物品管理辦法。</w:t>
            </w:r>
          </w:p>
          <w:p w14:paraId="6918FB24" w14:textId="77777777"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u w:val="single"/>
              </w:rPr>
              <w:t>（六）</w:t>
            </w:r>
            <w:r w:rsidRPr="002A7D5D">
              <w:rPr>
                <w:rFonts w:ascii="標楷體" w:eastAsia="標楷體" w:hAnsi="標楷體"/>
                <w:sz w:val="26"/>
                <w:szCs w:val="26"/>
              </w:rPr>
              <w:t>落實客戶帳單內控</w:t>
            </w:r>
            <w:r w:rsidRPr="002A7D5D">
              <w:rPr>
                <w:rFonts w:ascii="標楷體" w:eastAsia="標楷體" w:hAnsi="標楷體"/>
                <w:sz w:val="26"/>
                <w:szCs w:val="26"/>
              </w:rPr>
              <w:lastRenderedPageBreak/>
              <w:t>作業處理及覆核管理機制。</w:t>
            </w:r>
          </w:p>
          <w:p w14:paraId="7E678A63" w14:textId="77777777" w:rsidR="0055184E" w:rsidRPr="002A7D5D" w:rsidRDefault="0055184E">
            <w:pPr>
              <w:spacing w:line="360" w:lineRule="exact"/>
              <w:rPr>
                <w:rFonts w:ascii="標楷體" w:eastAsia="標楷體" w:hAnsi="標楷體"/>
                <w:sz w:val="26"/>
                <w:szCs w:val="26"/>
              </w:rPr>
            </w:pPr>
          </w:p>
          <w:p w14:paraId="6534F0E6" w14:textId="77777777" w:rsidR="0055184E" w:rsidRPr="002A7D5D" w:rsidRDefault="0055184E">
            <w:pPr>
              <w:spacing w:line="360" w:lineRule="exact"/>
              <w:rPr>
                <w:rFonts w:ascii="標楷體" w:eastAsia="標楷體" w:hAnsi="標楷體"/>
                <w:sz w:val="26"/>
                <w:szCs w:val="26"/>
              </w:rPr>
            </w:pPr>
          </w:p>
          <w:p w14:paraId="3B0A87FD" w14:textId="77777777" w:rsidR="0055184E" w:rsidRPr="002A7D5D" w:rsidRDefault="0055184E">
            <w:pPr>
              <w:spacing w:line="360" w:lineRule="exact"/>
              <w:rPr>
                <w:rFonts w:ascii="標楷體" w:eastAsia="標楷體" w:hAnsi="標楷體"/>
                <w:sz w:val="26"/>
                <w:szCs w:val="26"/>
              </w:rPr>
            </w:pPr>
          </w:p>
          <w:p w14:paraId="1E0FC5FC" w14:textId="77777777" w:rsidR="0055184E" w:rsidRPr="002A7D5D" w:rsidRDefault="0055184E">
            <w:pPr>
              <w:spacing w:line="360" w:lineRule="exact"/>
              <w:rPr>
                <w:rFonts w:ascii="標楷體" w:eastAsia="標楷體" w:hAnsi="標楷體"/>
                <w:sz w:val="26"/>
                <w:szCs w:val="26"/>
              </w:rPr>
            </w:pPr>
          </w:p>
          <w:p w14:paraId="5E2B1C8D" w14:textId="77777777" w:rsidR="0055184E" w:rsidRPr="002A7D5D" w:rsidRDefault="0055184E">
            <w:pPr>
              <w:spacing w:line="360" w:lineRule="exact"/>
              <w:rPr>
                <w:rFonts w:ascii="標楷體" w:eastAsia="標楷體" w:hAnsi="標楷體"/>
                <w:sz w:val="26"/>
                <w:szCs w:val="26"/>
              </w:rPr>
            </w:pPr>
          </w:p>
          <w:p w14:paraId="36F33C6B" w14:textId="77777777" w:rsidR="0055184E" w:rsidRPr="002A7D5D" w:rsidRDefault="0055184E">
            <w:pPr>
              <w:spacing w:line="360" w:lineRule="exact"/>
              <w:rPr>
                <w:rFonts w:ascii="標楷體" w:eastAsia="標楷體" w:hAnsi="標楷體"/>
                <w:sz w:val="26"/>
                <w:szCs w:val="26"/>
              </w:rPr>
            </w:pPr>
          </w:p>
          <w:p w14:paraId="2C619DA1" w14:textId="77777777" w:rsidR="0055184E" w:rsidRPr="002A7D5D" w:rsidRDefault="0055184E">
            <w:pPr>
              <w:spacing w:line="360" w:lineRule="exact"/>
              <w:rPr>
                <w:rFonts w:ascii="標楷體" w:eastAsia="標楷體" w:hAnsi="標楷體"/>
                <w:sz w:val="26"/>
                <w:szCs w:val="26"/>
              </w:rPr>
            </w:pPr>
          </w:p>
          <w:p w14:paraId="7D96C8B3" w14:textId="77777777"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rPr>
              <w:t>二、人事內部管控：</w:t>
            </w:r>
          </w:p>
          <w:p w14:paraId="1C9E66ED" w14:textId="77777777"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rPr>
              <w:t>（一）新進財富管理業務人員任用，除查詢臺灣證券交易所聯徵系統外，並應查核其票據信用紀錄、刑事紀錄，列入錄取考量。並以定期或不定期方式辦理財富管理業務人員的信用狀況查詢，及時瞭解其信用及財務狀況，預防弊端之發生。</w:t>
            </w:r>
          </w:p>
          <w:p w14:paraId="03DF5B28" w14:textId="77777777"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rPr>
              <w:t>（二）落實財富管理業務人員休假制度，以利主管抽核檢視客戶帳戶之往來情形。</w:t>
            </w:r>
          </w:p>
          <w:p w14:paraId="2AB8C4D4" w14:textId="77777777"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rPr>
              <w:t>（三）建立證券商內部自行查核機制，定期或不定期抽查財富管理業務人員辦公處所，以遏止私下保管客戶物品之情事。</w:t>
            </w:r>
          </w:p>
        </w:tc>
        <w:tc>
          <w:tcPr>
            <w:tcW w:w="3178" w:type="dxa"/>
            <w:tcBorders>
              <w:top w:val="single" w:sz="4" w:space="0" w:color="000000"/>
              <w:left w:val="single" w:sz="4" w:space="0" w:color="000000"/>
              <w:bottom w:val="single" w:sz="4" w:space="0" w:color="000000"/>
              <w:right w:val="single" w:sz="4" w:space="0" w:color="000000"/>
            </w:tcBorders>
          </w:tcPr>
          <w:p w14:paraId="0D63D4CE" w14:textId="57474016"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rPr>
              <w:lastRenderedPageBreak/>
              <w:t>依主管機關110年7月14日證期(券)字第1100339240號函</w:t>
            </w:r>
            <w:r w:rsidRPr="002A7D5D">
              <w:rPr>
                <w:rFonts w:ascii="標楷體" w:eastAsia="標楷體" w:hAnsi="標楷體" w:cs="新細明體"/>
                <w:sz w:val="26"/>
                <w:szCs w:val="26"/>
              </w:rPr>
              <w:t>及參考證券商內部控制制度標準規範CA-11210(46)、CA-19140(三)6</w:t>
            </w:r>
            <w:r w:rsidR="00842AFB" w:rsidRPr="002A7D5D">
              <w:rPr>
                <w:rFonts w:ascii="標楷體" w:eastAsia="標楷體" w:hAnsi="標楷體" w:cs="新細明體" w:hint="eastAsia"/>
                <w:sz w:val="26"/>
                <w:szCs w:val="26"/>
              </w:rPr>
              <w:t>及(四)10</w:t>
            </w:r>
            <w:r w:rsidRPr="002A7D5D">
              <w:rPr>
                <w:rFonts w:ascii="標楷體" w:eastAsia="標楷體" w:hAnsi="標楷體" w:cs="新細明體"/>
                <w:sz w:val="26"/>
                <w:szCs w:val="26"/>
              </w:rPr>
              <w:t>規定、銀行防範理財專員挪用客戶款項相關內控作業原則第七</w:t>
            </w:r>
            <w:r w:rsidR="003A6415" w:rsidRPr="002A7D5D">
              <w:rPr>
                <w:rFonts w:ascii="標楷體" w:eastAsia="標楷體" w:hAnsi="標楷體" w:cs="新細明體" w:hint="eastAsia"/>
                <w:sz w:val="26"/>
                <w:szCs w:val="26"/>
              </w:rPr>
              <w:t>條及第</w:t>
            </w:r>
            <w:r w:rsidRPr="002A7D5D">
              <w:rPr>
                <w:rFonts w:ascii="標楷體" w:eastAsia="標楷體" w:hAnsi="標楷體" w:cs="新細明體"/>
                <w:sz w:val="26"/>
                <w:szCs w:val="26"/>
              </w:rPr>
              <w:t>八條規定修訂</w:t>
            </w:r>
            <w:r w:rsidR="007830B2" w:rsidRPr="002A7D5D">
              <w:rPr>
                <w:rFonts w:ascii="標楷體" w:eastAsia="標楷體" w:hAnsi="標楷體" w:cs="新細明體"/>
                <w:sz w:val="26"/>
                <w:szCs w:val="26"/>
              </w:rPr>
              <w:t>第一款客戶帳戶作業</w:t>
            </w:r>
            <w:r w:rsidRPr="002A7D5D">
              <w:rPr>
                <w:rFonts w:ascii="標楷體" w:eastAsia="標楷體" w:hAnsi="標楷體" w:cs="新細明體"/>
                <w:sz w:val="26"/>
                <w:szCs w:val="26"/>
              </w:rPr>
              <w:t>:</w:t>
            </w:r>
          </w:p>
          <w:p w14:paraId="51F4D478" w14:textId="084D3470" w:rsidR="00842AFB" w:rsidRPr="002A7D5D" w:rsidRDefault="00842AFB" w:rsidP="005235AC">
            <w:pPr>
              <w:pStyle w:val="aa"/>
              <w:numPr>
                <w:ilvl w:val="0"/>
                <w:numId w:val="5"/>
              </w:numPr>
              <w:spacing w:line="360" w:lineRule="exact"/>
              <w:rPr>
                <w:rFonts w:ascii="標楷體" w:eastAsia="標楷體" w:hAnsi="標楷體" w:cs="新細明體"/>
                <w:sz w:val="26"/>
                <w:szCs w:val="26"/>
              </w:rPr>
            </w:pPr>
            <w:r w:rsidRPr="002A7D5D">
              <w:rPr>
                <w:rFonts w:ascii="標楷體" w:eastAsia="標楷體" w:hAnsi="標楷體" w:cs="新細明體" w:hint="eastAsia"/>
                <w:sz w:val="26"/>
                <w:szCs w:val="26"/>
              </w:rPr>
              <w:t>增訂第二目、第三目</w:t>
            </w:r>
            <w:r w:rsidR="005235AC" w:rsidRPr="002A7D5D">
              <w:rPr>
                <w:rFonts w:ascii="標楷體" w:eastAsia="標楷體" w:hAnsi="標楷體" w:cs="新細明體" w:hint="eastAsia"/>
                <w:sz w:val="26"/>
                <w:szCs w:val="26"/>
              </w:rPr>
              <w:t>及</w:t>
            </w:r>
            <w:r w:rsidRPr="002A7D5D">
              <w:rPr>
                <w:rFonts w:ascii="標楷體" w:eastAsia="標楷體" w:hAnsi="標楷體" w:cs="新細明體" w:hint="eastAsia"/>
                <w:sz w:val="26"/>
                <w:szCs w:val="26"/>
              </w:rPr>
              <w:t>第九目規定</w:t>
            </w:r>
            <w:r w:rsidR="005235AC" w:rsidRPr="002A7D5D">
              <w:rPr>
                <w:rFonts w:ascii="標楷體" w:eastAsia="標楷體" w:hAnsi="標楷體" w:cs="新細明體" w:hint="eastAsia"/>
                <w:sz w:val="26"/>
                <w:szCs w:val="26"/>
              </w:rPr>
              <w:t>。</w:t>
            </w:r>
          </w:p>
          <w:p w14:paraId="55D5DB5C" w14:textId="5ED58D78" w:rsidR="005235AC" w:rsidRPr="002A7D5D" w:rsidRDefault="005235AC" w:rsidP="005235AC">
            <w:pPr>
              <w:pStyle w:val="aa"/>
              <w:numPr>
                <w:ilvl w:val="0"/>
                <w:numId w:val="5"/>
              </w:numPr>
              <w:spacing w:line="360" w:lineRule="exact"/>
              <w:rPr>
                <w:rFonts w:ascii="標楷體" w:eastAsia="標楷體" w:hAnsi="標楷體" w:cs="新細明體"/>
                <w:sz w:val="26"/>
                <w:szCs w:val="26"/>
              </w:rPr>
            </w:pPr>
            <w:r w:rsidRPr="002A7D5D">
              <w:rPr>
                <w:rFonts w:ascii="標楷體" w:eastAsia="標楷體" w:hAnsi="標楷體" w:cs="新細明體" w:hint="eastAsia"/>
                <w:sz w:val="26"/>
                <w:szCs w:val="26"/>
              </w:rPr>
              <w:t>原第二目至第六目配合調整目號。</w:t>
            </w:r>
          </w:p>
          <w:p w14:paraId="7A1C9725" w14:textId="5541137A" w:rsidR="0055184E" w:rsidRPr="002A7D5D" w:rsidRDefault="0055184E" w:rsidP="003A6415">
            <w:pPr>
              <w:spacing w:line="360" w:lineRule="exact"/>
              <w:rPr>
                <w:rFonts w:ascii="標楷體" w:eastAsia="標楷體" w:hAnsi="標楷體"/>
                <w:sz w:val="26"/>
                <w:szCs w:val="26"/>
              </w:rPr>
            </w:pPr>
          </w:p>
        </w:tc>
      </w:tr>
      <w:tr w:rsidR="00FD153F" w14:paraId="48FC6404" w14:textId="77777777">
        <w:tc>
          <w:tcPr>
            <w:tcW w:w="3120" w:type="dxa"/>
            <w:tcBorders>
              <w:top w:val="single" w:sz="4" w:space="0" w:color="000000"/>
              <w:left w:val="single" w:sz="4" w:space="0" w:color="000000"/>
              <w:bottom w:val="single" w:sz="4" w:space="0" w:color="000000"/>
              <w:right w:val="single" w:sz="4" w:space="0" w:color="000000"/>
            </w:tcBorders>
          </w:tcPr>
          <w:p w14:paraId="2E667C29" w14:textId="77777777" w:rsidR="00FD153F" w:rsidRPr="002A7D5D" w:rsidRDefault="00FD153F">
            <w:pPr>
              <w:spacing w:line="360" w:lineRule="exact"/>
              <w:rPr>
                <w:rFonts w:ascii="標楷體" w:eastAsia="標楷體" w:hAnsi="標楷體"/>
                <w:sz w:val="26"/>
                <w:szCs w:val="26"/>
              </w:rPr>
            </w:pPr>
            <w:r w:rsidRPr="002A7D5D">
              <w:rPr>
                <w:rFonts w:ascii="標楷體" w:eastAsia="標楷體" w:hAnsi="標楷體" w:hint="eastAsia"/>
                <w:sz w:val="26"/>
                <w:szCs w:val="26"/>
              </w:rPr>
              <w:t>第八條之一</w:t>
            </w:r>
          </w:p>
          <w:p w14:paraId="7F8867BB" w14:textId="694CF60A" w:rsidR="007145A4" w:rsidRPr="002A7D5D" w:rsidRDefault="007145A4" w:rsidP="007145A4">
            <w:pPr>
              <w:spacing w:line="360" w:lineRule="exact"/>
              <w:ind w:left="34" w:hanging="34"/>
              <w:rPr>
                <w:rFonts w:ascii="標楷體" w:eastAsia="標楷體" w:hAnsi="標楷體"/>
                <w:sz w:val="26"/>
                <w:szCs w:val="26"/>
              </w:rPr>
            </w:pPr>
            <w:r w:rsidRPr="002A7D5D">
              <w:rPr>
                <w:rFonts w:ascii="標楷體" w:eastAsia="標楷體" w:hAnsi="標楷體"/>
                <w:sz w:val="26"/>
                <w:szCs w:val="26"/>
                <w:u w:val="single"/>
              </w:rPr>
              <w:t>證券商</w:t>
            </w:r>
            <w:r w:rsidR="0049614E" w:rsidRPr="002A7D5D">
              <w:rPr>
                <w:rFonts w:ascii="標楷體" w:eastAsia="標楷體" w:hAnsi="標楷體" w:hint="eastAsia"/>
                <w:sz w:val="26"/>
                <w:szCs w:val="26"/>
                <w:u w:val="single"/>
              </w:rPr>
              <w:t>就前條規定</w:t>
            </w:r>
            <w:r w:rsidRPr="002A7D5D">
              <w:rPr>
                <w:rFonts w:ascii="標楷體" w:eastAsia="標楷體" w:hAnsi="標楷體"/>
                <w:sz w:val="26"/>
                <w:szCs w:val="26"/>
                <w:u w:val="single"/>
              </w:rPr>
              <w:t>應強化查核篩選原則及頻率，至少應將下列事項納為專案查核或加強查核項目：</w:t>
            </w:r>
          </w:p>
          <w:p w14:paraId="2F00788E" w14:textId="759AAF09" w:rsidR="007145A4" w:rsidRPr="002A7D5D" w:rsidRDefault="00FD10DA" w:rsidP="007145A4">
            <w:pPr>
              <w:spacing w:line="360" w:lineRule="exact"/>
              <w:ind w:left="34" w:hanging="34"/>
              <w:rPr>
                <w:rFonts w:ascii="標楷體" w:eastAsia="標楷體" w:hAnsi="標楷體"/>
                <w:sz w:val="26"/>
                <w:szCs w:val="26"/>
                <w:u w:val="single"/>
              </w:rPr>
            </w:pPr>
            <w:r w:rsidRPr="00FD10DA">
              <w:rPr>
                <w:rFonts w:ascii="標楷體" w:eastAsia="標楷體" w:hAnsi="標楷體" w:hint="eastAsia"/>
                <w:sz w:val="26"/>
                <w:szCs w:val="26"/>
                <w:u w:val="single"/>
              </w:rPr>
              <w:t>一</w:t>
            </w:r>
            <w:r>
              <w:rPr>
                <w:rFonts w:ascii="標楷體" w:eastAsia="標楷體" w:hAnsi="標楷體" w:hint="eastAsia"/>
                <w:sz w:val="26"/>
                <w:szCs w:val="26"/>
                <w:u w:val="single"/>
              </w:rPr>
              <w:t>、</w:t>
            </w:r>
            <w:bookmarkStart w:id="0" w:name="_Hlk83798529"/>
            <w:r w:rsidR="007145A4" w:rsidRPr="002A7D5D">
              <w:rPr>
                <w:rFonts w:ascii="標楷體" w:eastAsia="標楷體" w:hAnsi="標楷體"/>
                <w:sz w:val="26"/>
                <w:szCs w:val="26"/>
                <w:u w:val="single"/>
              </w:rPr>
              <w:t>財富管理業務或交易量異常大幅增加、或內部控制缺失偏多之分公司(或單位)；或有異常交易</w:t>
            </w:r>
            <w:r w:rsidR="007145A4" w:rsidRPr="002A7D5D">
              <w:rPr>
                <w:rFonts w:ascii="標楷體" w:eastAsia="標楷體" w:hAnsi="標楷體"/>
                <w:sz w:val="26"/>
                <w:szCs w:val="26"/>
                <w:u w:val="single"/>
              </w:rPr>
              <w:lastRenderedPageBreak/>
              <w:t>之財富管理業務人員。</w:t>
            </w:r>
            <w:bookmarkEnd w:id="0"/>
          </w:p>
          <w:p w14:paraId="401DB0BC" w14:textId="62A346BD" w:rsidR="007145A4" w:rsidRPr="002A7D5D" w:rsidRDefault="00FD10DA" w:rsidP="007145A4">
            <w:pPr>
              <w:spacing w:line="360" w:lineRule="exact"/>
              <w:ind w:left="34" w:hanging="34"/>
              <w:rPr>
                <w:rFonts w:ascii="標楷體" w:eastAsia="標楷體" w:hAnsi="標楷體"/>
                <w:sz w:val="26"/>
                <w:szCs w:val="26"/>
                <w:u w:val="single"/>
              </w:rPr>
            </w:pPr>
            <w:r w:rsidRPr="00FD10DA">
              <w:rPr>
                <w:rFonts w:ascii="標楷體" w:eastAsia="標楷體" w:hAnsi="標楷體" w:hint="eastAsia"/>
                <w:sz w:val="26"/>
                <w:szCs w:val="26"/>
                <w:u w:val="single"/>
              </w:rPr>
              <w:t>二</w:t>
            </w:r>
            <w:r>
              <w:rPr>
                <w:rFonts w:ascii="標楷體" w:eastAsia="標楷體" w:hAnsi="標楷體" w:hint="eastAsia"/>
                <w:sz w:val="26"/>
                <w:szCs w:val="26"/>
                <w:u w:val="single"/>
              </w:rPr>
              <w:t>、</w:t>
            </w:r>
            <w:bookmarkStart w:id="1" w:name="_Hlk83798800"/>
            <w:r w:rsidR="007145A4" w:rsidRPr="002A7D5D">
              <w:rPr>
                <w:rFonts w:ascii="標楷體" w:eastAsia="標楷體" w:hAnsi="標楷體"/>
                <w:sz w:val="26"/>
                <w:szCs w:val="26"/>
                <w:u w:val="single"/>
              </w:rPr>
              <w:t>財富管理業務人員</w:t>
            </w:r>
            <w:r w:rsidR="00657289" w:rsidRPr="002A7D5D">
              <w:rPr>
                <w:rFonts w:ascii="標楷體" w:eastAsia="標楷體" w:hAnsi="標楷體" w:hint="eastAsia"/>
                <w:sz w:val="26"/>
                <w:szCs w:val="26"/>
                <w:u w:val="single"/>
              </w:rPr>
              <w:t>開戶前置作業及收取交易文件</w:t>
            </w:r>
            <w:r w:rsidR="007145A4" w:rsidRPr="002A7D5D">
              <w:rPr>
                <w:rFonts w:ascii="標楷體" w:eastAsia="標楷體" w:hAnsi="標楷體" w:hint="eastAsia"/>
                <w:sz w:val="26"/>
                <w:szCs w:val="26"/>
                <w:u w:val="single"/>
              </w:rPr>
              <w:t>控管情形</w:t>
            </w:r>
            <w:r w:rsidR="007145A4" w:rsidRPr="002A7D5D">
              <w:rPr>
                <w:rFonts w:ascii="標楷體" w:eastAsia="標楷體" w:hAnsi="標楷體"/>
                <w:sz w:val="26"/>
                <w:szCs w:val="26"/>
                <w:u w:val="single"/>
              </w:rPr>
              <w:t>、客戶帳戶資料申請及變更正確性、財富管理業務人員</w:t>
            </w:r>
            <w:r w:rsidR="007145A4" w:rsidRPr="002A7D5D">
              <w:rPr>
                <w:rFonts w:ascii="標楷體" w:eastAsia="標楷體" w:hAnsi="標楷體" w:hint="eastAsia"/>
                <w:sz w:val="26"/>
                <w:szCs w:val="26"/>
                <w:u w:val="single"/>
              </w:rPr>
              <w:t>與客戶往來</w:t>
            </w:r>
            <w:r w:rsidR="007145A4" w:rsidRPr="002A7D5D">
              <w:rPr>
                <w:rFonts w:ascii="標楷體" w:eastAsia="標楷體" w:hAnsi="標楷體"/>
                <w:sz w:val="26"/>
                <w:szCs w:val="26"/>
                <w:u w:val="single"/>
              </w:rPr>
              <w:t>情形、網際網路電子式委託交易異常檢核。</w:t>
            </w:r>
            <w:bookmarkEnd w:id="1"/>
          </w:p>
          <w:p w14:paraId="4E11EB45" w14:textId="77777777" w:rsidR="007145A4" w:rsidRPr="002A7D5D" w:rsidRDefault="007145A4" w:rsidP="007145A4">
            <w:pPr>
              <w:spacing w:line="360" w:lineRule="exact"/>
              <w:ind w:left="34" w:hanging="34"/>
              <w:rPr>
                <w:rFonts w:ascii="標楷體" w:eastAsia="標楷體" w:hAnsi="標楷體"/>
                <w:sz w:val="26"/>
                <w:szCs w:val="26"/>
                <w:u w:val="single"/>
              </w:rPr>
            </w:pPr>
            <w:bookmarkStart w:id="2" w:name="_Hlk83798853"/>
            <w:r w:rsidRPr="002A7D5D">
              <w:rPr>
                <w:rFonts w:ascii="標楷體" w:eastAsia="標楷體" w:hAnsi="標楷體"/>
                <w:sz w:val="26"/>
                <w:szCs w:val="26"/>
                <w:u w:val="single"/>
              </w:rPr>
              <w:t>證券商查核重點事項，例如：</w:t>
            </w:r>
            <w:bookmarkEnd w:id="2"/>
          </w:p>
          <w:p w14:paraId="41E1AB35" w14:textId="5BA80819" w:rsidR="007145A4" w:rsidRPr="002A7D5D" w:rsidRDefault="00FD10DA" w:rsidP="007145A4">
            <w:pPr>
              <w:spacing w:line="360" w:lineRule="exact"/>
              <w:ind w:left="34" w:hanging="34"/>
              <w:rPr>
                <w:rFonts w:ascii="標楷體" w:eastAsia="標楷體" w:hAnsi="標楷體"/>
                <w:sz w:val="26"/>
                <w:szCs w:val="26"/>
                <w:u w:val="single"/>
              </w:rPr>
            </w:pPr>
            <w:r>
              <w:rPr>
                <w:rFonts w:ascii="標楷體" w:eastAsia="標楷體" w:hAnsi="標楷體" w:hint="eastAsia"/>
                <w:sz w:val="26"/>
                <w:szCs w:val="26"/>
                <w:u w:val="single"/>
              </w:rPr>
              <w:t>一、</w:t>
            </w:r>
            <w:bookmarkStart w:id="3" w:name="_Hlk83798982"/>
            <w:r w:rsidR="007145A4" w:rsidRPr="002A7D5D">
              <w:rPr>
                <w:rFonts w:ascii="標楷體" w:eastAsia="標楷體" w:hAnsi="標楷體"/>
                <w:sz w:val="26"/>
                <w:szCs w:val="26"/>
                <w:u w:val="single"/>
              </w:rPr>
              <w:t>財富管理業務人員</w:t>
            </w:r>
            <w:r w:rsidR="00657289" w:rsidRPr="002A7D5D">
              <w:rPr>
                <w:rFonts w:ascii="標楷體" w:eastAsia="標楷體" w:hAnsi="標楷體" w:hint="eastAsia"/>
                <w:sz w:val="26"/>
                <w:szCs w:val="26"/>
                <w:u w:val="single"/>
              </w:rPr>
              <w:t>開戶前置作業及收取交易文件</w:t>
            </w:r>
            <w:r w:rsidR="007145A4" w:rsidRPr="002A7D5D">
              <w:rPr>
                <w:rFonts w:ascii="標楷體" w:eastAsia="標楷體" w:hAnsi="標楷體" w:hint="eastAsia"/>
                <w:sz w:val="26"/>
                <w:szCs w:val="26"/>
                <w:u w:val="single"/>
              </w:rPr>
              <w:t>控管情形，例如</w:t>
            </w:r>
            <w:r w:rsidR="00B12DAB" w:rsidRPr="002A7D5D">
              <w:rPr>
                <w:rFonts w:ascii="標楷體" w:eastAsia="標楷體" w:hAnsi="標楷體" w:hint="eastAsia"/>
                <w:sz w:val="26"/>
                <w:szCs w:val="26"/>
                <w:u w:val="single"/>
              </w:rPr>
              <w:t>就財富管理業務人員</w:t>
            </w:r>
            <w:r w:rsidR="007145A4" w:rsidRPr="002A7D5D">
              <w:rPr>
                <w:rFonts w:ascii="標楷體" w:eastAsia="標楷體" w:hAnsi="標楷體"/>
                <w:sz w:val="26"/>
                <w:szCs w:val="26"/>
                <w:u w:val="single"/>
              </w:rPr>
              <w:t>攜回客戶開戶</w:t>
            </w:r>
            <w:r w:rsidR="00657289" w:rsidRPr="002A7D5D">
              <w:rPr>
                <w:rFonts w:ascii="標楷體" w:eastAsia="標楷體" w:hAnsi="標楷體" w:hint="eastAsia"/>
                <w:sz w:val="26"/>
                <w:szCs w:val="26"/>
                <w:u w:val="single"/>
              </w:rPr>
              <w:t>或交易</w:t>
            </w:r>
            <w:r w:rsidR="007145A4" w:rsidRPr="002A7D5D">
              <w:rPr>
                <w:rFonts w:ascii="標楷體" w:eastAsia="標楷體" w:hAnsi="標楷體"/>
                <w:sz w:val="26"/>
                <w:szCs w:val="26"/>
                <w:u w:val="single"/>
              </w:rPr>
              <w:t>文件之照會作業落實情形。</w:t>
            </w:r>
            <w:bookmarkEnd w:id="3"/>
          </w:p>
          <w:p w14:paraId="0971F4E3" w14:textId="31E429E2" w:rsidR="007145A4" w:rsidRPr="002A7D5D" w:rsidRDefault="00FD10DA" w:rsidP="007145A4">
            <w:pPr>
              <w:spacing w:line="360" w:lineRule="exact"/>
              <w:ind w:left="34" w:hanging="34"/>
              <w:rPr>
                <w:rFonts w:ascii="標楷體" w:eastAsia="標楷體" w:hAnsi="標楷體"/>
                <w:sz w:val="26"/>
                <w:szCs w:val="26"/>
                <w:u w:val="single"/>
              </w:rPr>
            </w:pPr>
            <w:r w:rsidRPr="00FD10DA">
              <w:rPr>
                <w:rFonts w:ascii="標楷體" w:eastAsia="標楷體" w:hAnsi="標楷體" w:hint="eastAsia"/>
                <w:sz w:val="26"/>
                <w:szCs w:val="26"/>
                <w:u w:val="single"/>
              </w:rPr>
              <w:t>二、</w:t>
            </w:r>
            <w:bookmarkStart w:id="4" w:name="_Hlk83799027"/>
            <w:r w:rsidR="007145A4" w:rsidRPr="00FD10DA">
              <w:rPr>
                <w:rFonts w:ascii="標楷體" w:eastAsia="標楷體" w:hAnsi="標楷體"/>
                <w:sz w:val="26"/>
                <w:szCs w:val="26"/>
                <w:u w:val="single"/>
              </w:rPr>
              <w:t>客</w:t>
            </w:r>
            <w:r w:rsidR="007145A4" w:rsidRPr="002A7D5D">
              <w:rPr>
                <w:rFonts w:ascii="標楷體" w:eastAsia="標楷體" w:hAnsi="標楷體"/>
                <w:sz w:val="26"/>
                <w:szCs w:val="26"/>
                <w:u w:val="single"/>
              </w:rPr>
              <w:t>戶帳戶資料申請及變更正確性</w:t>
            </w:r>
            <w:r w:rsidR="007145A4" w:rsidRPr="002A7D5D">
              <w:rPr>
                <w:rFonts w:ascii="標楷體" w:eastAsia="標楷體" w:hAnsi="標楷體" w:hint="eastAsia"/>
                <w:sz w:val="26"/>
                <w:szCs w:val="26"/>
                <w:u w:val="single"/>
              </w:rPr>
              <w:t>：例如財富管理業務人員與客戶是否有以同一地址或電子郵件信箱收取對帳單之異常情事。</w:t>
            </w:r>
            <w:bookmarkEnd w:id="4"/>
          </w:p>
          <w:p w14:paraId="73CC59C4" w14:textId="797E307D" w:rsidR="007145A4" w:rsidRPr="002A7D5D" w:rsidRDefault="00FD10DA" w:rsidP="007145A4">
            <w:pPr>
              <w:spacing w:line="360" w:lineRule="exact"/>
              <w:ind w:left="34" w:hanging="34"/>
              <w:rPr>
                <w:rFonts w:ascii="標楷體" w:eastAsia="標楷體" w:hAnsi="標楷體"/>
                <w:sz w:val="26"/>
                <w:szCs w:val="26"/>
                <w:u w:val="single"/>
              </w:rPr>
            </w:pPr>
            <w:r w:rsidRPr="00FD10DA">
              <w:rPr>
                <w:rFonts w:ascii="標楷體" w:eastAsia="標楷體" w:hAnsi="標楷體" w:hint="eastAsia"/>
                <w:sz w:val="26"/>
                <w:szCs w:val="26"/>
                <w:u w:val="single"/>
              </w:rPr>
              <w:t>三、</w:t>
            </w:r>
            <w:bookmarkStart w:id="5" w:name="_Hlk83799054"/>
            <w:r w:rsidR="007145A4" w:rsidRPr="002A7D5D">
              <w:rPr>
                <w:rFonts w:ascii="標楷體" w:eastAsia="標楷體" w:hAnsi="標楷體" w:hint="eastAsia"/>
                <w:sz w:val="26"/>
                <w:szCs w:val="26"/>
                <w:u w:val="single"/>
              </w:rPr>
              <w:t>財富管理業務人員與客戶往來情形，例如</w:t>
            </w:r>
            <w:r w:rsidR="00170B59" w:rsidRPr="002A7D5D">
              <w:rPr>
                <w:rFonts w:ascii="標楷體" w:eastAsia="標楷體" w:hAnsi="標楷體"/>
                <w:sz w:val="26"/>
                <w:szCs w:val="26"/>
                <w:u w:val="single"/>
              </w:rPr>
              <w:t>定期或不定期抽查財富管理業務人員辦公處所</w:t>
            </w:r>
            <w:r w:rsidR="00170B59" w:rsidRPr="002A7D5D">
              <w:rPr>
                <w:rFonts w:ascii="標楷體" w:eastAsia="標楷體" w:hAnsi="標楷體" w:hint="eastAsia"/>
                <w:sz w:val="26"/>
                <w:szCs w:val="26"/>
                <w:u w:val="single"/>
              </w:rPr>
              <w:t>，以確認</w:t>
            </w:r>
            <w:r w:rsidR="007145A4" w:rsidRPr="002A7D5D">
              <w:rPr>
                <w:rFonts w:ascii="標楷體" w:eastAsia="標楷體" w:hAnsi="標楷體"/>
                <w:sz w:val="26"/>
                <w:szCs w:val="26"/>
                <w:u w:val="single"/>
              </w:rPr>
              <w:t>是否有</w:t>
            </w:r>
            <w:r w:rsidR="007145A4" w:rsidRPr="002A7D5D">
              <w:rPr>
                <w:rFonts w:ascii="標楷體" w:eastAsia="標楷體" w:hAnsi="標楷體" w:hint="eastAsia"/>
                <w:sz w:val="26"/>
                <w:szCs w:val="26"/>
                <w:u w:val="single"/>
              </w:rPr>
              <w:t>私下保管客戶交易申請書</w:t>
            </w:r>
            <w:r w:rsidR="007145A4" w:rsidRPr="002A7D5D">
              <w:rPr>
                <w:rFonts w:ascii="標楷體" w:eastAsia="標楷體" w:hAnsi="標楷體"/>
                <w:sz w:val="26"/>
                <w:szCs w:val="26"/>
                <w:u w:val="single"/>
              </w:rPr>
              <w:t>、</w:t>
            </w:r>
            <w:r w:rsidR="00170B59" w:rsidRPr="002A7D5D">
              <w:rPr>
                <w:rFonts w:ascii="標楷體" w:eastAsia="標楷體" w:hAnsi="標楷體" w:hint="eastAsia"/>
                <w:sz w:val="26"/>
                <w:szCs w:val="26"/>
                <w:u w:val="single"/>
              </w:rPr>
              <w:t>客戶存摺印章或</w:t>
            </w:r>
            <w:r w:rsidR="007145A4" w:rsidRPr="002A7D5D">
              <w:rPr>
                <w:rFonts w:ascii="標楷體" w:eastAsia="標楷體" w:hAnsi="標楷體"/>
                <w:sz w:val="26"/>
                <w:szCs w:val="26"/>
                <w:u w:val="single"/>
              </w:rPr>
              <w:t>自製對帳單等情形。</w:t>
            </w:r>
            <w:bookmarkEnd w:id="5"/>
          </w:p>
          <w:p w14:paraId="019CA1FA" w14:textId="12B8C2C2" w:rsidR="007145A4" w:rsidRPr="002A7D5D" w:rsidRDefault="00FD10DA" w:rsidP="007145A4">
            <w:pPr>
              <w:spacing w:line="360" w:lineRule="exact"/>
              <w:ind w:left="34" w:hanging="34"/>
              <w:rPr>
                <w:rFonts w:ascii="標楷體" w:eastAsia="標楷體" w:hAnsi="標楷體"/>
                <w:sz w:val="26"/>
                <w:szCs w:val="26"/>
                <w:u w:val="single"/>
              </w:rPr>
            </w:pPr>
            <w:r w:rsidRPr="00FD10DA">
              <w:rPr>
                <w:rFonts w:ascii="標楷體" w:eastAsia="標楷體" w:hAnsi="標楷體" w:hint="eastAsia"/>
                <w:sz w:val="26"/>
                <w:szCs w:val="26"/>
                <w:u w:val="single"/>
              </w:rPr>
              <w:t>四、</w:t>
            </w:r>
            <w:bookmarkStart w:id="6" w:name="_Hlk83799082"/>
            <w:r w:rsidR="007145A4" w:rsidRPr="002A7D5D">
              <w:rPr>
                <w:rFonts w:ascii="標楷體" w:eastAsia="標楷體" w:hAnsi="標楷體"/>
                <w:sz w:val="26"/>
                <w:szCs w:val="26"/>
                <w:u w:val="single"/>
              </w:rPr>
              <w:t>網際網路電子式委託交易異常檢核，例如財富管理業務人員與客戶是否有</w:t>
            </w:r>
            <w:r w:rsidR="007145A4" w:rsidRPr="002A7D5D">
              <w:rPr>
                <w:rFonts w:ascii="標楷體" w:eastAsia="標楷體" w:hAnsi="標楷體" w:hint="eastAsia"/>
                <w:sz w:val="26"/>
                <w:szCs w:val="26"/>
                <w:u w:val="single"/>
              </w:rPr>
              <w:t>共用同一</w:t>
            </w:r>
            <w:r w:rsidR="007145A4" w:rsidRPr="002A7D5D">
              <w:rPr>
                <w:rFonts w:ascii="標楷體" w:eastAsia="標楷體" w:hAnsi="標楷體"/>
                <w:sz w:val="26"/>
                <w:szCs w:val="26"/>
                <w:u w:val="single"/>
              </w:rPr>
              <w:t>IP位址進行交易</w:t>
            </w:r>
            <w:r w:rsidR="007145A4" w:rsidRPr="002A7D5D">
              <w:rPr>
                <w:rFonts w:ascii="標楷體" w:eastAsia="標楷體" w:hAnsi="標楷體" w:hint="eastAsia"/>
                <w:sz w:val="26"/>
                <w:szCs w:val="26"/>
                <w:u w:val="single"/>
              </w:rPr>
              <w:t>之異常情事</w:t>
            </w:r>
            <w:r w:rsidR="007145A4" w:rsidRPr="002A7D5D">
              <w:rPr>
                <w:rFonts w:ascii="標楷體" w:eastAsia="標楷體" w:hAnsi="標楷體"/>
                <w:sz w:val="26"/>
                <w:szCs w:val="26"/>
                <w:u w:val="single"/>
              </w:rPr>
              <w:t>。</w:t>
            </w:r>
            <w:bookmarkEnd w:id="6"/>
          </w:p>
          <w:p w14:paraId="5ABD16F7" w14:textId="5CF242EF" w:rsidR="00A00799" w:rsidRPr="002A7D5D" w:rsidRDefault="007145A4" w:rsidP="00B12DAB">
            <w:pPr>
              <w:spacing w:line="360" w:lineRule="exact"/>
              <w:rPr>
                <w:rFonts w:ascii="標楷體" w:eastAsia="標楷體" w:hAnsi="標楷體"/>
                <w:sz w:val="26"/>
                <w:szCs w:val="26"/>
              </w:rPr>
            </w:pPr>
            <w:bookmarkStart w:id="7" w:name="_Hlk83799139"/>
            <w:r w:rsidRPr="002A7D5D">
              <w:rPr>
                <w:rFonts w:ascii="標楷體" w:eastAsia="標楷體" w:hAnsi="標楷體"/>
                <w:sz w:val="26"/>
                <w:szCs w:val="26"/>
                <w:u w:val="single"/>
              </w:rPr>
              <w:t>前</w:t>
            </w:r>
            <w:r w:rsidRPr="002A7D5D">
              <w:rPr>
                <w:rFonts w:ascii="標楷體" w:eastAsia="標楷體" w:hAnsi="標楷體" w:hint="eastAsia"/>
                <w:sz w:val="26"/>
                <w:szCs w:val="26"/>
                <w:u w:val="single"/>
              </w:rPr>
              <w:t>二項</w:t>
            </w:r>
            <w:r w:rsidRPr="002A7D5D">
              <w:rPr>
                <w:rFonts w:ascii="標楷體" w:eastAsia="標楷體" w:hAnsi="標楷體"/>
                <w:sz w:val="26"/>
                <w:szCs w:val="26"/>
                <w:u w:val="single"/>
              </w:rPr>
              <w:t>強化查核篩選原則及頻率及查核重點事項，</w:t>
            </w:r>
            <w:r w:rsidR="000C0C15">
              <w:rPr>
                <w:rFonts w:ascii="標楷體" w:eastAsia="標楷體" w:hAnsi="標楷體" w:hint="eastAsia"/>
                <w:sz w:val="26"/>
                <w:szCs w:val="26"/>
                <w:u w:val="single"/>
              </w:rPr>
              <w:t>應納入</w:t>
            </w:r>
            <w:r w:rsidRPr="002A7D5D">
              <w:rPr>
                <w:rFonts w:ascii="標楷體" w:eastAsia="標楷體" w:hAnsi="標楷體"/>
                <w:sz w:val="26"/>
                <w:szCs w:val="26"/>
                <w:u w:val="single"/>
              </w:rPr>
              <w:t>各證券商內部稽核制度所訂定之查核項目辦</w:t>
            </w:r>
            <w:r w:rsidRPr="002A7D5D">
              <w:rPr>
                <w:rFonts w:ascii="標楷體" w:eastAsia="標楷體" w:hAnsi="標楷體"/>
                <w:sz w:val="26"/>
                <w:szCs w:val="26"/>
                <w:u w:val="single"/>
              </w:rPr>
              <w:lastRenderedPageBreak/>
              <w:t>理。</w:t>
            </w:r>
            <w:bookmarkEnd w:id="7"/>
          </w:p>
        </w:tc>
        <w:tc>
          <w:tcPr>
            <w:tcW w:w="3169" w:type="dxa"/>
            <w:tcBorders>
              <w:top w:val="single" w:sz="4" w:space="0" w:color="000000"/>
              <w:left w:val="single" w:sz="4" w:space="0" w:color="000000"/>
              <w:bottom w:val="single" w:sz="4" w:space="0" w:color="000000"/>
              <w:right w:val="single" w:sz="4" w:space="0" w:color="000000"/>
            </w:tcBorders>
          </w:tcPr>
          <w:p w14:paraId="2326EC5B" w14:textId="77777777" w:rsidR="00FD153F" w:rsidRPr="002A7D5D" w:rsidRDefault="00FD153F">
            <w:pPr>
              <w:spacing w:line="360" w:lineRule="exact"/>
              <w:rPr>
                <w:rFonts w:ascii="標楷體" w:eastAsia="標楷體" w:hAnsi="標楷體"/>
                <w:sz w:val="26"/>
                <w:szCs w:val="26"/>
              </w:rPr>
            </w:pPr>
          </w:p>
        </w:tc>
        <w:tc>
          <w:tcPr>
            <w:tcW w:w="3178" w:type="dxa"/>
            <w:tcBorders>
              <w:top w:val="single" w:sz="4" w:space="0" w:color="000000"/>
              <w:left w:val="single" w:sz="4" w:space="0" w:color="000000"/>
              <w:bottom w:val="single" w:sz="4" w:space="0" w:color="000000"/>
              <w:right w:val="single" w:sz="4" w:space="0" w:color="000000"/>
            </w:tcBorders>
          </w:tcPr>
          <w:p w14:paraId="69EE4125" w14:textId="2A652FCC" w:rsidR="00841217" w:rsidRPr="002A7D5D" w:rsidRDefault="00841217" w:rsidP="00841217">
            <w:pPr>
              <w:spacing w:line="360" w:lineRule="exact"/>
              <w:rPr>
                <w:rFonts w:ascii="標楷體" w:eastAsia="標楷體" w:hAnsi="標楷體"/>
                <w:sz w:val="26"/>
                <w:szCs w:val="26"/>
              </w:rPr>
            </w:pPr>
            <w:r w:rsidRPr="002A7D5D">
              <w:rPr>
                <w:rFonts w:ascii="標楷體" w:eastAsia="標楷體" w:hAnsi="標楷體" w:hint="eastAsia"/>
                <w:sz w:val="26"/>
                <w:szCs w:val="26"/>
              </w:rPr>
              <w:t>一、本條新增。</w:t>
            </w:r>
          </w:p>
          <w:p w14:paraId="360E61E9" w14:textId="77777777" w:rsidR="00FD153F" w:rsidRPr="002A7D5D" w:rsidRDefault="00841217" w:rsidP="00841217">
            <w:pPr>
              <w:spacing w:line="360" w:lineRule="exact"/>
              <w:rPr>
                <w:rFonts w:ascii="標楷體" w:eastAsia="標楷體" w:hAnsi="標楷體" w:cs="新細明體"/>
                <w:sz w:val="26"/>
                <w:szCs w:val="26"/>
              </w:rPr>
            </w:pPr>
            <w:r w:rsidRPr="002A7D5D">
              <w:rPr>
                <w:rFonts w:ascii="標楷體" w:eastAsia="標楷體" w:hAnsi="標楷體" w:hint="eastAsia"/>
                <w:sz w:val="26"/>
                <w:szCs w:val="26"/>
              </w:rPr>
              <w:t>二、</w:t>
            </w:r>
            <w:r w:rsidRPr="002A7D5D">
              <w:rPr>
                <w:rFonts w:ascii="標楷體" w:eastAsia="標楷體" w:hAnsi="標楷體"/>
                <w:sz w:val="26"/>
                <w:szCs w:val="26"/>
              </w:rPr>
              <w:t>依主管機關110年7月14日證期(券)字第1100339240號函</w:t>
            </w:r>
            <w:r w:rsidRPr="002A7D5D">
              <w:rPr>
                <w:rFonts w:ascii="標楷體" w:eastAsia="標楷體" w:hAnsi="標楷體" w:cs="新細明體"/>
                <w:sz w:val="26"/>
                <w:szCs w:val="26"/>
              </w:rPr>
              <w:t>及參考銀行防範理財專員挪用客戶款項相關內控作業原則第十二條規定</w:t>
            </w:r>
            <w:r w:rsidRPr="002A7D5D">
              <w:rPr>
                <w:rFonts w:ascii="標楷體" w:eastAsia="標楷體" w:hAnsi="標楷體" w:cs="新細明體" w:hint="eastAsia"/>
                <w:sz w:val="26"/>
                <w:szCs w:val="26"/>
              </w:rPr>
              <w:t>，增</w:t>
            </w:r>
            <w:r w:rsidRPr="002A7D5D">
              <w:rPr>
                <w:rFonts w:ascii="標楷體" w:eastAsia="標楷體" w:hAnsi="標楷體" w:cs="新細明體"/>
                <w:sz w:val="26"/>
                <w:szCs w:val="26"/>
              </w:rPr>
              <w:t>訂內部稽核之重要控制查核點</w:t>
            </w:r>
            <w:r w:rsidRPr="002A7D5D">
              <w:rPr>
                <w:rFonts w:ascii="標楷體" w:eastAsia="標楷體" w:hAnsi="標楷體" w:cs="新細明體" w:hint="eastAsia"/>
                <w:sz w:val="26"/>
                <w:szCs w:val="26"/>
              </w:rPr>
              <w:t>規定。</w:t>
            </w:r>
          </w:p>
          <w:p w14:paraId="274624BE" w14:textId="0F9FD380" w:rsidR="00717D2F" w:rsidRPr="002A7D5D" w:rsidRDefault="00847386" w:rsidP="00A870A6">
            <w:pPr>
              <w:rPr>
                <w:rFonts w:ascii="標楷體" w:eastAsia="標楷體" w:hAnsi="標楷體"/>
                <w:sz w:val="26"/>
                <w:szCs w:val="26"/>
              </w:rPr>
            </w:pPr>
            <w:r w:rsidRPr="00A13EE7">
              <w:rPr>
                <w:rFonts w:ascii="標楷體" w:eastAsia="標楷體" w:hAnsi="標楷體" w:cs="新細明體" w:hint="eastAsia"/>
                <w:sz w:val="26"/>
                <w:szCs w:val="26"/>
              </w:rPr>
              <w:lastRenderedPageBreak/>
              <w:t>三、</w:t>
            </w:r>
            <w:r w:rsidR="00A870A6">
              <w:rPr>
                <w:rFonts w:ascii="標楷體" w:eastAsia="標楷體" w:hAnsi="標楷體" w:cs="新細明體" w:hint="eastAsia"/>
                <w:color w:val="000000"/>
                <w:sz w:val="28"/>
                <w:szCs w:val="28"/>
              </w:rPr>
              <w:t>有關</w:t>
            </w:r>
            <w:r w:rsidR="00A870A6" w:rsidRPr="002748BA">
              <w:rPr>
                <w:rFonts w:ascii="標楷體" w:eastAsia="標楷體" w:hAnsi="標楷體" w:cs="新細明體" w:hint="eastAsia"/>
                <w:color w:val="000000"/>
                <w:sz w:val="28"/>
                <w:szCs w:val="28"/>
              </w:rPr>
              <w:t>第八條之一內部稽核重要控制查核點</w:t>
            </w:r>
            <w:r w:rsidR="00A870A6">
              <w:rPr>
                <w:rFonts w:ascii="標楷體" w:eastAsia="標楷體" w:hAnsi="標楷體" w:cs="新細明體" w:hint="eastAsia"/>
                <w:color w:val="000000"/>
                <w:sz w:val="28"/>
                <w:szCs w:val="28"/>
              </w:rPr>
              <w:t>，屬於新增之查核項目部分</w:t>
            </w:r>
            <w:r w:rsidR="00A870A6" w:rsidRPr="002748BA">
              <w:rPr>
                <w:rFonts w:ascii="標楷體" w:eastAsia="標楷體" w:hAnsi="標楷體" w:cs="新細明體" w:hint="eastAsia"/>
                <w:color w:val="000000"/>
                <w:sz w:val="28"/>
                <w:szCs w:val="28"/>
              </w:rPr>
              <w:t>，</w:t>
            </w:r>
            <w:r w:rsidR="00681970" w:rsidRPr="00681970">
              <w:rPr>
                <w:rFonts w:ascii="標楷體" w:eastAsia="標楷體" w:hAnsi="標楷體" w:cs="新細明體" w:hint="eastAsia"/>
                <w:color w:val="000000"/>
                <w:sz w:val="28"/>
                <w:szCs w:val="28"/>
              </w:rPr>
              <w:t>自本自律規範發布日後6個月實施</w:t>
            </w:r>
            <w:r w:rsidR="00A870A6">
              <w:rPr>
                <w:rFonts w:ascii="標楷體" w:eastAsia="標楷體" w:hAnsi="標楷體" w:cs="新細明體" w:hint="eastAsia"/>
                <w:color w:val="000000"/>
                <w:sz w:val="28"/>
                <w:szCs w:val="28"/>
              </w:rPr>
              <w:t>。</w:t>
            </w:r>
          </w:p>
        </w:tc>
      </w:tr>
      <w:tr w:rsidR="0055184E" w14:paraId="31BF8C37" w14:textId="77777777">
        <w:tc>
          <w:tcPr>
            <w:tcW w:w="3120" w:type="dxa"/>
            <w:tcBorders>
              <w:top w:val="single" w:sz="4" w:space="0" w:color="000000"/>
              <w:left w:val="single" w:sz="4" w:space="0" w:color="000000"/>
              <w:bottom w:val="single" w:sz="4" w:space="0" w:color="000000"/>
              <w:right w:val="single" w:sz="4" w:space="0" w:color="000000"/>
            </w:tcBorders>
          </w:tcPr>
          <w:p w14:paraId="57DBC964" w14:textId="6248520C" w:rsidR="0055184E" w:rsidRPr="002A7D5D" w:rsidRDefault="005235AC">
            <w:pPr>
              <w:spacing w:line="360" w:lineRule="exact"/>
              <w:rPr>
                <w:rFonts w:ascii="標楷體" w:eastAsia="標楷體" w:hAnsi="標楷體"/>
                <w:sz w:val="26"/>
                <w:szCs w:val="26"/>
                <w:u w:val="single"/>
              </w:rPr>
            </w:pPr>
            <w:r w:rsidRPr="002A7D5D">
              <w:rPr>
                <w:rFonts w:ascii="標楷體" w:eastAsia="標楷體" w:hAnsi="標楷體"/>
                <w:sz w:val="26"/>
                <w:szCs w:val="26"/>
                <w:u w:val="single"/>
              </w:rPr>
              <w:lastRenderedPageBreak/>
              <w:t>第</w:t>
            </w:r>
            <w:r w:rsidR="00AF40B8" w:rsidRPr="002A7D5D">
              <w:rPr>
                <w:rFonts w:ascii="標楷體" w:eastAsia="標楷體" w:hAnsi="標楷體" w:hint="eastAsia"/>
                <w:sz w:val="26"/>
                <w:szCs w:val="26"/>
                <w:u w:val="single"/>
              </w:rPr>
              <w:t>八</w:t>
            </w:r>
            <w:r w:rsidRPr="002A7D5D">
              <w:rPr>
                <w:rFonts w:ascii="標楷體" w:eastAsia="標楷體" w:hAnsi="標楷體"/>
                <w:sz w:val="26"/>
                <w:szCs w:val="26"/>
                <w:u w:val="single"/>
              </w:rPr>
              <w:t>條</w:t>
            </w:r>
            <w:r w:rsidR="00085214" w:rsidRPr="002A7D5D">
              <w:rPr>
                <w:rFonts w:ascii="標楷體" w:eastAsia="標楷體" w:hAnsi="標楷體" w:hint="eastAsia"/>
                <w:sz w:val="26"/>
                <w:szCs w:val="26"/>
                <w:u w:val="single"/>
              </w:rPr>
              <w:t>之二</w:t>
            </w:r>
          </w:p>
          <w:p w14:paraId="361CFEC8" w14:textId="18BBB249" w:rsidR="003F60ED" w:rsidRPr="002A7D5D" w:rsidRDefault="003F60ED">
            <w:pPr>
              <w:spacing w:line="360" w:lineRule="exact"/>
              <w:rPr>
                <w:rFonts w:ascii="標楷體" w:eastAsia="標楷體" w:hAnsi="標楷體"/>
                <w:sz w:val="26"/>
                <w:szCs w:val="26"/>
                <w:u w:val="single"/>
              </w:rPr>
            </w:pPr>
            <w:bookmarkStart w:id="8" w:name="_Hlk83799318"/>
            <w:r w:rsidRPr="002A7D5D">
              <w:rPr>
                <w:rFonts w:ascii="標楷體" w:eastAsia="標楷體" w:hAnsi="標楷體" w:hint="eastAsia"/>
                <w:sz w:val="26"/>
                <w:szCs w:val="26"/>
                <w:u w:val="single"/>
              </w:rPr>
              <w:t>為</w:t>
            </w:r>
            <w:r w:rsidRPr="002A7D5D">
              <w:rPr>
                <w:rFonts w:ascii="標楷體" w:eastAsia="標楷體" w:hAnsi="標楷體"/>
                <w:sz w:val="26"/>
                <w:szCs w:val="26"/>
                <w:u w:val="single"/>
              </w:rPr>
              <w:t>協助證券商瞭解</w:t>
            </w:r>
            <w:r w:rsidR="00AF40B8" w:rsidRPr="002A7D5D">
              <w:rPr>
                <w:rFonts w:ascii="標楷體" w:eastAsia="標楷體" w:hAnsi="標楷體"/>
                <w:sz w:val="26"/>
                <w:szCs w:val="26"/>
                <w:u w:val="single"/>
              </w:rPr>
              <w:t>財富管理業務</w:t>
            </w:r>
            <w:r w:rsidRPr="002A7D5D">
              <w:rPr>
                <w:rFonts w:ascii="標楷體" w:eastAsia="標楷體" w:hAnsi="標楷體"/>
                <w:sz w:val="26"/>
                <w:szCs w:val="26"/>
                <w:u w:val="single"/>
              </w:rPr>
              <w:t>重大裁罰案例所涉控制點疏漏及緣由，俾利自我檢視是否有類似情形並對其內部控管作業進行改善</w:t>
            </w:r>
            <w:r w:rsidRPr="002A7D5D">
              <w:rPr>
                <w:rFonts w:ascii="標楷體" w:eastAsia="標楷體" w:hAnsi="標楷體" w:hint="eastAsia"/>
                <w:sz w:val="26"/>
                <w:szCs w:val="26"/>
                <w:u w:val="single"/>
              </w:rPr>
              <w:t>，</w:t>
            </w:r>
            <w:r w:rsidRPr="002A7D5D">
              <w:rPr>
                <w:rFonts w:ascii="標楷體" w:eastAsia="標楷體" w:hAnsi="標楷體"/>
                <w:sz w:val="26"/>
                <w:szCs w:val="26"/>
                <w:u w:val="single"/>
              </w:rPr>
              <w:t>證券商應</w:t>
            </w:r>
            <w:r w:rsidR="00861E4E" w:rsidRPr="002A7D5D">
              <w:rPr>
                <w:rFonts w:ascii="標楷體" w:eastAsia="標楷體" w:hAnsi="標楷體" w:hint="eastAsia"/>
                <w:sz w:val="26"/>
                <w:szCs w:val="26"/>
                <w:u w:val="single"/>
              </w:rPr>
              <w:t>依主管機關之裁罰</w:t>
            </w:r>
            <w:r w:rsidR="00D26C47" w:rsidRPr="002A7D5D">
              <w:rPr>
                <w:rFonts w:ascii="標楷體" w:eastAsia="標楷體" w:hAnsi="標楷體" w:hint="eastAsia"/>
                <w:sz w:val="26"/>
                <w:szCs w:val="26"/>
                <w:u w:val="single"/>
              </w:rPr>
              <w:t>、</w:t>
            </w:r>
            <w:r w:rsidR="00861E4E" w:rsidRPr="002A7D5D">
              <w:rPr>
                <w:rFonts w:ascii="標楷體" w:eastAsia="標楷體" w:hAnsi="標楷體" w:hint="eastAsia"/>
                <w:sz w:val="26"/>
                <w:szCs w:val="26"/>
                <w:u w:val="single"/>
              </w:rPr>
              <w:t>報送處分文及</w:t>
            </w:r>
            <w:r w:rsidRPr="002A7D5D">
              <w:rPr>
                <w:rFonts w:ascii="標楷體" w:eastAsia="標楷體" w:hAnsi="標楷體"/>
                <w:sz w:val="26"/>
                <w:szCs w:val="26"/>
                <w:u w:val="single"/>
              </w:rPr>
              <w:t>下列報送標準將</w:t>
            </w:r>
            <w:r w:rsidRPr="002A7D5D">
              <w:rPr>
                <w:rFonts w:ascii="標楷體" w:eastAsia="標楷體" w:hAnsi="標楷體" w:hint="eastAsia"/>
                <w:sz w:val="26"/>
                <w:szCs w:val="26"/>
                <w:u w:val="single"/>
              </w:rPr>
              <w:t>去識別化裁罰</w:t>
            </w:r>
            <w:r w:rsidRPr="002A7D5D">
              <w:rPr>
                <w:rFonts w:ascii="標楷體" w:eastAsia="標楷體" w:hAnsi="標楷體"/>
                <w:sz w:val="26"/>
                <w:szCs w:val="26"/>
                <w:u w:val="single"/>
              </w:rPr>
              <w:t>案例通報證券</w:t>
            </w:r>
            <w:r w:rsidR="00A53898" w:rsidRPr="002A7D5D">
              <w:rPr>
                <w:rFonts w:ascii="標楷體" w:eastAsia="標楷體" w:hAnsi="標楷體" w:hint="eastAsia"/>
                <w:sz w:val="26"/>
                <w:szCs w:val="26"/>
                <w:u w:val="single"/>
              </w:rPr>
              <w:t>商</w:t>
            </w:r>
            <w:r w:rsidRPr="002A7D5D">
              <w:rPr>
                <w:rFonts w:ascii="標楷體" w:eastAsia="標楷體" w:hAnsi="標楷體"/>
                <w:sz w:val="26"/>
                <w:szCs w:val="26"/>
                <w:u w:val="single"/>
              </w:rPr>
              <w:t>公會</w:t>
            </w:r>
            <w:r w:rsidR="00086619" w:rsidRPr="002A7D5D">
              <w:rPr>
                <w:rFonts w:ascii="標楷體" w:eastAsia="標楷體" w:hAnsi="標楷體"/>
                <w:sz w:val="26"/>
                <w:szCs w:val="26"/>
                <w:u w:val="single"/>
              </w:rPr>
              <w:t>於官網</w:t>
            </w:r>
            <w:r w:rsidR="00717D2F" w:rsidRPr="002A7D5D">
              <w:rPr>
                <w:rFonts w:ascii="標楷體" w:eastAsia="標楷體" w:hAnsi="標楷體" w:hint="eastAsia"/>
                <w:sz w:val="26"/>
                <w:szCs w:val="26"/>
                <w:u w:val="single"/>
              </w:rPr>
              <w:t>建立之</w:t>
            </w:r>
            <w:r w:rsidR="00086619" w:rsidRPr="002A7D5D">
              <w:rPr>
                <w:rFonts w:ascii="標楷體" w:eastAsia="標楷體" w:hAnsi="標楷體"/>
                <w:sz w:val="26"/>
                <w:szCs w:val="26"/>
                <w:u w:val="single"/>
              </w:rPr>
              <w:t>案例分享機制</w:t>
            </w:r>
            <w:r w:rsidR="007B3123">
              <w:rPr>
                <w:rFonts w:ascii="標楷體" w:eastAsia="標楷體" w:hAnsi="標楷體" w:hint="eastAsia"/>
                <w:sz w:val="26"/>
                <w:szCs w:val="26"/>
                <w:u w:val="single"/>
              </w:rPr>
              <w:t>專區</w:t>
            </w:r>
            <w:r w:rsidR="00A00799" w:rsidRPr="002A7D5D">
              <w:rPr>
                <w:rFonts w:ascii="標楷體" w:eastAsia="標楷體" w:hAnsi="標楷體" w:hint="eastAsia"/>
                <w:sz w:val="26"/>
                <w:szCs w:val="26"/>
                <w:u w:val="single"/>
              </w:rPr>
              <w:t>:</w:t>
            </w:r>
            <w:bookmarkEnd w:id="8"/>
          </w:p>
          <w:p w14:paraId="4F900843" w14:textId="77777777" w:rsidR="0055184E" w:rsidRPr="002A7D5D" w:rsidRDefault="005235AC">
            <w:pPr>
              <w:pStyle w:val="aa"/>
              <w:numPr>
                <w:ilvl w:val="0"/>
                <w:numId w:val="2"/>
              </w:numPr>
              <w:spacing w:line="360" w:lineRule="exact"/>
              <w:ind w:left="601" w:hanging="601"/>
              <w:rPr>
                <w:rFonts w:ascii="標楷體" w:eastAsia="標楷體" w:hAnsi="標楷體"/>
                <w:sz w:val="26"/>
                <w:szCs w:val="26"/>
                <w:u w:val="single"/>
              </w:rPr>
            </w:pPr>
            <w:bookmarkStart w:id="9" w:name="_Hlk83799523"/>
            <w:r w:rsidRPr="002A7D5D">
              <w:rPr>
                <w:rFonts w:ascii="標楷體" w:eastAsia="標楷體" w:hAnsi="標楷體"/>
                <w:sz w:val="26"/>
                <w:szCs w:val="26"/>
                <w:u w:val="single"/>
              </w:rPr>
              <w:t>案例重點。</w:t>
            </w:r>
            <w:bookmarkEnd w:id="9"/>
          </w:p>
          <w:p w14:paraId="6399CF19" w14:textId="77777777" w:rsidR="0055184E" w:rsidRPr="002A7D5D" w:rsidRDefault="005235AC">
            <w:pPr>
              <w:pStyle w:val="aa"/>
              <w:numPr>
                <w:ilvl w:val="0"/>
                <w:numId w:val="2"/>
              </w:numPr>
              <w:spacing w:line="360" w:lineRule="exact"/>
              <w:ind w:left="601" w:hanging="601"/>
              <w:rPr>
                <w:rFonts w:ascii="標楷體" w:eastAsia="標楷體" w:hAnsi="標楷體"/>
                <w:sz w:val="26"/>
                <w:szCs w:val="26"/>
                <w:u w:val="single"/>
              </w:rPr>
            </w:pPr>
            <w:bookmarkStart w:id="10" w:name="_Hlk83799560"/>
            <w:r w:rsidRPr="002A7D5D">
              <w:rPr>
                <w:rFonts w:ascii="標楷體" w:eastAsia="標楷體" w:hAnsi="標楷體"/>
                <w:sz w:val="26"/>
                <w:szCs w:val="26"/>
                <w:u w:val="single"/>
              </w:rPr>
              <w:t>控制點疏漏及緣由。</w:t>
            </w:r>
            <w:bookmarkEnd w:id="10"/>
          </w:p>
          <w:p w14:paraId="1EAAED57" w14:textId="5B0F32AB" w:rsidR="0055184E" w:rsidRPr="002A7D5D" w:rsidRDefault="005235AC">
            <w:pPr>
              <w:pStyle w:val="aa"/>
              <w:numPr>
                <w:ilvl w:val="0"/>
                <w:numId w:val="2"/>
              </w:numPr>
              <w:spacing w:line="360" w:lineRule="exact"/>
              <w:ind w:left="601" w:hanging="601"/>
              <w:rPr>
                <w:rFonts w:ascii="標楷體" w:eastAsia="標楷體" w:hAnsi="標楷體"/>
                <w:sz w:val="26"/>
                <w:szCs w:val="26"/>
                <w:u w:val="single"/>
              </w:rPr>
            </w:pPr>
            <w:bookmarkStart w:id="11" w:name="_Hlk83799600"/>
            <w:r w:rsidRPr="002A7D5D">
              <w:rPr>
                <w:rFonts w:ascii="標楷體" w:eastAsia="標楷體" w:hAnsi="標楷體"/>
                <w:sz w:val="26"/>
                <w:szCs w:val="26"/>
                <w:u w:val="single"/>
              </w:rPr>
              <w:t>強化內部控制之改善措施。</w:t>
            </w:r>
            <w:bookmarkEnd w:id="11"/>
          </w:p>
          <w:p w14:paraId="0FCFB66A" w14:textId="5837EBAC" w:rsidR="00A00799" w:rsidRPr="002A7D5D" w:rsidRDefault="00A00799" w:rsidP="00085214">
            <w:pPr>
              <w:spacing w:line="360" w:lineRule="exact"/>
              <w:rPr>
                <w:rFonts w:ascii="標楷體" w:eastAsia="標楷體" w:hAnsi="標楷體"/>
                <w:strike/>
                <w:sz w:val="26"/>
                <w:szCs w:val="26"/>
                <w:u w:val="single"/>
              </w:rPr>
            </w:pPr>
            <w:bookmarkStart w:id="12" w:name="_Hlk83799703"/>
            <w:r w:rsidRPr="002A7D5D">
              <w:rPr>
                <w:rFonts w:ascii="標楷體" w:eastAsia="標楷體" w:hAnsi="標楷體"/>
                <w:sz w:val="26"/>
                <w:szCs w:val="26"/>
                <w:u w:val="single"/>
              </w:rPr>
              <w:t>證券商應將最近三年</w:t>
            </w:r>
            <w:r w:rsidR="002D5A12" w:rsidRPr="002A7D5D">
              <w:rPr>
                <w:rFonts w:ascii="標楷體" w:eastAsia="標楷體" w:hAnsi="標楷體" w:hint="eastAsia"/>
                <w:sz w:val="26"/>
                <w:szCs w:val="26"/>
                <w:u w:val="single"/>
              </w:rPr>
              <w:t>屬前項性質之</w:t>
            </w:r>
            <w:r w:rsidRPr="002A7D5D">
              <w:rPr>
                <w:rFonts w:ascii="標楷體" w:eastAsia="標楷體" w:hAnsi="標楷體"/>
                <w:sz w:val="26"/>
                <w:szCs w:val="26"/>
                <w:u w:val="single"/>
              </w:rPr>
              <w:t>裁罰案例之控制點疏漏列為內部稽核加強查核事項。</w:t>
            </w:r>
            <w:bookmarkEnd w:id="12"/>
          </w:p>
          <w:p w14:paraId="42F25C04" w14:textId="77777777" w:rsidR="00A00799" w:rsidRPr="002A7D5D" w:rsidRDefault="00A00799" w:rsidP="00085214">
            <w:pPr>
              <w:spacing w:line="360" w:lineRule="exact"/>
              <w:rPr>
                <w:rFonts w:ascii="標楷體" w:eastAsia="標楷體" w:hAnsi="標楷體"/>
                <w:strike/>
                <w:sz w:val="26"/>
                <w:szCs w:val="26"/>
                <w:u w:val="single"/>
              </w:rPr>
            </w:pPr>
          </w:p>
          <w:p w14:paraId="623C6068" w14:textId="77777777" w:rsidR="0055184E" w:rsidRPr="002A7D5D" w:rsidRDefault="0055184E" w:rsidP="00170B59">
            <w:pPr>
              <w:spacing w:line="360" w:lineRule="exact"/>
              <w:rPr>
                <w:rFonts w:ascii="標楷體" w:eastAsia="標楷體" w:hAnsi="標楷體"/>
                <w:sz w:val="26"/>
                <w:szCs w:val="26"/>
                <w:u w:val="single"/>
              </w:rPr>
            </w:pPr>
          </w:p>
        </w:tc>
        <w:tc>
          <w:tcPr>
            <w:tcW w:w="3169" w:type="dxa"/>
            <w:tcBorders>
              <w:top w:val="single" w:sz="4" w:space="0" w:color="000000"/>
              <w:left w:val="single" w:sz="4" w:space="0" w:color="000000"/>
              <w:bottom w:val="single" w:sz="4" w:space="0" w:color="000000"/>
              <w:right w:val="single" w:sz="4" w:space="0" w:color="000000"/>
            </w:tcBorders>
          </w:tcPr>
          <w:p w14:paraId="414B51A5" w14:textId="77777777" w:rsidR="0055184E" w:rsidRPr="002A7D5D" w:rsidRDefault="0055184E">
            <w:pPr>
              <w:spacing w:line="360" w:lineRule="exact"/>
              <w:rPr>
                <w:rFonts w:ascii="標楷體" w:eastAsia="標楷體" w:hAnsi="標楷體"/>
                <w:sz w:val="26"/>
                <w:szCs w:val="26"/>
              </w:rPr>
            </w:pPr>
          </w:p>
        </w:tc>
        <w:tc>
          <w:tcPr>
            <w:tcW w:w="3178" w:type="dxa"/>
            <w:tcBorders>
              <w:top w:val="single" w:sz="4" w:space="0" w:color="000000"/>
              <w:left w:val="single" w:sz="4" w:space="0" w:color="000000"/>
              <w:bottom w:val="single" w:sz="4" w:space="0" w:color="000000"/>
              <w:right w:val="single" w:sz="4" w:space="0" w:color="000000"/>
            </w:tcBorders>
          </w:tcPr>
          <w:p w14:paraId="0187F4F2" w14:textId="6BF313D4" w:rsidR="0055184E" w:rsidRPr="002A7D5D" w:rsidRDefault="005235AC">
            <w:pPr>
              <w:spacing w:line="360" w:lineRule="exact"/>
              <w:rPr>
                <w:rFonts w:ascii="標楷體" w:eastAsia="標楷體" w:hAnsi="標楷體"/>
                <w:sz w:val="26"/>
                <w:szCs w:val="26"/>
              </w:rPr>
            </w:pPr>
            <w:r w:rsidRPr="002A7D5D">
              <w:rPr>
                <w:rFonts w:ascii="標楷體" w:eastAsia="標楷體" w:hAnsi="標楷體"/>
                <w:sz w:val="26"/>
                <w:szCs w:val="26"/>
              </w:rPr>
              <w:t>一、本條新增</w:t>
            </w:r>
            <w:r w:rsidR="003978FB" w:rsidRPr="002748BA">
              <w:rPr>
                <w:rFonts w:ascii="標楷體" w:eastAsia="標楷體" w:hAnsi="標楷體" w:cs="新細明體" w:hint="eastAsia"/>
                <w:color w:val="000000"/>
                <w:sz w:val="28"/>
                <w:szCs w:val="28"/>
              </w:rPr>
              <w:t>，</w:t>
            </w:r>
            <w:r w:rsidR="00681970" w:rsidRPr="00681970">
              <w:rPr>
                <w:rFonts w:ascii="標楷體" w:eastAsia="標楷體" w:hAnsi="標楷體" w:cs="新細明體" w:hint="eastAsia"/>
                <w:color w:val="000000"/>
                <w:sz w:val="28"/>
                <w:szCs w:val="28"/>
              </w:rPr>
              <w:t>自本自律規範發布日後6個月實施</w:t>
            </w:r>
            <w:r w:rsidR="003978FB">
              <w:rPr>
                <w:rFonts w:ascii="標楷體" w:eastAsia="標楷體" w:hAnsi="標楷體" w:cs="新細明體" w:hint="eastAsia"/>
                <w:color w:val="000000"/>
                <w:sz w:val="28"/>
                <w:szCs w:val="28"/>
              </w:rPr>
              <w:t>。</w:t>
            </w:r>
          </w:p>
          <w:p w14:paraId="57CC9EC3" w14:textId="75414BA1" w:rsidR="0055184E" w:rsidRPr="002A7D5D" w:rsidRDefault="005235AC">
            <w:pPr>
              <w:spacing w:line="360" w:lineRule="exact"/>
              <w:rPr>
                <w:rFonts w:ascii="標楷體" w:eastAsia="標楷體" w:hAnsi="標楷體" w:cs="新細明體"/>
                <w:sz w:val="26"/>
                <w:szCs w:val="26"/>
              </w:rPr>
            </w:pPr>
            <w:r w:rsidRPr="002A7D5D">
              <w:rPr>
                <w:rFonts w:ascii="標楷體" w:eastAsia="標楷體" w:hAnsi="標楷體"/>
                <w:sz w:val="26"/>
                <w:szCs w:val="26"/>
              </w:rPr>
              <w:t>二、依主管機關110年7月14日證期(券)字第1100339240號函</w:t>
            </w:r>
            <w:r w:rsidRPr="002A7D5D">
              <w:rPr>
                <w:rFonts w:ascii="標楷體" w:eastAsia="標楷體" w:hAnsi="標楷體" w:cs="新細明體"/>
                <w:sz w:val="26"/>
                <w:szCs w:val="26"/>
              </w:rPr>
              <w:t>及參考銀行防範理財專員挪用客戶款項相關內控作業原則第三條規定訂定。</w:t>
            </w:r>
          </w:p>
          <w:p w14:paraId="64FF6442" w14:textId="7D15F16E" w:rsidR="00534F25" w:rsidRPr="002A7D5D" w:rsidRDefault="00534F25">
            <w:pPr>
              <w:spacing w:line="360" w:lineRule="exact"/>
              <w:rPr>
                <w:rFonts w:ascii="標楷體" w:eastAsia="標楷體" w:hAnsi="標楷體"/>
                <w:sz w:val="26"/>
                <w:szCs w:val="26"/>
              </w:rPr>
            </w:pPr>
            <w:r w:rsidRPr="002A7D5D">
              <w:rPr>
                <w:rFonts w:ascii="標楷體" w:eastAsia="標楷體" w:hAnsi="標楷體" w:cs="新細明體" w:hint="eastAsia"/>
                <w:sz w:val="26"/>
                <w:szCs w:val="26"/>
              </w:rPr>
              <w:t>三、</w:t>
            </w:r>
            <w:r w:rsidRPr="002A7D5D">
              <w:rPr>
                <w:rFonts w:ascii="標楷體" w:eastAsia="標楷體" w:hAnsi="標楷體" w:cs="新細明體"/>
                <w:sz w:val="26"/>
                <w:szCs w:val="26"/>
              </w:rPr>
              <w:t>第</w:t>
            </w:r>
            <w:r w:rsidRPr="002A7D5D">
              <w:rPr>
                <w:rFonts w:ascii="標楷體" w:eastAsia="標楷體" w:hAnsi="標楷體" w:cs="新細明體" w:hint="eastAsia"/>
                <w:sz w:val="26"/>
                <w:szCs w:val="26"/>
              </w:rPr>
              <w:t>一</w:t>
            </w:r>
            <w:r w:rsidRPr="002A7D5D">
              <w:rPr>
                <w:rFonts w:ascii="標楷體" w:eastAsia="標楷體" w:hAnsi="標楷體" w:cs="新細明體"/>
                <w:sz w:val="26"/>
                <w:szCs w:val="26"/>
              </w:rPr>
              <w:t>項所定證券</w:t>
            </w:r>
            <w:r w:rsidR="00395037">
              <w:rPr>
                <w:rFonts w:ascii="標楷體" w:eastAsia="標楷體" w:hAnsi="標楷體" w:cs="新細明體" w:hint="eastAsia"/>
                <w:sz w:val="26"/>
                <w:szCs w:val="26"/>
              </w:rPr>
              <w:t>商</w:t>
            </w:r>
            <w:r w:rsidRPr="002A7D5D">
              <w:rPr>
                <w:rFonts w:ascii="標楷體" w:eastAsia="標楷體" w:hAnsi="標楷體" w:cs="新細明體"/>
                <w:sz w:val="26"/>
                <w:szCs w:val="26"/>
              </w:rPr>
              <w:t>公會於官網</w:t>
            </w:r>
            <w:r w:rsidR="00717D2F" w:rsidRPr="002A7D5D">
              <w:rPr>
                <w:rFonts w:ascii="標楷體" w:eastAsia="標楷體" w:hAnsi="標楷體" w:cs="新細明體" w:hint="eastAsia"/>
                <w:sz w:val="26"/>
                <w:szCs w:val="26"/>
              </w:rPr>
              <w:t>建立之</w:t>
            </w:r>
            <w:r w:rsidRPr="002A7D5D">
              <w:rPr>
                <w:rFonts w:ascii="標楷體" w:eastAsia="標楷體" w:hAnsi="標楷體" w:cs="新細明體"/>
                <w:sz w:val="26"/>
                <w:szCs w:val="26"/>
              </w:rPr>
              <w:t>案例分享機制</w:t>
            </w:r>
            <w:r w:rsidR="00655948">
              <w:rPr>
                <w:rFonts w:ascii="標楷體" w:eastAsia="標楷體" w:hAnsi="標楷體" w:cs="新細明體" w:hint="eastAsia"/>
                <w:sz w:val="26"/>
                <w:szCs w:val="26"/>
              </w:rPr>
              <w:t>專區</w:t>
            </w:r>
            <w:r w:rsidRPr="002A7D5D">
              <w:rPr>
                <w:rFonts w:ascii="標楷體" w:eastAsia="標楷體" w:hAnsi="標楷體" w:cs="新細明體"/>
                <w:sz w:val="26"/>
                <w:szCs w:val="26"/>
              </w:rPr>
              <w:t>，係指案例分享內容不含證券商、客戶、財富管理業務人員等可識別之事項；專區揭露之內容不對外界公開，僅</w:t>
            </w:r>
            <w:r w:rsidR="000C0C15">
              <w:rPr>
                <w:rFonts w:ascii="標楷體" w:eastAsia="標楷體" w:hAnsi="標楷體" w:cs="新細明體" w:hint="eastAsia"/>
                <w:sz w:val="26"/>
                <w:szCs w:val="26"/>
              </w:rPr>
              <w:t>專</w:t>
            </w:r>
            <w:r w:rsidRPr="002A7D5D">
              <w:rPr>
                <w:rFonts w:ascii="標楷體" w:eastAsia="標楷體" w:hAnsi="標楷體" w:cs="新細明體"/>
                <w:sz w:val="26"/>
                <w:szCs w:val="26"/>
              </w:rPr>
              <w:t>供證券商瀏覽；各證券商應審慎控管內部使用單位及瀏覽權限。</w:t>
            </w:r>
          </w:p>
          <w:p w14:paraId="402049E4" w14:textId="0C9AAA8B" w:rsidR="0055184E" w:rsidRPr="002A7D5D" w:rsidRDefault="00534F25" w:rsidP="003978FB">
            <w:pPr>
              <w:spacing w:line="360" w:lineRule="exact"/>
              <w:rPr>
                <w:rFonts w:ascii="標楷體" w:eastAsia="標楷體" w:hAnsi="標楷體"/>
                <w:sz w:val="26"/>
                <w:szCs w:val="26"/>
              </w:rPr>
            </w:pPr>
            <w:r w:rsidRPr="002A7D5D">
              <w:rPr>
                <w:rFonts w:ascii="標楷體" w:eastAsia="標楷體" w:hAnsi="標楷體" w:cs="新細明體" w:hint="eastAsia"/>
                <w:sz w:val="26"/>
                <w:szCs w:val="26"/>
              </w:rPr>
              <w:t>四</w:t>
            </w:r>
            <w:r w:rsidR="005235AC" w:rsidRPr="002A7D5D">
              <w:rPr>
                <w:rFonts w:ascii="標楷體" w:eastAsia="標楷體" w:hAnsi="標楷體" w:cs="新細明體"/>
                <w:sz w:val="26"/>
                <w:szCs w:val="26"/>
              </w:rPr>
              <w:t>、第</w:t>
            </w:r>
            <w:r w:rsidR="003E0B3E" w:rsidRPr="002A7D5D">
              <w:rPr>
                <w:rFonts w:ascii="標楷體" w:eastAsia="標楷體" w:hAnsi="標楷體" w:cs="新細明體" w:hint="eastAsia"/>
                <w:sz w:val="26"/>
                <w:szCs w:val="26"/>
              </w:rPr>
              <w:t>二</w:t>
            </w:r>
            <w:r w:rsidR="005235AC" w:rsidRPr="002A7D5D">
              <w:rPr>
                <w:rFonts w:ascii="標楷體" w:eastAsia="標楷體" w:hAnsi="標楷體" w:cs="新細明體"/>
                <w:sz w:val="26"/>
                <w:szCs w:val="26"/>
              </w:rPr>
              <w:t>項明定</w:t>
            </w:r>
            <w:r w:rsidRPr="002A7D5D">
              <w:rPr>
                <w:rFonts w:ascii="標楷體" w:eastAsia="標楷體" w:hAnsi="標楷體" w:cs="新細明體"/>
                <w:sz w:val="26"/>
                <w:szCs w:val="26"/>
              </w:rPr>
              <w:t>證券商應將最近三年</w:t>
            </w:r>
            <w:r w:rsidR="00086619" w:rsidRPr="002A7D5D">
              <w:rPr>
                <w:rFonts w:ascii="標楷體" w:eastAsia="標楷體" w:hAnsi="標楷體" w:cs="新細明體" w:hint="eastAsia"/>
                <w:sz w:val="26"/>
                <w:szCs w:val="26"/>
              </w:rPr>
              <w:t>屬</w:t>
            </w:r>
            <w:r w:rsidR="00E438B8">
              <w:rPr>
                <w:rFonts w:ascii="標楷體" w:eastAsia="標楷體" w:hAnsi="標楷體" w:cs="新細明體" w:hint="eastAsia"/>
                <w:sz w:val="26"/>
                <w:szCs w:val="26"/>
              </w:rPr>
              <w:t>前項</w:t>
            </w:r>
            <w:r w:rsidR="00C85041">
              <w:rPr>
                <w:rFonts w:ascii="標楷體" w:eastAsia="標楷體" w:hAnsi="標楷體" w:hint="eastAsia"/>
                <w:sz w:val="26"/>
                <w:szCs w:val="26"/>
              </w:rPr>
              <w:t>性質之</w:t>
            </w:r>
            <w:r w:rsidR="00086619" w:rsidRPr="002A7D5D">
              <w:rPr>
                <w:rFonts w:ascii="標楷體" w:eastAsia="標楷體" w:hAnsi="標楷體"/>
                <w:sz w:val="26"/>
                <w:szCs w:val="26"/>
              </w:rPr>
              <w:t>裁罰案例</w:t>
            </w:r>
            <w:r w:rsidRPr="002A7D5D">
              <w:rPr>
                <w:rFonts w:ascii="標楷體" w:eastAsia="標楷體" w:hAnsi="標楷體" w:cs="新細明體"/>
                <w:sz w:val="26"/>
                <w:szCs w:val="26"/>
              </w:rPr>
              <w:t>之控制點疏漏列為內部稽核加強查核事項。</w:t>
            </w:r>
          </w:p>
        </w:tc>
      </w:tr>
    </w:tbl>
    <w:p w14:paraId="1C72F266" w14:textId="77777777" w:rsidR="0055184E" w:rsidRDefault="0055184E" w:rsidP="002A7D5D"/>
    <w:sectPr w:rsidR="0055184E">
      <w:footerReference w:type="default" r:id="rId8"/>
      <w:pgSz w:w="11906" w:h="16838"/>
      <w:pgMar w:top="1134" w:right="1134" w:bottom="1134" w:left="1134" w:header="0"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A3CA" w14:textId="77777777" w:rsidR="0091299C" w:rsidRDefault="0091299C">
      <w:r>
        <w:separator/>
      </w:r>
    </w:p>
  </w:endnote>
  <w:endnote w:type="continuationSeparator" w:id="0">
    <w:p w14:paraId="699153DB" w14:textId="77777777" w:rsidR="0091299C" w:rsidRDefault="0091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新細明體"/>
    <w:charset w:val="88"/>
    <w:family w:val="roman"/>
    <w:pitch w:val="variable"/>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336976"/>
      <w:docPartObj>
        <w:docPartGallery w:val="Page Numbers (Bottom of Page)"/>
        <w:docPartUnique/>
      </w:docPartObj>
    </w:sdtPr>
    <w:sdtEndPr/>
    <w:sdtContent>
      <w:p w14:paraId="0857E1DF" w14:textId="77777777" w:rsidR="0055184E" w:rsidRDefault="005235AC">
        <w:pPr>
          <w:pStyle w:val="ac"/>
          <w:jc w:val="center"/>
        </w:pPr>
        <w:r>
          <w:fldChar w:fldCharType="begin"/>
        </w:r>
        <w:r>
          <w:instrText>PAGE</w:instrText>
        </w:r>
        <w:r>
          <w:fldChar w:fldCharType="separate"/>
        </w:r>
        <w:r>
          <w:t>8</w:t>
        </w:r>
        <w:r>
          <w:fldChar w:fldCharType="end"/>
        </w:r>
      </w:p>
    </w:sdtContent>
  </w:sdt>
  <w:p w14:paraId="2E80DE7C" w14:textId="77777777" w:rsidR="0055184E" w:rsidRDefault="0055184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40B2" w14:textId="77777777" w:rsidR="0091299C" w:rsidRDefault="0091299C">
      <w:r>
        <w:separator/>
      </w:r>
    </w:p>
  </w:footnote>
  <w:footnote w:type="continuationSeparator" w:id="0">
    <w:p w14:paraId="73226644" w14:textId="77777777" w:rsidR="0091299C" w:rsidRDefault="00912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12583"/>
    <w:multiLevelType w:val="hybridMultilevel"/>
    <w:tmpl w:val="BBD67AD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B676C4"/>
    <w:multiLevelType w:val="multilevel"/>
    <w:tmpl w:val="28F24132"/>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3D4B1E86"/>
    <w:multiLevelType w:val="hybridMultilevel"/>
    <w:tmpl w:val="23E6B5C2"/>
    <w:lvl w:ilvl="0" w:tplc="7AD4849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EA290B"/>
    <w:multiLevelType w:val="multilevel"/>
    <w:tmpl w:val="97401A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B2517B7"/>
    <w:multiLevelType w:val="multilevel"/>
    <w:tmpl w:val="FA02A166"/>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4E"/>
    <w:rsid w:val="00042665"/>
    <w:rsid w:val="0004520D"/>
    <w:rsid w:val="00073776"/>
    <w:rsid w:val="00085214"/>
    <w:rsid w:val="00086619"/>
    <w:rsid w:val="000A2BAA"/>
    <w:rsid w:val="000C0C15"/>
    <w:rsid w:val="000D340F"/>
    <w:rsid w:val="00105564"/>
    <w:rsid w:val="00170B59"/>
    <w:rsid w:val="002070AB"/>
    <w:rsid w:val="0023507C"/>
    <w:rsid w:val="0025438D"/>
    <w:rsid w:val="002562B7"/>
    <w:rsid w:val="002A7D5D"/>
    <w:rsid w:val="002D5A12"/>
    <w:rsid w:val="0031629C"/>
    <w:rsid w:val="003311B5"/>
    <w:rsid w:val="00332369"/>
    <w:rsid w:val="0034010D"/>
    <w:rsid w:val="00395037"/>
    <w:rsid w:val="003978FB"/>
    <w:rsid w:val="003A6415"/>
    <w:rsid w:val="003D139F"/>
    <w:rsid w:val="003E0B3E"/>
    <w:rsid w:val="003F194B"/>
    <w:rsid w:val="003F60ED"/>
    <w:rsid w:val="0045286F"/>
    <w:rsid w:val="0046040E"/>
    <w:rsid w:val="00463E29"/>
    <w:rsid w:val="004652E1"/>
    <w:rsid w:val="004725DC"/>
    <w:rsid w:val="0049614E"/>
    <w:rsid w:val="004F4CBE"/>
    <w:rsid w:val="00506D53"/>
    <w:rsid w:val="005120BF"/>
    <w:rsid w:val="00521139"/>
    <w:rsid w:val="005235AC"/>
    <w:rsid w:val="00534F25"/>
    <w:rsid w:val="0055184E"/>
    <w:rsid w:val="005719E8"/>
    <w:rsid w:val="00596FC6"/>
    <w:rsid w:val="005A47E6"/>
    <w:rsid w:val="005B756E"/>
    <w:rsid w:val="00655948"/>
    <w:rsid w:val="00657289"/>
    <w:rsid w:val="00666C69"/>
    <w:rsid w:val="00673F5D"/>
    <w:rsid w:val="00681970"/>
    <w:rsid w:val="00695321"/>
    <w:rsid w:val="006F1510"/>
    <w:rsid w:val="006F6F26"/>
    <w:rsid w:val="00700103"/>
    <w:rsid w:val="0070187A"/>
    <w:rsid w:val="007145A4"/>
    <w:rsid w:val="00717D2F"/>
    <w:rsid w:val="007478D2"/>
    <w:rsid w:val="0075033C"/>
    <w:rsid w:val="007602E3"/>
    <w:rsid w:val="0076096C"/>
    <w:rsid w:val="007830B2"/>
    <w:rsid w:val="00787916"/>
    <w:rsid w:val="007B3123"/>
    <w:rsid w:val="008166EB"/>
    <w:rsid w:val="00841217"/>
    <w:rsid w:val="00842AFB"/>
    <w:rsid w:val="00844A5E"/>
    <w:rsid w:val="00847386"/>
    <w:rsid w:val="00861E4E"/>
    <w:rsid w:val="00865EE0"/>
    <w:rsid w:val="00885986"/>
    <w:rsid w:val="008969D0"/>
    <w:rsid w:val="0091299C"/>
    <w:rsid w:val="00916F7B"/>
    <w:rsid w:val="009354E6"/>
    <w:rsid w:val="00937AE0"/>
    <w:rsid w:val="00940E7B"/>
    <w:rsid w:val="0094594D"/>
    <w:rsid w:val="00946AA7"/>
    <w:rsid w:val="00955FEF"/>
    <w:rsid w:val="009805E8"/>
    <w:rsid w:val="00986DD9"/>
    <w:rsid w:val="00996452"/>
    <w:rsid w:val="009A6938"/>
    <w:rsid w:val="009E2DE3"/>
    <w:rsid w:val="00A00799"/>
    <w:rsid w:val="00A02231"/>
    <w:rsid w:val="00A53898"/>
    <w:rsid w:val="00A811E5"/>
    <w:rsid w:val="00A870A6"/>
    <w:rsid w:val="00A91EEE"/>
    <w:rsid w:val="00A96A24"/>
    <w:rsid w:val="00AB398C"/>
    <w:rsid w:val="00AF40B8"/>
    <w:rsid w:val="00B12DAB"/>
    <w:rsid w:val="00B1330D"/>
    <w:rsid w:val="00BA01C2"/>
    <w:rsid w:val="00BB0979"/>
    <w:rsid w:val="00BC50EB"/>
    <w:rsid w:val="00BF401E"/>
    <w:rsid w:val="00C039DB"/>
    <w:rsid w:val="00C05855"/>
    <w:rsid w:val="00C222E4"/>
    <w:rsid w:val="00C655A6"/>
    <w:rsid w:val="00C85041"/>
    <w:rsid w:val="00C90643"/>
    <w:rsid w:val="00C922B9"/>
    <w:rsid w:val="00CD4645"/>
    <w:rsid w:val="00CD46E3"/>
    <w:rsid w:val="00D23DE8"/>
    <w:rsid w:val="00D26C47"/>
    <w:rsid w:val="00D42989"/>
    <w:rsid w:val="00D43EC3"/>
    <w:rsid w:val="00D51899"/>
    <w:rsid w:val="00D51AF2"/>
    <w:rsid w:val="00D65CE5"/>
    <w:rsid w:val="00DF101F"/>
    <w:rsid w:val="00DF263A"/>
    <w:rsid w:val="00DF47D2"/>
    <w:rsid w:val="00E26098"/>
    <w:rsid w:val="00E304BA"/>
    <w:rsid w:val="00E321D6"/>
    <w:rsid w:val="00E438B8"/>
    <w:rsid w:val="00E56524"/>
    <w:rsid w:val="00EA2653"/>
    <w:rsid w:val="00EA4C32"/>
    <w:rsid w:val="00F44F97"/>
    <w:rsid w:val="00F50A00"/>
    <w:rsid w:val="00F80293"/>
    <w:rsid w:val="00FB62AA"/>
    <w:rsid w:val="00FD10DA"/>
    <w:rsid w:val="00FD153F"/>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87182"/>
  <w15:docId w15:val="{9F52A0A3-7D2D-4DCD-BE4C-B2395B34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F70"/>
    <w:pPr>
      <w:widowControl w:val="0"/>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820E48"/>
    <w:rPr>
      <w:rFonts w:ascii="Calibri" w:eastAsia="新細明體" w:hAnsi="Calibri" w:cs="Times New Roman"/>
      <w:sz w:val="20"/>
      <w:szCs w:val="20"/>
    </w:rPr>
  </w:style>
  <w:style w:type="character" w:customStyle="1" w:styleId="a4">
    <w:name w:val="頁尾 字元"/>
    <w:basedOn w:val="a0"/>
    <w:uiPriority w:val="99"/>
    <w:qFormat/>
    <w:rsid w:val="00820E48"/>
    <w:rPr>
      <w:rFonts w:ascii="Calibri" w:eastAsia="新細明體" w:hAnsi="Calibri" w:cs="Times New Roman"/>
      <w:sz w:val="20"/>
      <w:szCs w:val="20"/>
    </w:rPr>
  </w:style>
  <w:style w:type="character" w:customStyle="1" w:styleId="1">
    <w:name w:val="頁首 字元1"/>
    <w:basedOn w:val="a0"/>
    <w:link w:val="a5"/>
    <w:uiPriority w:val="99"/>
    <w:qFormat/>
    <w:rsid w:val="009B0A3D"/>
    <w:rPr>
      <w:rFonts w:cs="Times New Roman"/>
      <w:sz w:val="20"/>
      <w:szCs w:val="20"/>
    </w:rPr>
  </w:style>
  <w:style w:type="character" w:customStyle="1" w:styleId="10">
    <w:name w:val="頁尾 字元1"/>
    <w:basedOn w:val="a0"/>
    <w:uiPriority w:val="99"/>
    <w:semiHidden/>
    <w:qFormat/>
    <w:rsid w:val="009B0A3D"/>
    <w:rPr>
      <w:rFonts w:cs="Times New Roman"/>
      <w:sz w:val="20"/>
      <w:szCs w:val="20"/>
    </w:rPr>
  </w:style>
  <w:style w:type="paragraph" w:styleId="a6">
    <w:name w:val="Title"/>
    <w:basedOn w:val="a"/>
    <w:next w:val="a7"/>
    <w:qFormat/>
    <w:rsid w:val="002B00D2"/>
    <w:pPr>
      <w:keepNext/>
      <w:spacing w:before="240" w:after="120"/>
    </w:pPr>
    <w:rPr>
      <w:rFonts w:ascii="Liberation Sans" w:eastAsia="微軟正黑體" w:hAnsi="Liberation Sans" w:cs="Lucida Sans"/>
      <w:sz w:val="28"/>
      <w:szCs w:val="28"/>
    </w:rPr>
  </w:style>
  <w:style w:type="paragraph" w:styleId="a7">
    <w:name w:val="Body Text"/>
    <w:basedOn w:val="a"/>
    <w:rsid w:val="002B00D2"/>
    <w:pPr>
      <w:spacing w:after="140" w:line="276" w:lineRule="auto"/>
    </w:pPr>
  </w:style>
  <w:style w:type="paragraph" w:styleId="a8">
    <w:name w:val="List"/>
    <w:basedOn w:val="a7"/>
    <w:rsid w:val="002B00D2"/>
    <w:rPr>
      <w:rFonts w:cs="Lucida Sans"/>
    </w:rPr>
  </w:style>
  <w:style w:type="paragraph" w:customStyle="1" w:styleId="11">
    <w:name w:val="標號1"/>
    <w:basedOn w:val="a"/>
    <w:qFormat/>
    <w:rsid w:val="002B00D2"/>
    <w:pPr>
      <w:suppressLineNumbers/>
      <w:spacing w:before="120" w:after="120"/>
    </w:pPr>
    <w:rPr>
      <w:rFonts w:cs="Lucida Sans"/>
      <w:i/>
      <w:iCs/>
      <w:szCs w:val="24"/>
    </w:rPr>
  </w:style>
  <w:style w:type="paragraph" w:customStyle="1" w:styleId="a9">
    <w:name w:val="索引"/>
    <w:basedOn w:val="a"/>
    <w:qFormat/>
    <w:rsid w:val="002B00D2"/>
    <w:pPr>
      <w:suppressLineNumbers/>
    </w:pPr>
    <w:rPr>
      <w:rFonts w:cs="Lucida Sans"/>
    </w:rPr>
  </w:style>
  <w:style w:type="paragraph" w:styleId="aa">
    <w:name w:val="List Paragraph"/>
    <w:basedOn w:val="a"/>
    <w:uiPriority w:val="34"/>
    <w:qFormat/>
    <w:rsid w:val="00336F70"/>
    <w:pPr>
      <w:ind w:left="480"/>
    </w:pPr>
  </w:style>
  <w:style w:type="paragraph" w:customStyle="1" w:styleId="ab">
    <w:name w:val="頁首與頁尾"/>
    <w:basedOn w:val="a"/>
    <w:qFormat/>
    <w:rsid w:val="002B00D2"/>
  </w:style>
  <w:style w:type="paragraph" w:styleId="a5">
    <w:name w:val="header"/>
    <w:basedOn w:val="a"/>
    <w:link w:val="1"/>
    <w:uiPriority w:val="99"/>
    <w:unhideWhenUsed/>
    <w:rsid w:val="009B0A3D"/>
    <w:pPr>
      <w:tabs>
        <w:tab w:val="center" w:pos="4153"/>
        <w:tab w:val="right" w:pos="8306"/>
      </w:tabs>
      <w:snapToGrid w:val="0"/>
    </w:pPr>
    <w:rPr>
      <w:sz w:val="20"/>
      <w:szCs w:val="20"/>
    </w:rPr>
  </w:style>
  <w:style w:type="paragraph" w:styleId="ac">
    <w:name w:val="footer"/>
    <w:basedOn w:val="a"/>
    <w:uiPriority w:val="99"/>
    <w:unhideWhenUsed/>
    <w:rsid w:val="009B0A3D"/>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7096">
      <w:marLeft w:val="0"/>
      <w:marRight w:val="0"/>
      <w:marTop w:val="150"/>
      <w:marBottom w:val="0"/>
      <w:divBdr>
        <w:top w:val="none" w:sz="0" w:space="0" w:color="auto"/>
        <w:left w:val="none" w:sz="0" w:space="0" w:color="auto"/>
        <w:bottom w:val="none" w:sz="0" w:space="0" w:color="auto"/>
        <w:right w:val="none" w:sz="0" w:space="0" w:color="auto"/>
      </w:divBdr>
    </w:div>
    <w:div w:id="577908309">
      <w:marLeft w:val="0"/>
      <w:marRight w:val="0"/>
      <w:marTop w:val="0"/>
      <w:marBottom w:val="0"/>
      <w:divBdr>
        <w:top w:val="none" w:sz="0" w:space="0" w:color="auto"/>
        <w:left w:val="none" w:sz="0" w:space="0" w:color="auto"/>
        <w:bottom w:val="none" w:sz="0" w:space="0" w:color="auto"/>
        <w:right w:val="none" w:sz="0" w:space="0" w:color="auto"/>
      </w:divBdr>
      <w:divsChild>
        <w:div w:id="2010211366">
          <w:marLeft w:val="0"/>
          <w:marRight w:val="0"/>
          <w:marTop w:val="0"/>
          <w:marBottom w:val="0"/>
          <w:divBdr>
            <w:top w:val="none" w:sz="0" w:space="0" w:color="auto"/>
            <w:left w:val="none" w:sz="0" w:space="0" w:color="auto"/>
            <w:bottom w:val="none" w:sz="0" w:space="0" w:color="auto"/>
            <w:right w:val="none" w:sz="0" w:space="0" w:color="auto"/>
          </w:divBdr>
        </w:div>
      </w:divsChild>
    </w:div>
    <w:div w:id="1294947180">
      <w:marLeft w:val="75"/>
      <w:marRight w:val="75"/>
      <w:marTop w:val="75"/>
      <w:marBottom w:val="75"/>
      <w:divBdr>
        <w:top w:val="none" w:sz="0" w:space="0" w:color="auto"/>
        <w:left w:val="none" w:sz="0" w:space="0" w:color="auto"/>
        <w:bottom w:val="none" w:sz="0" w:space="0" w:color="auto"/>
        <w:right w:val="none" w:sz="0" w:space="0" w:color="auto"/>
      </w:divBdr>
      <w:divsChild>
        <w:div w:id="73860568">
          <w:marLeft w:val="0"/>
          <w:marRight w:val="0"/>
          <w:marTop w:val="0"/>
          <w:marBottom w:val="150"/>
          <w:divBdr>
            <w:top w:val="single" w:sz="6" w:space="8" w:color="E7E7E7"/>
            <w:left w:val="none" w:sz="0" w:space="0" w:color="auto"/>
            <w:bottom w:val="single" w:sz="6" w:space="8" w:color="E7E7E7"/>
            <w:right w:val="none" w:sz="0" w:space="0" w:color="auto"/>
          </w:divBdr>
        </w:div>
        <w:div w:id="2121680507">
          <w:marLeft w:val="75"/>
          <w:marRight w:val="75"/>
          <w:marTop w:val="75"/>
          <w:marBottom w:val="75"/>
          <w:divBdr>
            <w:top w:val="none" w:sz="0" w:space="0" w:color="auto"/>
            <w:left w:val="none" w:sz="0" w:space="0" w:color="auto"/>
            <w:bottom w:val="none" w:sz="0" w:space="0" w:color="auto"/>
            <w:right w:val="none" w:sz="0" w:space="0" w:color="auto"/>
          </w:divBdr>
          <w:divsChild>
            <w:div w:id="1100418082">
              <w:marLeft w:val="0"/>
              <w:marRight w:val="0"/>
              <w:marTop w:val="0"/>
              <w:marBottom w:val="0"/>
              <w:divBdr>
                <w:top w:val="none" w:sz="0" w:space="0" w:color="auto"/>
                <w:left w:val="none" w:sz="0" w:space="0" w:color="auto"/>
                <w:bottom w:val="none" w:sz="0" w:space="0" w:color="auto"/>
                <w:right w:val="none" w:sz="0" w:space="0" w:color="auto"/>
              </w:divBdr>
            </w:div>
          </w:divsChild>
        </w:div>
        <w:div w:id="1125393779">
          <w:marLeft w:val="75"/>
          <w:marRight w:val="75"/>
          <w:marTop w:val="75"/>
          <w:marBottom w:val="75"/>
          <w:divBdr>
            <w:top w:val="none" w:sz="0" w:space="0" w:color="auto"/>
            <w:left w:val="none" w:sz="0" w:space="0" w:color="auto"/>
            <w:bottom w:val="none" w:sz="0" w:space="0" w:color="auto"/>
            <w:right w:val="none" w:sz="0" w:space="0" w:color="auto"/>
          </w:divBdr>
          <w:divsChild>
            <w:div w:id="21212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A94C6-9528-4D23-AD0F-B368CEF1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龔姵禎</dc:creator>
  <dc:description/>
  <cp:lastModifiedBy>龔姵禎</cp:lastModifiedBy>
  <cp:revision>4</cp:revision>
  <cp:lastPrinted>2021-11-26T03:06:00Z</cp:lastPrinted>
  <dcterms:created xsi:type="dcterms:W3CDTF">2022-01-24T03:23:00Z</dcterms:created>
  <dcterms:modified xsi:type="dcterms:W3CDTF">2022-01-25T01:26:00Z</dcterms:modified>
  <dc:language>zh-TW</dc:language>
</cp:coreProperties>
</file>