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21B7C" w14:textId="77777777" w:rsidR="00460E36" w:rsidRPr="00E5344F" w:rsidRDefault="00460E36" w:rsidP="00E5344F">
      <w:pPr>
        <w:spacing w:beforeLines="50" w:before="180" w:after="50" w:line="400" w:lineRule="exact"/>
        <w:rPr>
          <w:rFonts w:eastAsia="標楷體"/>
          <w:b/>
          <w:bCs/>
          <w:sz w:val="32"/>
          <w:szCs w:val="32"/>
        </w:rPr>
      </w:pPr>
      <w:bookmarkStart w:id="0" w:name="_Hlk29219753"/>
      <w:r w:rsidRPr="00E5344F">
        <w:rPr>
          <w:rFonts w:eastAsia="標楷體" w:hint="eastAsia"/>
          <w:b/>
          <w:bCs/>
          <w:sz w:val="32"/>
          <w:szCs w:val="32"/>
        </w:rPr>
        <w:t>中華民國證券商業同業公會「證券商受託買賣外國有價證券管理辦法」修訂條文對照表草案</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3"/>
        <w:gridCol w:w="3213"/>
        <w:gridCol w:w="3213"/>
      </w:tblGrid>
      <w:tr w:rsidR="00460E36" w:rsidRPr="00E5344F" w14:paraId="5C99778F" w14:textId="77777777" w:rsidTr="008B625C">
        <w:trPr>
          <w:trHeight w:val="277"/>
          <w:tblHeader/>
        </w:trPr>
        <w:tc>
          <w:tcPr>
            <w:tcW w:w="3213" w:type="dxa"/>
            <w:vAlign w:val="center"/>
          </w:tcPr>
          <w:p w14:paraId="75C55509" w14:textId="77777777" w:rsidR="00460E36" w:rsidRPr="00E5344F" w:rsidRDefault="00460E36" w:rsidP="00E5344F">
            <w:pPr>
              <w:snapToGrid w:val="0"/>
              <w:spacing w:line="480" w:lineRule="exact"/>
              <w:ind w:rightChars="20" w:right="48"/>
              <w:jc w:val="center"/>
              <w:rPr>
                <w:rFonts w:ascii="標楷體" w:eastAsia="標楷體" w:hAnsi="標楷體"/>
                <w:sz w:val="28"/>
                <w:szCs w:val="28"/>
              </w:rPr>
            </w:pPr>
            <w:r w:rsidRPr="00E5344F">
              <w:rPr>
                <w:rFonts w:ascii="標楷體" w:eastAsia="標楷體" w:hAnsi="標楷體" w:hint="eastAsia"/>
                <w:sz w:val="28"/>
                <w:szCs w:val="28"/>
              </w:rPr>
              <w:t>修訂條文</w:t>
            </w:r>
          </w:p>
        </w:tc>
        <w:tc>
          <w:tcPr>
            <w:tcW w:w="3213" w:type="dxa"/>
            <w:vAlign w:val="center"/>
          </w:tcPr>
          <w:p w14:paraId="2E5C372D" w14:textId="77777777" w:rsidR="00460E36" w:rsidRPr="00E5344F" w:rsidRDefault="00460E36" w:rsidP="00E5344F">
            <w:pPr>
              <w:snapToGrid w:val="0"/>
              <w:spacing w:line="480" w:lineRule="exact"/>
              <w:ind w:rightChars="20" w:right="48"/>
              <w:jc w:val="center"/>
              <w:rPr>
                <w:rFonts w:ascii="標楷體" w:eastAsia="標楷體" w:hAnsi="標楷體"/>
                <w:sz w:val="28"/>
                <w:szCs w:val="28"/>
              </w:rPr>
            </w:pPr>
            <w:r w:rsidRPr="00E5344F">
              <w:rPr>
                <w:rFonts w:ascii="標楷體" w:eastAsia="標楷體" w:hAnsi="標楷體" w:hint="eastAsia"/>
                <w:sz w:val="28"/>
                <w:szCs w:val="28"/>
              </w:rPr>
              <w:t>現行條文</w:t>
            </w:r>
          </w:p>
        </w:tc>
        <w:tc>
          <w:tcPr>
            <w:tcW w:w="3213" w:type="dxa"/>
            <w:vAlign w:val="center"/>
          </w:tcPr>
          <w:p w14:paraId="22BD8B65" w14:textId="77777777" w:rsidR="00460E36" w:rsidRPr="00E5344F" w:rsidRDefault="00460E36" w:rsidP="00E5344F">
            <w:pPr>
              <w:snapToGrid w:val="0"/>
              <w:spacing w:line="480" w:lineRule="exact"/>
              <w:ind w:rightChars="20" w:right="48"/>
              <w:jc w:val="center"/>
              <w:rPr>
                <w:rFonts w:ascii="標楷體" w:eastAsia="標楷體" w:hAnsi="標楷體"/>
                <w:sz w:val="28"/>
                <w:szCs w:val="28"/>
              </w:rPr>
            </w:pPr>
            <w:r w:rsidRPr="00E5344F">
              <w:rPr>
                <w:rFonts w:ascii="標楷體" w:eastAsia="標楷體" w:hAnsi="標楷體" w:hint="eastAsia"/>
                <w:sz w:val="28"/>
                <w:szCs w:val="28"/>
              </w:rPr>
              <w:t>建議說明</w:t>
            </w:r>
          </w:p>
        </w:tc>
      </w:tr>
      <w:tr w:rsidR="00460E36" w:rsidRPr="00E5344F" w14:paraId="10026C88" w14:textId="77777777" w:rsidTr="008B625C">
        <w:tc>
          <w:tcPr>
            <w:tcW w:w="3213" w:type="dxa"/>
          </w:tcPr>
          <w:p w14:paraId="068C88F0"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第</w:t>
            </w:r>
            <w:r w:rsidRPr="00E5344F">
              <w:rPr>
                <w:rFonts w:eastAsia="標楷體" w:hint="eastAsia"/>
                <w:color w:val="333333"/>
                <w:kern w:val="0"/>
                <w:sz w:val="28"/>
                <w:szCs w:val="28"/>
              </w:rPr>
              <w:t>三</w:t>
            </w:r>
            <w:r w:rsidRPr="00E5344F">
              <w:rPr>
                <w:rFonts w:eastAsia="標楷體"/>
                <w:color w:val="333333"/>
                <w:kern w:val="0"/>
                <w:sz w:val="28"/>
                <w:szCs w:val="28"/>
              </w:rPr>
              <w:t>條</w:t>
            </w:r>
          </w:p>
          <w:p w14:paraId="586E0673" w14:textId="48041085"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本管理辦法所稱專業投資人、專業機構投資人、高淨值投資法人、</w:t>
            </w:r>
            <w:r w:rsidRPr="00E5344F">
              <w:rPr>
                <w:rFonts w:eastAsia="標楷體"/>
                <w:kern w:val="0"/>
                <w:sz w:val="28"/>
                <w:szCs w:val="28"/>
                <w:u w:val="single"/>
              </w:rPr>
              <w:t>高資產客戶</w:t>
            </w:r>
            <w:r w:rsidRPr="00E5344F">
              <w:rPr>
                <w:rFonts w:eastAsia="標楷體"/>
                <w:color w:val="333333"/>
                <w:kern w:val="0"/>
                <w:sz w:val="28"/>
                <w:szCs w:val="28"/>
              </w:rPr>
              <w:t>及非專業投資人，適用管理規則第三條</w:t>
            </w:r>
            <w:r w:rsidR="005850DD" w:rsidRPr="00E5344F">
              <w:rPr>
                <w:rFonts w:eastAsia="標楷體" w:hint="eastAsia"/>
                <w:color w:val="333333"/>
                <w:kern w:val="0"/>
                <w:sz w:val="28"/>
                <w:szCs w:val="28"/>
              </w:rPr>
              <w:t>及</w:t>
            </w:r>
            <w:r w:rsidR="005850DD" w:rsidRPr="00E5344F">
              <w:rPr>
                <w:rFonts w:eastAsia="標楷體" w:hint="eastAsia"/>
                <w:kern w:val="0"/>
                <w:sz w:val="28"/>
                <w:szCs w:val="28"/>
                <w:u w:val="single"/>
              </w:rPr>
              <w:t>第三條之一</w:t>
            </w:r>
            <w:r w:rsidRPr="00E5344F">
              <w:rPr>
                <w:rFonts w:eastAsia="標楷體"/>
                <w:color w:val="333333"/>
                <w:kern w:val="0"/>
                <w:sz w:val="28"/>
                <w:szCs w:val="28"/>
              </w:rPr>
              <w:t>規定。</w:t>
            </w:r>
          </w:p>
          <w:p w14:paraId="0FFA4A83" w14:textId="181C577A"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除專業機構投資人外，專業投資人得以書面向證券商申請變更為非專業投資人。但非專業投資人在未符合前項專業投資人之資格前，不得申請變更為專業投資人。</w:t>
            </w:r>
          </w:p>
          <w:p w14:paraId="10094A2D"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有關專業投資人應符合之資格條件，證券商應依法令規定盡合理調查責任，向委託人取得合理可信之佐證依據，並每年調查更新之。</w:t>
            </w:r>
          </w:p>
          <w:p w14:paraId="4F6F57DE" w14:textId="36976639" w:rsidR="00460E36" w:rsidRPr="00E5344F" w:rsidRDefault="00460E36" w:rsidP="00E5344F">
            <w:pPr>
              <w:spacing w:beforeLines="20" w:before="72" w:line="480" w:lineRule="exact"/>
              <w:jc w:val="both"/>
              <w:rPr>
                <w:rFonts w:eastAsia="標楷體"/>
                <w:kern w:val="0"/>
                <w:sz w:val="28"/>
                <w:szCs w:val="28"/>
                <w:u w:val="single"/>
              </w:rPr>
            </w:pPr>
            <w:r w:rsidRPr="00E5344F">
              <w:rPr>
                <w:rFonts w:eastAsia="標楷體"/>
                <w:kern w:val="0"/>
                <w:sz w:val="28"/>
                <w:szCs w:val="28"/>
                <w:u w:val="single"/>
              </w:rPr>
              <w:t>有關高資產客戶，證券商應依</w:t>
            </w:r>
            <w:r w:rsidRPr="00E5344F">
              <w:rPr>
                <w:rFonts w:eastAsia="標楷體" w:hint="eastAsia"/>
                <w:kern w:val="0"/>
                <w:sz w:val="28"/>
                <w:szCs w:val="28"/>
                <w:u w:val="single"/>
              </w:rPr>
              <w:t>相關規定</w:t>
            </w:r>
            <w:r w:rsidRPr="00E5344F">
              <w:rPr>
                <w:rFonts w:eastAsia="標楷體"/>
                <w:kern w:val="0"/>
                <w:sz w:val="28"/>
                <w:szCs w:val="28"/>
                <w:u w:val="single"/>
              </w:rPr>
              <w:t>，至少每二年辦理一次</w:t>
            </w:r>
            <w:r w:rsidRPr="00E5344F">
              <w:rPr>
                <w:rFonts w:eastAsia="標楷體" w:hint="eastAsia"/>
                <w:kern w:val="0"/>
                <w:sz w:val="28"/>
                <w:szCs w:val="28"/>
                <w:u w:val="single"/>
              </w:rPr>
              <w:t>調查</w:t>
            </w:r>
            <w:r w:rsidRPr="00E5344F">
              <w:rPr>
                <w:rFonts w:eastAsia="標楷體"/>
                <w:kern w:val="0"/>
                <w:sz w:val="28"/>
                <w:szCs w:val="28"/>
                <w:u w:val="single"/>
              </w:rPr>
              <w:t>，檢視客戶續符合該資格條件。</w:t>
            </w:r>
            <w:r w:rsidR="00B91F71" w:rsidRPr="00E5344F">
              <w:rPr>
                <w:rFonts w:eastAsia="標楷體" w:hint="eastAsia"/>
                <w:kern w:val="0"/>
                <w:sz w:val="28"/>
                <w:szCs w:val="28"/>
                <w:u w:val="single"/>
              </w:rPr>
              <w:t>高資產客戶得以書面向證券</w:t>
            </w:r>
            <w:r w:rsidR="00B91F71" w:rsidRPr="00E5344F">
              <w:rPr>
                <w:rFonts w:eastAsia="標楷體" w:hint="eastAsia"/>
                <w:kern w:val="0"/>
                <w:sz w:val="28"/>
                <w:szCs w:val="28"/>
                <w:u w:val="single"/>
              </w:rPr>
              <w:lastRenderedPageBreak/>
              <w:t>商申請終止該高資產客戶身分。</w:t>
            </w:r>
          </w:p>
          <w:p w14:paraId="7D8AD056" w14:textId="5F751341" w:rsidR="00E130B4" w:rsidRPr="00E5344F" w:rsidRDefault="00460E36" w:rsidP="00E5344F">
            <w:pPr>
              <w:spacing w:beforeLines="20" w:before="72" w:line="480" w:lineRule="exact"/>
              <w:jc w:val="both"/>
              <w:rPr>
                <w:rFonts w:ascii="Times New Roman" w:eastAsia="標楷體" w:hAnsi="Times New Roman"/>
                <w:sz w:val="28"/>
                <w:szCs w:val="28"/>
                <w:u w:val="single"/>
              </w:rPr>
            </w:pPr>
            <w:r w:rsidRPr="00E5344F">
              <w:rPr>
                <w:rFonts w:eastAsia="標楷體"/>
                <w:color w:val="333333"/>
                <w:kern w:val="0"/>
                <w:sz w:val="28"/>
                <w:szCs w:val="28"/>
              </w:rPr>
              <w:t>證券商針對專業投資人</w:t>
            </w:r>
            <w:r w:rsidRPr="00E5344F">
              <w:rPr>
                <w:rFonts w:eastAsia="標楷體" w:hint="eastAsia"/>
                <w:kern w:val="0"/>
                <w:sz w:val="28"/>
                <w:szCs w:val="28"/>
                <w:u w:val="single"/>
              </w:rPr>
              <w:t>及</w:t>
            </w:r>
            <w:r w:rsidRPr="00E5344F">
              <w:rPr>
                <w:rFonts w:eastAsia="標楷體"/>
                <w:kern w:val="0"/>
                <w:sz w:val="28"/>
                <w:szCs w:val="28"/>
                <w:u w:val="single"/>
              </w:rPr>
              <w:t>高資產客戶</w:t>
            </w:r>
            <w:r w:rsidRPr="00E5344F">
              <w:rPr>
                <w:rFonts w:eastAsia="標楷體"/>
                <w:color w:val="333333"/>
                <w:kern w:val="0"/>
                <w:sz w:val="28"/>
                <w:szCs w:val="28"/>
              </w:rPr>
              <w:t>具備充分金融商品專業知識、交易經驗之評估方式，應納入瞭解客戶制度並報經董事會通過。但外國證券商在中華民國設置分支機構無董事會者，由中華民國境內負責人同意。</w:t>
            </w:r>
          </w:p>
        </w:tc>
        <w:tc>
          <w:tcPr>
            <w:tcW w:w="3213" w:type="dxa"/>
          </w:tcPr>
          <w:p w14:paraId="51677AA3"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lastRenderedPageBreak/>
              <w:t>第</w:t>
            </w:r>
            <w:r w:rsidRPr="00E5344F">
              <w:rPr>
                <w:rFonts w:eastAsia="標楷體" w:hint="eastAsia"/>
                <w:color w:val="333333"/>
                <w:kern w:val="0"/>
                <w:sz w:val="28"/>
                <w:szCs w:val="28"/>
              </w:rPr>
              <w:t>三</w:t>
            </w:r>
            <w:r w:rsidRPr="00E5344F">
              <w:rPr>
                <w:rFonts w:eastAsia="標楷體"/>
                <w:color w:val="333333"/>
                <w:kern w:val="0"/>
                <w:sz w:val="28"/>
                <w:szCs w:val="28"/>
              </w:rPr>
              <w:t>條</w:t>
            </w:r>
          </w:p>
          <w:p w14:paraId="09D8A1C0"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本管理辦法所稱專業投資人、專業機構投資人、高淨值投資法人及非專業投資人，適用管理規則第三條之規定。</w:t>
            </w:r>
          </w:p>
          <w:p w14:paraId="56C1F0C1"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除專業機構投資人外，專業投資人得以書面向證券商申請變更為非專業投資人。但非專業投資人在未符合前項專業投資人之資格前，不得申請變更為專業投資人。</w:t>
            </w:r>
          </w:p>
          <w:p w14:paraId="693E0A2E"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有關專業投資人應符合之資格條件，證券商應依法令規定盡合理調查責任，向委託人取得合理可信之佐證依據，並每年調查更新之。證券商針對專業投資人具備充分金融商品專業知識、交易經驗之評估方式，應納入瞭解客戶制度並報經董事會通過。但外國證券商在中華民國設置分支機構無董事會者，</w:t>
            </w:r>
            <w:r w:rsidRPr="00E5344F">
              <w:rPr>
                <w:rFonts w:eastAsia="標楷體"/>
                <w:color w:val="333333"/>
                <w:kern w:val="0"/>
                <w:sz w:val="28"/>
                <w:szCs w:val="28"/>
              </w:rPr>
              <w:lastRenderedPageBreak/>
              <w:t>由中華民國境內負責人同意。</w:t>
            </w:r>
          </w:p>
          <w:p w14:paraId="0C198066" w14:textId="77777777" w:rsidR="00460E36" w:rsidRPr="00E5344F" w:rsidRDefault="00460E36" w:rsidP="00E5344F">
            <w:pPr>
              <w:spacing w:beforeLines="20" w:before="72" w:line="480" w:lineRule="exact"/>
              <w:jc w:val="both"/>
              <w:rPr>
                <w:rFonts w:eastAsia="標楷體"/>
                <w:color w:val="000000"/>
                <w:sz w:val="28"/>
                <w:szCs w:val="28"/>
              </w:rPr>
            </w:pPr>
          </w:p>
        </w:tc>
        <w:tc>
          <w:tcPr>
            <w:tcW w:w="3213" w:type="dxa"/>
          </w:tcPr>
          <w:p w14:paraId="495F7BEE" w14:textId="453BD284" w:rsidR="00460E36" w:rsidRPr="00E5344F" w:rsidRDefault="00460E36" w:rsidP="00E5344F">
            <w:pPr>
              <w:spacing w:beforeLines="20" w:before="72" w:line="480" w:lineRule="exact"/>
              <w:ind w:left="560" w:hangingChars="200" w:hanging="560"/>
              <w:jc w:val="both"/>
              <w:rPr>
                <w:rFonts w:eastAsia="標楷體"/>
                <w:color w:val="333333"/>
                <w:kern w:val="0"/>
                <w:sz w:val="28"/>
                <w:szCs w:val="28"/>
              </w:rPr>
            </w:pPr>
            <w:r w:rsidRPr="00E5344F">
              <w:rPr>
                <w:rFonts w:eastAsia="標楷體"/>
                <w:color w:val="333333"/>
                <w:kern w:val="0"/>
                <w:sz w:val="28"/>
                <w:szCs w:val="28"/>
              </w:rPr>
              <w:lastRenderedPageBreak/>
              <w:t>一、</w:t>
            </w:r>
            <w:r w:rsidR="00687B6F" w:rsidRPr="00E5344F">
              <w:rPr>
                <w:rFonts w:eastAsia="標楷體" w:hint="eastAsia"/>
                <w:color w:val="333333"/>
                <w:kern w:val="0"/>
                <w:sz w:val="28"/>
                <w:szCs w:val="28"/>
              </w:rPr>
              <w:t>配合</w:t>
            </w:r>
            <w:r w:rsidR="007274CD" w:rsidRPr="00E5344F">
              <w:rPr>
                <w:rFonts w:eastAsia="標楷體" w:hint="eastAsia"/>
                <w:color w:val="333333"/>
                <w:kern w:val="0"/>
                <w:sz w:val="28"/>
                <w:szCs w:val="28"/>
              </w:rPr>
              <w:t>證券商受託買賣外國有價證券管理規則第三條之一修</w:t>
            </w:r>
            <w:r w:rsidR="00687B6F" w:rsidRPr="00E5344F">
              <w:rPr>
                <w:rFonts w:eastAsia="標楷體" w:hint="eastAsia"/>
                <w:color w:val="333333"/>
                <w:kern w:val="0"/>
                <w:sz w:val="28"/>
                <w:szCs w:val="28"/>
              </w:rPr>
              <w:t>訂</w:t>
            </w:r>
            <w:r w:rsidR="007274CD" w:rsidRPr="00E5344F">
              <w:rPr>
                <w:rFonts w:eastAsia="標楷體" w:hint="eastAsia"/>
                <w:color w:val="333333"/>
                <w:kern w:val="0"/>
                <w:sz w:val="28"/>
                <w:szCs w:val="28"/>
              </w:rPr>
              <w:t>，增訂高資產客戶相關規定</w:t>
            </w:r>
            <w:r w:rsidRPr="00E5344F">
              <w:rPr>
                <w:rFonts w:eastAsia="標楷體"/>
                <w:color w:val="333333"/>
                <w:kern w:val="0"/>
                <w:sz w:val="28"/>
                <w:szCs w:val="28"/>
              </w:rPr>
              <w:t>。</w:t>
            </w:r>
          </w:p>
          <w:p w14:paraId="25C04E5A" w14:textId="47B1635E" w:rsidR="007274CD" w:rsidRPr="00E5344F" w:rsidRDefault="00460E36" w:rsidP="00E5344F">
            <w:pPr>
              <w:spacing w:beforeLines="20" w:before="72" w:line="480" w:lineRule="exact"/>
              <w:ind w:left="560" w:hangingChars="200" w:hanging="560"/>
              <w:jc w:val="both"/>
              <w:rPr>
                <w:rFonts w:eastAsia="標楷體"/>
                <w:color w:val="333333"/>
                <w:kern w:val="0"/>
                <w:sz w:val="28"/>
                <w:szCs w:val="28"/>
              </w:rPr>
            </w:pPr>
            <w:r w:rsidRPr="00E5344F">
              <w:rPr>
                <w:rFonts w:eastAsia="標楷體"/>
                <w:color w:val="333333"/>
                <w:kern w:val="0"/>
                <w:sz w:val="28"/>
                <w:szCs w:val="28"/>
              </w:rPr>
              <w:t>二、</w:t>
            </w:r>
            <w:r w:rsidR="00687B6F" w:rsidRPr="00E5344F">
              <w:rPr>
                <w:rFonts w:eastAsia="標楷體" w:hint="eastAsia"/>
                <w:color w:val="333333"/>
                <w:kern w:val="0"/>
                <w:sz w:val="28"/>
                <w:szCs w:val="28"/>
              </w:rPr>
              <w:t>增</w:t>
            </w:r>
            <w:r w:rsidR="005E438E" w:rsidRPr="00E5344F">
              <w:rPr>
                <w:rFonts w:eastAsia="標楷體" w:hint="eastAsia"/>
                <w:color w:val="333333"/>
                <w:kern w:val="0"/>
                <w:sz w:val="28"/>
                <w:szCs w:val="28"/>
              </w:rPr>
              <w:t>訂</w:t>
            </w:r>
            <w:r w:rsidR="00B91F71" w:rsidRPr="00E5344F">
              <w:rPr>
                <w:rFonts w:eastAsia="標楷體" w:hint="eastAsia"/>
                <w:color w:val="333333"/>
                <w:kern w:val="0"/>
                <w:sz w:val="28"/>
                <w:szCs w:val="28"/>
              </w:rPr>
              <w:t>本條</w:t>
            </w:r>
            <w:r w:rsidRPr="00E5344F">
              <w:rPr>
                <w:rFonts w:eastAsia="標楷體"/>
                <w:color w:val="333333"/>
                <w:kern w:val="0"/>
                <w:sz w:val="28"/>
                <w:szCs w:val="28"/>
              </w:rPr>
              <w:t>第</w:t>
            </w:r>
            <w:r w:rsidR="00B91F71" w:rsidRPr="00E5344F">
              <w:rPr>
                <w:rFonts w:eastAsia="標楷體" w:hint="eastAsia"/>
                <w:color w:val="333333"/>
                <w:kern w:val="0"/>
                <w:sz w:val="28"/>
                <w:szCs w:val="28"/>
              </w:rPr>
              <w:t>四</w:t>
            </w:r>
            <w:r w:rsidRPr="00E5344F">
              <w:rPr>
                <w:rFonts w:eastAsia="標楷體"/>
                <w:color w:val="333333"/>
                <w:kern w:val="0"/>
                <w:sz w:val="28"/>
                <w:szCs w:val="28"/>
              </w:rPr>
              <w:t>項</w:t>
            </w:r>
            <w:r w:rsidR="005E438E" w:rsidRPr="00E5344F">
              <w:rPr>
                <w:rFonts w:ascii="細明體" w:eastAsia="細明體" w:hAnsi="細明體" w:hint="eastAsia"/>
                <w:color w:val="333333"/>
                <w:kern w:val="0"/>
                <w:sz w:val="28"/>
                <w:szCs w:val="28"/>
              </w:rPr>
              <w:t>：</w:t>
            </w:r>
            <w:r w:rsidRPr="00E5344F">
              <w:rPr>
                <w:rFonts w:eastAsia="標楷體"/>
                <w:color w:val="333333"/>
                <w:kern w:val="0"/>
                <w:sz w:val="28"/>
                <w:szCs w:val="28"/>
              </w:rPr>
              <w:t>明定證券商應至少每二年辦理一次覆審程序。</w:t>
            </w:r>
            <w:r w:rsidR="000B26ED" w:rsidRPr="00E5344F">
              <w:rPr>
                <w:rFonts w:eastAsia="標楷體" w:hint="eastAsia"/>
                <w:color w:val="333333"/>
                <w:kern w:val="0"/>
                <w:sz w:val="28"/>
                <w:szCs w:val="28"/>
              </w:rPr>
              <w:t>並</w:t>
            </w:r>
            <w:r w:rsidR="007274CD" w:rsidRPr="00E5344F">
              <w:rPr>
                <w:rFonts w:eastAsia="標楷體" w:hint="eastAsia"/>
                <w:color w:val="333333"/>
                <w:kern w:val="0"/>
                <w:sz w:val="28"/>
                <w:szCs w:val="28"/>
              </w:rPr>
              <w:t>明定高資產客戶得以書面向證券商申請終止該高資產客戶身分。</w:t>
            </w:r>
          </w:p>
          <w:p w14:paraId="6F22401C" w14:textId="1C120F18" w:rsidR="00B91F71" w:rsidRPr="00E5344F" w:rsidRDefault="00B91F71" w:rsidP="00E5344F">
            <w:pPr>
              <w:spacing w:beforeLines="20" w:before="72" w:line="480" w:lineRule="exact"/>
              <w:ind w:left="560" w:hangingChars="200" w:hanging="560"/>
              <w:jc w:val="both"/>
              <w:rPr>
                <w:rFonts w:eastAsia="標楷體"/>
                <w:color w:val="333333"/>
                <w:kern w:val="0"/>
                <w:sz w:val="28"/>
                <w:szCs w:val="28"/>
              </w:rPr>
            </w:pPr>
            <w:r w:rsidRPr="00E5344F">
              <w:rPr>
                <w:rFonts w:eastAsia="標楷體" w:hint="eastAsia"/>
                <w:color w:val="333333"/>
                <w:kern w:val="0"/>
                <w:sz w:val="28"/>
                <w:szCs w:val="28"/>
              </w:rPr>
              <w:t>三、其餘項次依序調整。</w:t>
            </w:r>
          </w:p>
        </w:tc>
      </w:tr>
      <w:tr w:rsidR="00460E36" w:rsidRPr="00E5344F" w14:paraId="52375B91" w14:textId="77777777" w:rsidTr="008B625C">
        <w:tc>
          <w:tcPr>
            <w:tcW w:w="3213" w:type="dxa"/>
          </w:tcPr>
          <w:p w14:paraId="480A68B6"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color w:val="333333"/>
                <w:kern w:val="0"/>
                <w:sz w:val="28"/>
                <w:szCs w:val="28"/>
              </w:rPr>
              <w:t>第</w:t>
            </w:r>
            <w:r w:rsidRPr="00E5344F">
              <w:rPr>
                <w:rFonts w:eastAsia="標楷體" w:hint="eastAsia"/>
                <w:color w:val="333333"/>
                <w:kern w:val="0"/>
                <w:sz w:val="28"/>
                <w:szCs w:val="28"/>
              </w:rPr>
              <w:t>二十三</w:t>
            </w:r>
            <w:r w:rsidRPr="00E5344F">
              <w:rPr>
                <w:rFonts w:eastAsia="標楷體"/>
                <w:color w:val="333333"/>
                <w:kern w:val="0"/>
                <w:sz w:val="28"/>
                <w:szCs w:val="28"/>
              </w:rPr>
              <w:t>條之</w:t>
            </w:r>
            <w:r w:rsidRPr="00E5344F">
              <w:rPr>
                <w:rFonts w:eastAsia="標楷體" w:hint="eastAsia"/>
                <w:color w:val="333333"/>
                <w:kern w:val="0"/>
                <w:sz w:val="28"/>
                <w:szCs w:val="28"/>
              </w:rPr>
              <w:t>二</w:t>
            </w:r>
          </w:p>
          <w:p w14:paraId="525FD6A6" w14:textId="0ED9AF63" w:rsidR="00460E36" w:rsidRPr="00E5344F" w:rsidRDefault="00460E36" w:rsidP="00E5344F">
            <w:pPr>
              <w:spacing w:beforeLines="20" w:before="72" w:line="480" w:lineRule="exact"/>
              <w:jc w:val="both"/>
              <w:rPr>
                <w:rFonts w:eastAsia="標楷體"/>
                <w:kern w:val="0"/>
                <w:sz w:val="28"/>
                <w:szCs w:val="28"/>
                <w:u w:val="single"/>
              </w:rPr>
            </w:pPr>
            <w:r w:rsidRPr="00E5344F">
              <w:rPr>
                <w:rFonts w:eastAsia="標楷體"/>
                <w:kern w:val="0"/>
                <w:sz w:val="28"/>
                <w:szCs w:val="28"/>
                <w:u w:val="single"/>
              </w:rPr>
              <w:t>證券商受託買進</w:t>
            </w:r>
            <w:r w:rsidRPr="00E5344F">
              <w:rPr>
                <w:rFonts w:eastAsia="標楷體" w:hint="eastAsia"/>
                <w:kern w:val="0"/>
                <w:sz w:val="28"/>
                <w:szCs w:val="28"/>
                <w:u w:val="single"/>
              </w:rPr>
              <w:t>具損失吸收能力債券</w:t>
            </w:r>
            <w:r w:rsidRPr="00E5344F">
              <w:rPr>
                <w:rFonts w:eastAsia="標楷體"/>
                <w:kern w:val="0"/>
                <w:sz w:val="28"/>
                <w:szCs w:val="28"/>
                <w:u w:val="single"/>
              </w:rPr>
              <w:t>(TLAC)</w:t>
            </w:r>
            <w:r w:rsidRPr="00E5344F">
              <w:rPr>
                <w:rFonts w:eastAsia="標楷體" w:hint="eastAsia"/>
                <w:kern w:val="0"/>
                <w:sz w:val="28"/>
                <w:szCs w:val="28"/>
                <w:u w:val="single"/>
              </w:rPr>
              <w:t>、無信用評等或信用評等未達主管機關認可之信用評等機構評等達一定等級以上之外國債券</w:t>
            </w:r>
            <w:r w:rsidRPr="00E5344F">
              <w:rPr>
                <w:rFonts w:eastAsia="標楷體"/>
                <w:kern w:val="0"/>
                <w:sz w:val="28"/>
                <w:szCs w:val="28"/>
                <w:u w:val="single"/>
              </w:rPr>
              <w:t>，</w:t>
            </w:r>
            <w:r w:rsidRPr="00E5344F">
              <w:rPr>
                <w:rFonts w:eastAsia="標楷體" w:hint="eastAsia"/>
                <w:kern w:val="0"/>
                <w:sz w:val="28"/>
                <w:szCs w:val="28"/>
                <w:u w:val="single"/>
              </w:rPr>
              <w:t>銷售對象應</w:t>
            </w:r>
            <w:r w:rsidR="002148F0" w:rsidRPr="00E5344F">
              <w:rPr>
                <w:rFonts w:eastAsia="標楷體" w:hint="eastAsia"/>
                <w:kern w:val="0"/>
                <w:sz w:val="28"/>
                <w:szCs w:val="28"/>
                <w:u w:val="single"/>
              </w:rPr>
              <w:t>依</w:t>
            </w:r>
            <w:r w:rsidRPr="00E5344F">
              <w:rPr>
                <w:rFonts w:eastAsia="標楷體" w:hint="eastAsia"/>
                <w:kern w:val="0"/>
                <w:sz w:val="28"/>
                <w:szCs w:val="28"/>
                <w:u w:val="single"/>
              </w:rPr>
              <w:t>主管機關</w:t>
            </w:r>
            <w:r w:rsidR="002148F0" w:rsidRPr="00E5344F">
              <w:rPr>
                <w:rFonts w:eastAsia="標楷體" w:hint="eastAsia"/>
                <w:kern w:val="0"/>
                <w:sz w:val="28"/>
                <w:szCs w:val="28"/>
                <w:u w:val="single"/>
              </w:rPr>
              <w:t>規定</w:t>
            </w:r>
            <w:r w:rsidRPr="00E5344F">
              <w:rPr>
                <w:rFonts w:eastAsia="標楷體" w:hint="eastAsia"/>
                <w:kern w:val="0"/>
                <w:sz w:val="28"/>
                <w:szCs w:val="28"/>
                <w:u w:val="single"/>
              </w:rPr>
              <w:t>，</w:t>
            </w:r>
            <w:r w:rsidR="00B02FA5" w:rsidRPr="00E5344F">
              <w:rPr>
                <w:rFonts w:eastAsia="標楷體" w:hint="eastAsia"/>
                <w:kern w:val="0"/>
                <w:sz w:val="28"/>
                <w:szCs w:val="28"/>
                <w:u w:val="single"/>
              </w:rPr>
              <w:t>且</w:t>
            </w:r>
            <w:r w:rsidRPr="00E5344F">
              <w:rPr>
                <w:rFonts w:eastAsia="標楷體"/>
                <w:kern w:val="0"/>
                <w:sz w:val="28"/>
                <w:szCs w:val="28"/>
                <w:u w:val="single"/>
              </w:rPr>
              <w:t>應向非屬專業機構投資人之委託人預收款項並匯入證券商專戶，或先辦理圈存款項，始得受託買進</w:t>
            </w:r>
            <w:r w:rsidRPr="00E5344F">
              <w:rPr>
                <w:rFonts w:eastAsia="標楷體" w:hint="eastAsia"/>
                <w:kern w:val="0"/>
                <w:sz w:val="28"/>
                <w:szCs w:val="28"/>
                <w:u w:val="single"/>
              </w:rPr>
              <w:t>。</w:t>
            </w:r>
          </w:p>
          <w:p w14:paraId="41BA718D" w14:textId="7B3DE6FC" w:rsidR="00460E36" w:rsidRPr="00E5344F" w:rsidRDefault="00460E36" w:rsidP="00E5344F">
            <w:pPr>
              <w:spacing w:beforeLines="20" w:before="72" w:line="480" w:lineRule="exact"/>
              <w:jc w:val="both"/>
              <w:rPr>
                <w:rFonts w:eastAsia="標楷體"/>
                <w:kern w:val="0"/>
                <w:sz w:val="28"/>
                <w:szCs w:val="28"/>
                <w:u w:val="single"/>
              </w:rPr>
            </w:pPr>
            <w:r w:rsidRPr="00E5344F">
              <w:rPr>
                <w:rFonts w:eastAsia="標楷體" w:hint="eastAsia"/>
                <w:kern w:val="0"/>
                <w:sz w:val="28"/>
                <w:szCs w:val="28"/>
                <w:u w:val="single"/>
              </w:rPr>
              <w:t>證券商受託買進具損失吸收能力債券</w:t>
            </w:r>
            <w:r w:rsidRPr="00E5344F">
              <w:rPr>
                <w:rFonts w:eastAsia="標楷體" w:hint="eastAsia"/>
                <w:kern w:val="0"/>
                <w:sz w:val="28"/>
                <w:szCs w:val="28"/>
                <w:u w:val="single"/>
              </w:rPr>
              <w:t>(TLAC)</w:t>
            </w:r>
            <w:r w:rsidRPr="00E5344F">
              <w:rPr>
                <w:rFonts w:eastAsia="標楷體" w:hint="eastAsia"/>
                <w:kern w:val="0"/>
                <w:sz w:val="28"/>
                <w:szCs w:val="28"/>
                <w:u w:val="single"/>
              </w:rPr>
              <w:t>、</w:t>
            </w:r>
            <w:r w:rsidR="00886DEC" w:rsidRPr="00E5344F">
              <w:rPr>
                <w:rFonts w:eastAsia="標楷體" w:hint="eastAsia"/>
                <w:kern w:val="0"/>
                <w:sz w:val="28"/>
                <w:szCs w:val="28"/>
                <w:u w:val="single"/>
              </w:rPr>
              <w:t>無信用評等或信用評等未達主管機關認可之信用評等機構評等達一定等級以上之外</w:t>
            </w:r>
            <w:r w:rsidR="00886DEC" w:rsidRPr="00E5344F">
              <w:rPr>
                <w:rFonts w:eastAsia="標楷體" w:hint="eastAsia"/>
                <w:kern w:val="0"/>
                <w:sz w:val="28"/>
                <w:szCs w:val="28"/>
                <w:u w:val="single"/>
              </w:rPr>
              <w:lastRenderedPageBreak/>
              <w:t>國債券</w:t>
            </w:r>
            <w:r w:rsidRPr="00E5344F">
              <w:rPr>
                <w:rFonts w:eastAsia="標楷體" w:hint="eastAsia"/>
                <w:kern w:val="0"/>
                <w:sz w:val="28"/>
                <w:szCs w:val="28"/>
                <w:u w:val="single"/>
              </w:rPr>
              <w:t>，應由投資人於初次交易時簽具風險預告書，或每次受託買進時揭露投資風險</w:t>
            </w:r>
            <w:r w:rsidR="00E130B4" w:rsidRPr="00E5344F">
              <w:rPr>
                <w:rFonts w:eastAsia="標楷體" w:hint="eastAsia"/>
                <w:kern w:val="0"/>
                <w:sz w:val="28"/>
                <w:szCs w:val="28"/>
                <w:u w:val="single"/>
              </w:rPr>
              <w:t>並</w:t>
            </w:r>
            <w:r w:rsidRPr="00E5344F">
              <w:rPr>
                <w:rFonts w:eastAsia="標楷體" w:hint="eastAsia"/>
                <w:kern w:val="0"/>
                <w:sz w:val="28"/>
                <w:szCs w:val="28"/>
                <w:u w:val="single"/>
              </w:rPr>
              <w:t>留存紀錄</w:t>
            </w:r>
            <w:r w:rsidR="00E130B4" w:rsidRPr="00E5344F">
              <w:rPr>
                <w:rFonts w:eastAsia="標楷體" w:hint="eastAsia"/>
                <w:kern w:val="0"/>
                <w:sz w:val="28"/>
                <w:szCs w:val="28"/>
                <w:u w:val="single"/>
              </w:rPr>
              <w:t>且至少保存五年</w:t>
            </w:r>
            <w:r w:rsidRPr="00E5344F">
              <w:rPr>
                <w:rFonts w:eastAsia="標楷體" w:hint="eastAsia"/>
                <w:kern w:val="0"/>
                <w:sz w:val="28"/>
                <w:szCs w:val="28"/>
                <w:u w:val="single"/>
              </w:rPr>
              <w:t>，並於</w:t>
            </w:r>
            <w:r w:rsidRPr="00E5344F">
              <w:rPr>
                <w:rFonts w:eastAsia="標楷體"/>
                <w:kern w:val="0"/>
                <w:sz w:val="28"/>
                <w:szCs w:val="28"/>
                <w:u w:val="single"/>
              </w:rPr>
              <w:t>每月對帳單揭露投資風險。</w:t>
            </w:r>
          </w:p>
          <w:p w14:paraId="28A3007F" w14:textId="77777777" w:rsidR="00460E36" w:rsidRPr="00E5344F" w:rsidRDefault="00460E36" w:rsidP="00E5344F">
            <w:pPr>
              <w:spacing w:beforeLines="30" w:before="108" w:afterLines="30" w:after="108" w:line="480" w:lineRule="exact"/>
              <w:jc w:val="both"/>
              <w:rPr>
                <w:rFonts w:eastAsia="標楷體"/>
                <w:color w:val="FF0000"/>
                <w:kern w:val="0"/>
                <w:sz w:val="28"/>
                <w:szCs w:val="28"/>
                <w:u w:val="single"/>
              </w:rPr>
            </w:pPr>
            <w:r w:rsidRPr="00E5344F">
              <w:rPr>
                <w:rFonts w:ascii="Times New Roman" w:eastAsia="標楷體" w:hAnsi="Times New Roman"/>
                <w:kern w:val="0"/>
                <w:sz w:val="28"/>
                <w:szCs w:val="28"/>
                <w:u w:val="single"/>
              </w:rPr>
              <w:t>前項風險預告書採電子簽章簽署方式辦理者，證券商應依第六條第二項規定辦理。</w:t>
            </w:r>
          </w:p>
        </w:tc>
        <w:tc>
          <w:tcPr>
            <w:tcW w:w="3213" w:type="dxa"/>
          </w:tcPr>
          <w:p w14:paraId="1056CC8D" w14:textId="77777777" w:rsidR="00460E36" w:rsidRPr="00E5344F" w:rsidRDefault="00460E36" w:rsidP="00E5344F">
            <w:pPr>
              <w:spacing w:beforeLines="20" w:before="72" w:line="480" w:lineRule="exact"/>
              <w:jc w:val="both"/>
              <w:rPr>
                <w:rFonts w:eastAsia="標楷體"/>
                <w:color w:val="333333"/>
                <w:kern w:val="0"/>
                <w:sz w:val="28"/>
                <w:szCs w:val="28"/>
              </w:rPr>
            </w:pPr>
            <w:r w:rsidRPr="00E5344F">
              <w:rPr>
                <w:rFonts w:eastAsia="標楷體" w:hint="eastAsia"/>
                <w:color w:val="333333"/>
                <w:kern w:val="0"/>
                <w:sz w:val="28"/>
                <w:szCs w:val="28"/>
              </w:rPr>
              <w:lastRenderedPageBreak/>
              <w:t>本條新增</w:t>
            </w:r>
          </w:p>
        </w:tc>
        <w:tc>
          <w:tcPr>
            <w:tcW w:w="3213" w:type="dxa"/>
          </w:tcPr>
          <w:p w14:paraId="7096F721" w14:textId="587B930D" w:rsidR="00D205AC" w:rsidRPr="00E5344F" w:rsidRDefault="00D205AC" w:rsidP="00E5344F">
            <w:pPr>
              <w:pStyle w:val="Default"/>
              <w:numPr>
                <w:ilvl w:val="0"/>
                <w:numId w:val="11"/>
              </w:numPr>
              <w:spacing w:beforeLines="20" w:before="72" w:line="480" w:lineRule="exact"/>
              <w:ind w:left="594" w:hanging="594"/>
              <w:jc w:val="both"/>
              <w:rPr>
                <w:rFonts w:ascii="Times New Roman" w:cs="Times New Roman"/>
                <w:sz w:val="28"/>
                <w:szCs w:val="28"/>
              </w:rPr>
            </w:pPr>
            <w:r w:rsidRPr="00E5344F">
              <w:rPr>
                <w:rFonts w:ascii="Times New Roman" w:cs="Times New Roman" w:hint="eastAsia"/>
                <w:sz w:val="28"/>
                <w:szCs w:val="28"/>
              </w:rPr>
              <w:t>本條新增</w:t>
            </w:r>
          </w:p>
          <w:p w14:paraId="6CF1EA7A" w14:textId="7132C04A" w:rsidR="00460E36" w:rsidRPr="00E5344F" w:rsidRDefault="00A71EEC" w:rsidP="00E5344F">
            <w:pPr>
              <w:pStyle w:val="Default"/>
              <w:numPr>
                <w:ilvl w:val="0"/>
                <w:numId w:val="11"/>
              </w:numPr>
              <w:spacing w:beforeLines="20" w:before="72" w:line="480" w:lineRule="exact"/>
              <w:ind w:left="594" w:hanging="594"/>
              <w:jc w:val="both"/>
              <w:rPr>
                <w:rFonts w:ascii="Times New Roman" w:cs="Times New Roman"/>
                <w:sz w:val="28"/>
                <w:szCs w:val="28"/>
              </w:rPr>
            </w:pPr>
            <w:r w:rsidRPr="00E5344F">
              <w:rPr>
                <w:rFonts w:ascii="Times New Roman" w:cs="Times New Roman" w:hint="eastAsia"/>
                <w:sz w:val="28"/>
                <w:szCs w:val="28"/>
              </w:rPr>
              <w:t>依</w:t>
            </w:r>
            <w:r w:rsidRPr="00E5344F">
              <w:rPr>
                <w:rFonts w:ascii="Times New Roman" w:cs="Times New Roman" w:hint="eastAsia"/>
                <w:sz w:val="28"/>
                <w:szCs w:val="28"/>
              </w:rPr>
              <w:t>109</w:t>
            </w:r>
            <w:r w:rsidRPr="00E5344F">
              <w:rPr>
                <w:rFonts w:ascii="Times New Roman" w:cs="Times New Roman" w:hint="eastAsia"/>
                <w:sz w:val="28"/>
                <w:szCs w:val="28"/>
              </w:rPr>
              <w:t>年</w:t>
            </w:r>
            <w:r w:rsidRPr="00E5344F">
              <w:rPr>
                <w:rFonts w:ascii="Times New Roman" w:cs="Times New Roman" w:hint="eastAsia"/>
                <w:sz w:val="28"/>
                <w:szCs w:val="28"/>
              </w:rPr>
              <w:t>9</w:t>
            </w:r>
            <w:r w:rsidRPr="00E5344F">
              <w:rPr>
                <w:rFonts w:ascii="Times New Roman" w:cs="Times New Roman" w:hint="eastAsia"/>
                <w:sz w:val="28"/>
                <w:szCs w:val="28"/>
              </w:rPr>
              <w:t>月</w:t>
            </w:r>
            <w:r w:rsidRPr="00E5344F">
              <w:rPr>
                <w:rFonts w:ascii="Times New Roman" w:cs="Times New Roman" w:hint="eastAsia"/>
                <w:sz w:val="28"/>
                <w:szCs w:val="28"/>
              </w:rPr>
              <w:t>10</w:t>
            </w:r>
            <w:r w:rsidRPr="00E5344F">
              <w:rPr>
                <w:rFonts w:ascii="Times New Roman" w:cs="Times New Roman" w:hint="eastAsia"/>
                <w:sz w:val="28"/>
                <w:szCs w:val="28"/>
              </w:rPr>
              <w:t>日金管證券字第</w:t>
            </w:r>
            <w:r w:rsidRPr="00E5344F">
              <w:rPr>
                <w:rFonts w:ascii="Times New Roman" w:cs="Times New Roman" w:hint="eastAsia"/>
                <w:sz w:val="28"/>
                <w:szCs w:val="28"/>
              </w:rPr>
              <w:t>1090364120</w:t>
            </w:r>
            <w:r w:rsidRPr="00E5344F">
              <w:rPr>
                <w:rFonts w:ascii="Times New Roman" w:cs="Times New Roman" w:hint="eastAsia"/>
                <w:sz w:val="28"/>
                <w:szCs w:val="28"/>
              </w:rPr>
              <w:t>號</w:t>
            </w:r>
            <w:r w:rsidR="000B26ED" w:rsidRPr="00E5344F">
              <w:rPr>
                <w:rFonts w:ascii="Times New Roman" w:cs="Times New Roman" w:hint="eastAsia"/>
                <w:sz w:val="28"/>
                <w:szCs w:val="28"/>
              </w:rPr>
              <w:t>令，</w:t>
            </w:r>
            <w:r w:rsidR="009544C6" w:rsidRPr="00E5344F">
              <w:rPr>
                <w:rFonts w:ascii="Times New Roman" w:cs="Times New Roman" w:hint="eastAsia"/>
                <w:sz w:val="28"/>
                <w:szCs w:val="28"/>
              </w:rPr>
              <w:t>訂定</w:t>
            </w:r>
            <w:r w:rsidR="00460E36" w:rsidRPr="00E5344F">
              <w:rPr>
                <w:rFonts w:ascii="Times New Roman" w:cs="Times New Roman" w:hint="eastAsia"/>
                <w:sz w:val="28"/>
                <w:szCs w:val="28"/>
              </w:rPr>
              <w:t>證券商受託買進</w:t>
            </w:r>
            <w:r w:rsidR="00460E36" w:rsidRPr="00E5344F">
              <w:rPr>
                <w:rFonts w:ascii="Times New Roman" w:cs="Times New Roman" w:hint="eastAsia"/>
                <w:sz w:val="28"/>
                <w:szCs w:val="28"/>
              </w:rPr>
              <w:t>TLAC</w:t>
            </w:r>
            <w:r w:rsidR="00460E36" w:rsidRPr="00E5344F">
              <w:rPr>
                <w:rFonts w:ascii="Times New Roman" w:cs="Times New Roman" w:hint="eastAsia"/>
                <w:sz w:val="28"/>
                <w:szCs w:val="28"/>
              </w:rPr>
              <w:t>債券、</w:t>
            </w:r>
            <w:r w:rsidR="0076596F" w:rsidRPr="00E5344F">
              <w:rPr>
                <w:rFonts w:ascii="Times New Roman" w:cs="Times New Roman" w:hint="eastAsia"/>
                <w:sz w:val="28"/>
                <w:szCs w:val="28"/>
              </w:rPr>
              <w:t>無信用評等或信用評等</w:t>
            </w:r>
            <w:r w:rsidR="00460E36" w:rsidRPr="00E5344F">
              <w:rPr>
                <w:rFonts w:ascii="Times New Roman" w:cs="Times New Roman" w:hint="eastAsia"/>
                <w:sz w:val="28"/>
                <w:szCs w:val="28"/>
              </w:rPr>
              <w:t>未達</w:t>
            </w:r>
            <w:r w:rsidR="009544C6" w:rsidRPr="00E5344F">
              <w:rPr>
                <w:rFonts w:ascii="Times New Roman" w:cs="Times New Roman" w:hint="eastAsia"/>
                <w:sz w:val="28"/>
                <w:szCs w:val="28"/>
              </w:rPr>
              <w:t>一定等級之</w:t>
            </w:r>
            <w:r w:rsidR="0076596F" w:rsidRPr="00E5344F">
              <w:rPr>
                <w:rFonts w:ascii="Times New Roman" w:cs="Times New Roman" w:hint="eastAsia"/>
                <w:sz w:val="28"/>
                <w:szCs w:val="28"/>
              </w:rPr>
              <w:t>外國債券</w:t>
            </w:r>
            <w:r w:rsidR="00460E36" w:rsidRPr="00E5344F">
              <w:rPr>
                <w:rFonts w:ascii="Times New Roman" w:cs="Times New Roman" w:hint="eastAsia"/>
                <w:sz w:val="28"/>
                <w:szCs w:val="28"/>
              </w:rPr>
              <w:t>外國債券，</w:t>
            </w:r>
            <w:r w:rsidR="009544C6" w:rsidRPr="00E5344F">
              <w:rPr>
                <w:rFonts w:ascii="Times New Roman" w:cs="Times New Roman" w:hint="eastAsia"/>
                <w:sz w:val="28"/>
                <w:szCs w:val="28"/>
              </w:rPr>
              <w:t>商品風險管理及揭露事宜。</w:t>
            </w:r>
          </w:p>
          <w:p w14:paraId="57C1B1F7" w14:textId="479808A7" w:rsidR="00460E36" w:rsidRPr="00E5344F" w:rsidRDefault="00460E36" w:rsidP="00E5344F">
            <w:pPr>
              <w:pStyle w:val="Default"/>
              <w:numPr>
                <w:ilvl w:val="0"/>
                <w:numId w:val="11"/>
              </w:numPr>
              <w:spacing w:beforeLines="20" w:before="72" w:line="480" w:lineRule="exact"/>
              <w:ind w:left="594" w:hanging="594"/>
              <w:jc w:val="both"/>
              <w:rPr>
                <w:rFonts w:ascii="Times New Roman" w:cs="Times New Roman"/>
                <w:sz w:val="28"/>
                <w:szCs w:val="28"/>
              </w:rPr>
            </w:pPr>
            <w:r w:rsidRPr="00E5344F">
              <w:rPr>
                <w:rFonts w:ascii="Times New Roman" w:cs="Times New Roman" w:hint="eastAsia"/>
                <w:sz w:val="28"/>
                <w:szCs w:val="28"/>
              </w:rPr>
              <w:t>證券商受託買進</w:t>
            </w:r>
            <w:r w:rsidR="007179C8" w:rsidRPr="00E5344F">
              <w:rPr>
                <w:rFonts w:ascii="Times New Roman" w:cs="Times New Roman" w:hint="eastAsia"/>
                <w:sz w:val="28"/>
                <w:szCs w:val="28"/>
              </w:rPr>
              <w:t>TLAC</w:t>
            </w:r>
            <w:r w:rsidR="007179C8" w:rsidRPr="00E5344F">
              <w:rPr>
                <w:rFonts w:ascii="Times New Roman" w:cs="Times New Roman" w:hint="eastAsia"/>
                <w:sz w:val="28"/>
                <w:szCs w:val="28"/>
              </w:rPr>
              <w:t>債券、無信用評等或信用評等</w:t>
            </w:r>
            <w:r w:rsidRPr="00E5344F">
              <w:rPr>
                <w:rFonts w:ascii="Times New Roman" w:cs="Times New Roman" w:hint="eastAsia"/>
                <w:sz w:val="28"/>
                <w:szCs w:val="28"/>
              </w:rPr>
              <w:t>未達一定等級之</w:t>
            </w:r>
            <w:r w:rsidR="007179C8" w:rsidRPr="00E5344F">
              <w:rPr>
                <w:rFonts w:ascii="Times New Roman" w:cs="Times New Roman" w:hint="eastAsia"/>
                <w:sz w:val="28"/>
                <w:szCs w:val="28"/>
              </w:rPr>
              <w:t>外國</w:t>
            </w:r>
            <w:r w:rsidRPr="00E5344F">
              <w:rPr>
                <w:rFonts w:ascii="Times New Roman" w:cs="Times New Roman" w:hint="eastAsia"/>
                <w:sz w:val="28"/>
                <w:szCs w:val="28"/>
              </w:rPr>
              <w:t>債券，投資人應於初次交易時簽具風險預告書，或證券商於每次受託</w:t>
            </w:r>
            <w:r w:rsidRPr="00E5344F">
              <w:rPr>
                <w:rFonts w:ascii="Times New Roman" w:cs="Times New Roman" w:hint="eastAsia"/>
                <w:sz w:val="28"/>
                <w:szCs w:val="28"/>
              </w:rPr>
              <w:lastRenderedPageBreak/>
              <w:t>買進時揭露風險</w:t>
            </w:r>
            <w:r w:rsidR="007274CD" w:rsidRPr="00E5344F">
              <w:rPr>
                <w:rFonts w:ascii="Times New Roman" w:cs="Times New Roman" w:hint="eastAsia"/>
                <w:sz w:val="28"/>
                <w:szCs w:val="28"/>
              </w:rPr>
              <w:t>並</w:t>
            </w:r>
            <w:r w:rsidRPr="00E5344F">
              <w:rPr>
                <w:rFonts w:ascii="Times New Roman" w:cs="Times New Roman" w:hint="eastAsia"/>
                <w:sz w:val="28"/>
                <w:szCs w:val="28"/>
              </w:rPr>
              <w:t>留存紀錄</w:t>
            </w:r>
            <w:r w:rsidR="007274CD" w:rsidRPr="00E5344F">
              <w:rPr>
                <w:rFonts w:ascii="Times New Roman" w:cs="Times New Roman" w:hint="eastAsia"/>
                <w:sz w:val="28"/>
                <w:szCs w:val="28"/>
              </w:rPr>
              <w:t>且至少保存五年，</w:t>
            </w:r>
            <w:r w:rsidRPr="00E5344F">
              <w:rPr>
                <w:rFonts w:ascii="Times New Roman" w:cs="Times New Roman" w:hint="eastAsia"/>
                <w:sz w:val="28"/>
                <w:szCs w:val="28"/>
              </w:rPr>
              <w:t>並於每月對帳單揭露投資風險。</w:t>
            </w:r>
          </w:p>
          <w:p w14:paraId="17BD3F70" w14:textId="44F5F739" w:rsidR="00DC368A" w:rsidRPr="00E5344F" w:rsidRDefault="00DC368A" w:rsidP="00E5344F">
            <w:pPr>
              <w:pStyle w:val="a7"/>
              <w:numPr>
                <w:ilvl w:val="0"/>
                <w:numId w:val="11"/>
              </w:numPr>
              <w:spacing w:line="480" w:lineRule="exact"/>
              <w:ind w:leftChars="0" w:left="609" w:hanging="609"/>
              <w:jc w:val="both"/>
              <w:rPr>
                <w:rFonts w:eastAsia="標楷體"/>
                <w:color w:val="000000"/>
                <w:sz w:val="28"/>
                <w:szCs w:val="28"/>
              </w:rPr>
            </w:pPr>
            <w:r w:rsidRPr="00E5344F">
              <w:rPr>
                <w:rFonts w:eastAsia="標楷體" w:hint="eastAsia"/>
                <w:color w:val="000000"/>
                <w:sz w:val="28"/>
                <w:szCs w:val="28"/>
              </w:rPr>
              <w:t>證券商應於月對帳單中，以顯著字體標示或方式表達該債券為「具損失吸收能力」</w:t>
            </w:r>
            <w:r w:rsidRPr="00E5344F">
              <w:rPr>
                <w:rFonts w:eastAsia="標楷體" w:hint="eastAsia"/>
                <w:color w:val="000000"/>
                <w:sz w:val="28"/>
                <w:szCs w:val="28"/>
              </w:rPr>
              <w:t>(Total Loss</w:t>
            </w:r>
            <w:r w:rsidR="00E5344F" w:rsidRPr="00E5344F">
              <w:rPr>
                <w:rFonts w:eastAsia="標楷體" w:hint="eastAsia"/>
                <w:color w:val="000000"/>
                <w:sz w:val="28"/>
                <w:szCs w:val="28"/>
              </w:rPr>
              <w:t xml:space="preserve"> </w:t>
            </w:r>
            <w:r w:rsidRPr="00E5344F">
              <w:rPr>
                <w:rFonts w:eastAsia="標楷體" w:hint="eastAsia"/>
                <w:color w:val="000000"/>
                <w:sz w:val="28"/>
                <w:szCs w:val="28"/>
              </w:rPr>
              <w:t>Absorbing Capacity, TLAC)</w:t>
            </w:r>
            <w:r w:rsidRPr="00E5344F">
              <w:rPr>
                <w:rFonts w:eastAsia="標楷體" w:hint="eastAsia"/>
                <w:color w:val="000000"/>
                <w:sz w:val="28"/>
                <w:szCs w:val="28"/>
              </w:rPr>
              <w:t>債券，警語</w:t>
            </w:r>
            <w:r w:rsidRPr="00E5344F">
              <w:rPr>
                <w:rFonts w:eastAsia="標楷體" w:hint="eastAsia"/>
                <w:color w:val="000000"/>
                <w:sz w:val="28"/>
                <w:szCs w:val="28"/>
              </w:rPr>
              <w:t>(</w:t>
            </w:r>
            <w:r w:rsidRPr="00E5344F">
              <w:rPr>
                <w:rFonts w:eastAsia="標楷體" w:hint="eastAsia"/>
                <w:color w:val="000000"/>
                <w:sz w:val="28"/>
                <w:szCs w:val="28"/>
              </w:rPr>
              <w:t>參考內容</w:t>
            </w:r>
            <w:r w:rsidRPr="00E5344F">
              <w:rPr>
                <w:rFonts w:eastAsia="標楷體" w:hint="eastAsia"/>
                <w:color w:val="000000"/>
                <w:sz w:val="28"/>
                <w:szCs w:val="28"/>
              </w:rPr>
              <w:t>)</w:t>
            </w:r>
            <w:r w:rsidRPr="00E5344F">
              <w:rPr>
                <w:rFonts w:eastAsia="標楷體" w:hint="eastAsia"/>
                <w:color w:val="000000"/>
                <w:sz w:val="28"/>
                <w:szCs w:val="28"/>
              </w:rPr>
              <w:t>：『該債券發行機構屬於全球重要的系統性銀行之一，其所發行的債券屬</w:t>
            </w:r>
            <w:r w:rsidRPr="00E5344F">
              <w:rPr>
                <w:rFonts w:eastAsia="標楷體" w:hint="eastAsia"/>
                <w:color w:val="000000"/>
                <w:sz w:val="28"/>
                <w:szCs w:val="28"/>
              </w:rPr>
              <w:t xml:space="preserve"> TLAC</w:t>
            </w:r>
            <w:r w:rsidRPr="00E5344F">
              <w:rPr>
                <w:rFonts w:eastAsia="標楷體" w:hint="eastAsia"/>
                <w:color w:val="000000"/>
                <w:sz w:val="28"/>
                <w:szCs w:val="28"/>
              </w:rPr>
              <w:t>債務工具，當發行機構出現重大營運或破產危機時，得以契約形式或透過法定機制將債券減記面額或轉換股權，可能導致客戶部分或全部債權減記、利息取消、債權轉換股權、修改債券條件如到期日、票息、付息日、或暫停配息等變動。』</w:t>
            </w:r>
          </w:p>
        </w:tc>
      </w:tr>
      <w:bookmarkEnd w:id="0"/>
    </w:tbl>
    <w:p w14:paraId="5901E491" w14:textId="77777777" w:rsidR="001310AB" w:rsidRPr="00CC4B6C" w:rsidRDefault="001310AB" w:rsidP="00E5344F">
      <w:pPr>
        <w:widowControl/>
        <w:spacing w:line="480" w:lineRule="exact"/>
        <w:rPr>
          <w:rFonts w:ascii="標楷體" w:eastAsia="標楷體" w:hAnsi="標楷體" w:hint="eastAsia"/>
          <w:b/>
          <w:bCs/>
          <w:sz w:val="32"/>
          <w:szCs w:val="28"/>
        </w:rPr>
      </w:pPr>
    </w:p>
    <w:sectPr w:rsidR="001310AB" w:rsidRPr="00CC4B6C" w:rsidSect="00E5344F">
      <w:footerReference w:type="default" r:id="rId8"/>
      <w:pgSz w:w="11906" w:h="16838" w:code="9"/>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80C88" w14:textId="77777777" w:rsidR="00AD0E30" w:rsidRDefault="00AD0E30" w:rsidP="00663194">
      <w:r>
        <w:separator/>
      </w:r>
    </w:p>
  </w:endnote>
  <w:endnote w:type="continuationSeparator" w:id="0">
    <w:p w14:paraId="2DE661F5" w14:textId="77777777" w:rsidR="00AD0E30" w:rsidRDefault="00AD0E30" w:rsidP="0066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0C56" w14:textId="094B2760" w:rsidR="00D97830" w:rsidRDefault="00D97830">
    <w:pPr>
      <w:pStyle w:val="a5"/>
      <w:jc w:val="center"/>
    </w:pPr>
    <w:r>
      <w:fldChar w:fldCharType="begin"/>
    </w:r>
    <w:r>
      <w:instrText xml:space="preserve"> PAGE   \* MERGEFORMAT </w:instrText>
    </w:r>
    <w:r>
      <w:fldChar w:fldCharType="separate"/>
    </w:r>
    <w:r w:rsidR="00577728" w:rsidRPr="00577728">
      <w:rPr>
        <w:noProof/>
        <w:lang w:val="zh-TW"/>
      </w:rPr>
      <w:t>13</w:t>
    </w:r>
    <w:r>
      <w:fldChar w:fldCharType="end"/>
    </w:r>
  </w:p>
  <w:p w14:paraId="5B872FC8" w14:textId="77777777" w:rsidR="00D97830" w:rsidRDefault="00D97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FA7C0" w14:textId="77777777" w:rsidR="00AD0E30" w:rsidRDefault="00AD0E30" w:rsidP="00663194">
      <w:r>
        <w:separator/>
      </w:r>
    </w:p>
  </w:footnote>
  <w:footnote w:type="continuationSeparator" w:id="0">
    <w:p w14:paraId="3954134B" w14:textId="77777777" w:rsidR="00AD0E30" w:rsidRDefault="00AD0E30" w:rsidP="0066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3DF"/>
    <w:multiLevelType w:val="hybridMultilevel"/>
    <w:tmpl w:val="D9182FC4"/>
    <w:lvl w:ilvl="0" w:tplc="2CECCF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01841"/>
    <w:multiLevelType w:val="hybridMultilevel"/>
    <w:tmpl w:val="F6AE2AF8"/>
    <w:lvl w:ilvl="0" w:tplc="405EE174">
      <w:start w:val="1"/>
      <w:numFmt w:val="ideographLegalTraditional"/>
      <w:lvlText w:val="%1、"/>
      <w:lvlJc w:val="left"/>
      <w:pPr>
        <w:ind w:left="720" w:hanging="720"/>
      </w:pPr>
      <w:rPr>
        <w:rFonts w:hint="default"/>
      </w:rPr>
    </w:lvl>
    <w:lvl w:ilvl="1" w:tplc="28EEA766">
      <w:start w:val="1"/>
      <w:numFmt w:val="taiwaneseCountingThousand"/>
      <w:lvlText w:val="%2、"/>
      <w:lvlJc w:val="left"/>
      <w:pPr>
        <w:ind w:left="1200" w:hanging="720"/>
      </w:pPr>
      <w:rPr>
        <w:rFonts w:ascii="標楷體" w:eastAsia="標楷體" w:hAnsi="標楷體" w:hint="default"/>
        <w:color w:val="auto"/>
        <w:sz w:val="28"/>
        <w:szCs w:val="28"/>
      </w:rPr>
    </w:lvl>
    <w:lvl w:ilvl="2" w:tplc="31F2655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AA6644"/>
    <w:multiLevelType w:val="hybridMultilevel"/>
    <w:tmpl w:val="F3548E4E"/>
    <w:lvl w:ilvl="0" w:tplc="33B2A0AA">
      <w:start w:val="1"/>
      <w:numFmt w:val="taiwaneseCountingThousand"/>
      <w:lvlText w:val="%1、"/>
      <w:lvlJc w:val="left"/>
      <w:pPr>
        <w:ind w:left="720" w:hanging="720"/>
      </w:pPr>
      <w:rPr>
        <w:rFonts w:hint="default"/>
      </w:rPr>
    </w:lvl>
    <w:lvl w:ilvl="1" w:tplc="AA924F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B1DD0"/>
    <w:multiLevelType w:val="hybridMultilevel"/>
    <w:tmpl w:val="BCF0D93A"/>
    <w:lvl w:ilvl="0" w:tplc="24D2DA82">
      <w:start w:val="2"/>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78359D"/>
    <w:multiLevelType w:val="hybridMultilevel"/>
    <w:tmpl w:val="76F40056"/>
    <w:lvl w:ilvl="0" w:tplc="31F2655A">
      <w:start w:val="1"/>
      <w:numFmt w:val="taiwaneseCountingThousand"/>
      <w:lvlText w:val="(%1)"/>
      <w:lvlJc w:val="left"/>
      <w:pPr>
        <w:ind w:left="1855" w:hanging="720"/>
      </w:pPr>
      <w:rPr>
        <w:rFonts w:hint="default"/>
      </w:rPr>
    </w:lvl>
    <w:lvl w:ilvl="1" w:tplc="5D2E2CEC">
      <w:start w:val="1"/>
      <w:numFmt w:val="taiwaneseCountingThousand"/>
      <w:lvlText w:val="%2、"/>
      <w:lvlJc w:val="left"/>
      <w:pPr>
        <w:ind w:left="1004"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26386990"/>
    <w:multiLevelType w:val="hybridMultilevel"/>
    <w:tmpl w:val="1F10F5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B2883"/>
    <w:multiLevelType w:val="hybridMultilevel"/>
    <w:tmpl w:val="ED649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7A7401"/>
    <w:multiLevelType w:val="hybridMultilevel"/>
    <w:tmpl w:val="1AC20D24"/>
    <w:lvl w:ilvl="0" w:tplc="12408F8A">
      <w:start w:val="1"/>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F5B8276E">
      <w:start w:val="1"/>
      <w:numFmt w:val="decimal"/>
      <w:lvlText w:val="%3."/>
      <w:lvlJc w:val="left"/>
      <w:pPr>
        <w:ind w:left="1320" w:hanging="360"/>
      </w:pPr>
      <w:rPr>
        <w:rFonts w:hint="default"/>
      </w:rPr>
    </w:lvl>
    <w:lvl w:ilvl="3" w:tplc="FFAACC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1C7A9C"/>
    <w:multiLevelType w:val="hybridMultilevel"/>
    <w:tmpl w:val="035C2CF8"/>
    <w:lvl w:ilvl="0" w:tplc="D05AC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B70FD"/>
    <w:multiLevelType w:val="hybridMultilevel"/>
    <w:tmpl w:val="CAAA5B2E"/>
    <w:lvl w:ilvl="0" w:tplc="826252EE">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7B4B98"/>
    <w:multiLevelType w:val="hybridMultilevel"/>
    <w:tmpl w:val="3D60002A"/>
    <w:lvl w:ilvl="0" w:tplc="12408F8A">
      <w:start w:val="1"/>
      <w:numFmt w:val="taiwaneseCountingThousand"/>
      <w:lvlText w:val="%1、"/>
      <w:lvlJc w:val="left"/>
      <w:pPr>
        <w:ind w:left="720" w:hanging="720"/>
      </w:pPr>
      <w:rPr>
        <w:rFonts w:hint="default"/>
        <w:color w:val="auto"/>
      </w:rPr>
    </w:lvl>
    <w:lvl w:ilvl="1" w:tplc="04090019">
      <w:start w:val="1"/>
      <w:numFmt w:val="ideographTraditional"/>
      <w:lvlText w:val="%2、"/>
      <w:lvlJc w:val="left"/>
      <w:pPr>
        <w:ind w:left="960" w:hanging="480"/>
      </w:pPr>
    </w:lvl>
    <w:lvl w:ilvl="2" w:tplc="90D25BC6">
      <w:start w:val="1"/>
      <w:numFmt w:val="taiwaneseCountingThousand"/>
      <w:lvlText w:val="%3、"/>
      <w:lvlJc w:val="left"/>
      <w:pPr>
        <w:ind w:left="1320" w:hanging="360"/>
      </w:pPr>
      <w:rPr>
        <w:rFonts w:ascii="標楷體" w:eastAsia="標楷體" w:hAnsi="標楷體" w:hint="default"/>
        <w:sz w:val="28"/>
        <w:szCs w:val="28"/>
      </w:rPr>
    </w:lvl>
    <w:lvl w:ilvl="3" w:tplc="FFAACC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617C4A"/>
    <w:multiLevelType w:val="hybridMultilevel"/>
    <w:tmpl w:val="CC743924"/>
    <w:lvl w:ilvl="0" w:tplc="9D2E8FE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102D07"/>
    <w:multiLevelType w:val="hybridMultilevel"/>
    <w:tmpl w:val="CB4A54EE"/>
    <w:lvl w:ilvl="0" w:tplc="9FD083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837707"/>
    <w:multiLevelType w:val="hybridMultilevel"/>
    <w:tmpl w:val="FDDEB0B6"/>
    <w:lvl w:ilvl="0" w:tplc="31F2655A">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4" w15:restartNumberingAfterBreak="0">
    <w:nsid w:val="4CAC1B24"/>
    <w:multiLevelType w:val="hybridMultilevel"/>
    <w:tmpl w:val="DEA60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F514E5"/>
    <w:multiLevelType w:val="hybridMultilevel"/>
    <w:tmpl w:val="54DE6270"/>
    <w:lvl w:ilvl="0" w:tplc="31F2655A">
      <w:start w:val="1"/>
      <w:numFmt w:val="taiwaneseCountingThousand"/>
      <w:lvlText w:val="(%1)"/>
      <w:lvlJc w:val="left"/>
      <w:pPr>
        <w:ind w:left="763" w:hanging="480"/>
      </w:pPr>
      <w:rPr>
        <w:rFonts w:hint="default"/>
      </w:rPr>
    </w:lvl>
    <w:lvl w:ilvl="1" w:tplc="31F2655A">
      <w:start w:val="1"/>
      <w:numFmt w:val="taiwaneseCountingThousand"/>
      <w:lvlText w:val="(%2)"/>
      <w:lvlJc w:val="left"/>
      <w:pPr>
        <w:ind w:left="1243" w:hanging="48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5A567031"/>
    <w:multiLevelType w:val="hybridMultilevel"/>
    <w:tmpl w:val="63D699D8"/>
    <w:lvl w:ilvl="0" w:tplc="31F2655A">
      <w:start w:val="1"/>
      <w:numFmt w:val="taiwaneseCountingThousand"/>
      <w:lvlText w:val="(%1)"/>
      <w:lvlJc w:val="left"/>
      <w:pPr>
        <w:ind w:left="761" w:hanging="480"/>
      </w:pPr>
      <w:rPr>
        <w:rFonts w:hint="default"/>
      </w:rPr>
    </w:lvl>
    <w:lvl w:ilvl="1" w:tplc="7806FD80">
      <w:start w:val="1"/>
      <w:numFmt w:val="taiwaneseCountingThousand"/>
      <w:lvlText w:val="(%2)"/>
      <w:lvlJc w:val="left"/>
      <w:pPr>
        <w:ind w:left="1241" w:hanging="480"/>
      </w:pPr>
      <w:rPr>
        <w:rFonts w:hint="default"/>
        <w:sz w:val="28"/>
        <w:szCs w:val="20"/>
      </w:r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7" w15:restartNumberingAfterBreak="0">
    <w:nsid w:val="5D5974DC"/>
    <w:multiLevelType w:val="hybridMultilevel"/>
    <w:tmpl w:val="900EDD56"/>
    <w:lvl w:ilvl="0" w:tplc="826252EE">
      <w:start w:val="1"/>
      <w:numFmt w:val="taiwaneseCountingThousand"/>
      <w:lvlText w:val="%1、"/>
      <w:lvlJc w:val="left"/>
      <w:pPr>
        <w:ind w:left="1102" w:hanging="480"/>
      </w:pPr>
      <w:rPr>
        <w:rFonts w:hint="default"/>
      </w:rPr>
    </w:lvl>
    <w:lvl w:ilvl="1" w:tplc="66A67BB2">
      <w:start w:val="1"/>
      <w:numFmt w:val="taiwaneseCountingThousand"/>
      <w:lvlText w:val="(%2)"/>
      <w:lvlJc w:val="left"/>
      <w:pPr>
        <w:ind w:left="1822" w:hanging="720"/>
      </w:pPr>
      <w:rPr>
        <w:rFonts w:hint="default"/>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8" w15:restartNumberingAfterBreak="0">
    <w:nsid w:val="63BC7D51"/>
    <w:multiLevelType w:val="hybridMultilevel"/>
    <w:tmpl w:val="A1445E28"/>
    <w:lvl w:ilvl="0" w:tplc="F3B06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136572"/>
    <w:multiLevelType w:val="hybridMultilevel"/>
    <w:tmpl w:val="2BB4F126"/>
    <w:lvl w:ilvl="0" w:tplc="B3A07F40">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7E4F6142"/>
    <w:multiLevelType w:val="hybridMultilevel"/>
    <w:tmpl w:val="EF30BCF2"/>
    <w:lvl w:ilvl="0" w:tplc="12408F8A">
      <w:start w:val="1"/>
      <w:numFmt w:val="taiwaneseCountingThousand"/>
      <w:lvlText w:val="%1、"/>
      <w:lvlJc w:val="left"/>
      <w:pPr>
        <w:ind w:left="720" w:hanging="720"/>
      </w:pPr>
      <w:rPr>
        <w:rFonts w:hint="default"/>
        <w:color w:val="auto"/>
      </w:rPr>
    </w:lvl>
    <w:lvl w:ilvl="1" w:tplc="0409000F">
      <w:start w:val="1"/>
      <w:numFmt w:val="decimal"/>
      <w:lvlText w:val="%2."/>
      <w:lvlJc w:val="left"/>
      <w:pPr>
        <w:ind w:left="960" w:hanging="480"/>
      </w:pPr>
    </w:lvl>
    <w:lvl w:ilvl="2" w:tplc="F5B8276E">
      <w:start w:val="1"/>
      <w:numFmt w:val="decimal"/>
      <w:lvlText w:val="%3."/>
      <w:lvlJc w:val="left"/>
      <w:pPr>
        <w:ind w:left="1320" w:hanging="360"/>
      </w:pPr>
      <w:rPr>
        <w:rFonts w:hint="default"/>
      </w:rPr>
    </w:lvl>
    <w:lvl w:ilvl="3" w:tplc="FFAACC6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E868D6"/>
    <w:multiLevelType w:val="hybridMultilevel"/>
    <w:tmpl w:val="47748F76"/>
    <w:lvl w:ilvl="0" w:tplc="D3A638EE">
      <w:start w:val="1"/>
      <w:numFmt w:val="decimal"/>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15:restartNumberingAfterBreak="0">
    <w:nsid w:val="7F0D5A4A"/>
    <w:multiLevelType w:val="hybridMultilevel"/>
    <w:tmpl w:val="1CEA955C"/>
    <w:lvl w:ilvl="0" w:tplc="AA2E56B0">
      <w:start w:val="1"/>
      <w:numFmt w:val="taiwaneseCountingThousand"/>
      <w:lvlText w:val="%1、"/>
      <w:lvlJc w:val="left"/>
      <w:pPr>
        <w:ind w:left="1572" w:hanging="720"/>
      </w:pPr>
      <w:rPr>
        <w:rFonts w:ascii="標楷體" w:eastAsia="標楷體" w:hAnsi="標楷體" w:hint="default"/>
      </w:rPr>
    </w:lvl>
    <w:lvl w:ilvl="1" w:tplc="04090019">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13"/>
  </w:num>
  <w:num w:numId="2">
    <w:abstractNumId w:val="21"/>
  </w:num>
  <w:num w:numId="3">
    <w:abstractNumId w:val="9"/>
  </w:num>
  <w:num w:numId="4">
    <w:abstractNumId w:val="4"/>
  </w:num>
  <w:num w:numId="5">
    <w:abstractNumId w:val="7"/>
  </w:num>
  <w:num w:numId="6">
    <w:abstractNumId w:val="20"/>
  </w:num>
  <w:num w:numId="7">
    <w:abstractNumId w:val="10"/>
  </w:num>
  <w:num w:numId="8">
    <w:abstractNumId w:val="14"/>
  </w:num>
  <w:num w:numId="9">
    <w:abstractNumId w:val="6"/>
  </w:num>
  <w:num w:numId="10">
    <w:abstractNumId w:val="2"/>
  </w:num>
  <w:num w:numId="11">
    <w:abstractNumId w:val="0"/>
  </w:num>
  <w:num w:numId="12">
    <w:abstractNumId w:val="12"/>
  </w:num>
  <w:num w:numId="13">
    <w:abstractNumId w:val="22"/>
  </w:num>
  <w:num w:numId="14">
    <w:abstractNumId w:val="1"/>
  </w:num>
  <w:num w:numId="15">
    <w:abstractNumId w:val="17"/>
  </w:num>
  <w:num w:numId="16">
    <w:abstractNumId w:val="15"/>
  </w:num>
  <w:num w:numId="17">
    <w:abstractNumId w:val="16"/>
  </w:num>
  <w:num w:numId="18">
    <w:abstractNumId w:val="19"/>
  </w:num>
  <w:num w:numId="19">
    <w:abstractNumId w:val="8"/>
  </w:num>
  <w:num w:numId="20">
    <w:abstractNumId w:val="11"/>
  </w:num>
  <w:num w:numId="21">
    <w:abstractNumId w:val="3"/>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B6"/>
    <w:rsid w:val="00000C93"/>
    <w:rsid w:val="0002231D"/>
    <w:rsid w:val="00024881"/>
    <w:rsid w:val="000330EA"/>
    <w:rsid w:val="0003402C"/>
    <w:rsid w:val="00042C9A"/>
    <w:rsid w:val="000435D6"/>
    <w:rsid w:val="00054501"/>
    <w:rsid w:val="00063A92"/>
    <w:rsid w:val="00063F18"/>
    <w:rsid w:val="000712AA"/>
    <w:rsid w:val="0007301D"/>
    <w:rsid w:val="00084DD1"/>
    <w:rsid w:val="00085F34"/>
    <w:rsid w:val="0009053A"/>
    <w:rsid w:val="000B0D82"/>
    <w:rsid w:val="000B26ED"/>
    <w:rsid w:val="000C1102"/>
    <w:rsid w:val="000D3630"/>
    <w:rsid w:val="000F6575"/>
    <w:rsid w:val="00120CF2"/>
    <w:rsid w:val="00124258"/>
    <w:rsid w:val="001278E0"/>
    <w:rsid w:val="001310AB"/>
    <w:rsid w:val="00147046"/>
    <w:rsid w:val="00152C20"/>
    <w:rsid w:val="001625F2"/>
    <w:rsid w:val="00167DCA"/>
    <w:rsid w:val="00172B68"/>
    <w:rsid w:val="0017786F"/>
    <w:rsid w:val="0019352D"/>
    <w:rsid w:val="001A7327"/>
    <w:rsid w:val="001B5FF7"/>
    <w:rsid w:val="001E30B9"/>
    <w:rsid w:val="00205492"/>
    <w:rsid w:val="00214152"/>
    <w:rsid w:val="002148F0"/>
    <w:rsid w:val="00225033"/>
    <w:rsid w:val="0023203A"/>
    <w:rsid w:val="002376A5"/>
    <w:rsid w:val="00240C39"/>
    <w:rsid w:val="002422C6"/>
    <w:rsid w:val="002422DF"/>
    <w:rsid w:val="00242A3C"/>
    <w:rsid w:val="00277E05"/>
    <w:rsid w:val="002A31AF"/>
    <w:rsid w:val="002B224F"/>
    <w:rsid w:val="002D38D3"/>
    <w:rsid w:val="002D6974"/>
    <w:rsid w:val="002D72BD"/>
    <w:rsid w:val="002E1ACA"/>
    <w:rsid w:val="002E5D57"/>
    <w:rsid w:val="00304CF7"/>
    <w:rsid w:val="00350CAA"/>
    <w:rsid w:val="00354DFF"/>
    <w:rsid w:val="00392AE6"/>
    <w:rsid w:val="003A34C3"/>
    <w:rsid w:val="003B3E29"/>
    <w:rsid w:val="003C000B"/>
    <w:rsid w:val="003C2105"/>
    <w:rsid w:val="003D169B"/>
    <w:rsid w:val="003E4F98"/>
    <w:rsid w:val="003F3283"/>
    <w:rsid w:val="00403B12"/>
    <w:rsid w:val="0042281E"/>
    <w:rsid w:val="00460E36"/>
    <w:rsid w:val="004640AC"/>
    <w:rsid w:val="004B5821"/>
    <w:rsid w:val="004D2090"/>
    <w:rsid w:val="004E6ABE"/>
    <w:rsid w:val="00501B10"/>
    <w:rsid w:val="00504405"/>
    <w:rsid w:val="00505991"/>
    <w:rsid w:val="00506A15"/>
    <w:rsid w:val="00514FB6"/>
    <w:rsid w:val="005215EB"/>
    <w:rsid w:val="00532948"/>
    <w:rsid w:val="00545E73"/>
    <w:rsid w:val="00546278"/>
    <w:rsid w:val="00552AF7"/>
    <w:rsid w:val="00577728"/>
    <w:rsid w:val="005850DD"/>
    <w:rsid w:val="00587BE0"/>
    <w:rsid w:val="005B0237"/>
    <w:rsid w:val="005B1563"/>
    <w:rsid w:val="005B3B3D"/>
    <w:rsid w:val="005C4000"/>
    <w:rsid w:val="005D6853"/>
    <w:rsid w:val="005E438E"/>
    <w:rsid w:val="005F6245"/>
    <w:rsid w:val="00602BC4"/>
    <w:rsid w:val="00613CAF"/>
    <w:rsid w:val="00647C8C"/>
    <w:rsid w:val="00663194"/>
    <w:rsid w:val="00671926"/>
    <w:rsid w:val="00674535"/>
    <w:rsid w:val="006775C2"/>
    <w:rsid w:val="00687B6F"/>
    <w:rsid w:val="006F1581"/>
    <w:rsid w:val="007179C8"/>
    <w:rsid w:val="007274CD"/>
    <w:rsid w:val="00736930"/>
    <w:rsid w:val="00743E71"/>
    <w:rsid w:val="0074468A"/>
    <w:rsid w:val="00747063"/>
    <w:rsid w:val="007520AC"/>
    <w:rsid w:val="007609AF"/>
    <w:rsid w:val="00761AC4"/>
    <w:rsid w:val="0076596F"/>
    <w:rsid w:val="00766475"/>
    <w:rsid w:val="00771220"/>
    <w:rsid w:val="00780F6A"/>
    <w:rsid w:val="00792E89"/>
    <w:rsid w:val="007B374C"/>
    <w:rsid w:val="007B5662"/>
    <w:rsid w:val="007C2A3A"/>
    <w:rsid w:val="007E2F10"/>
    <w:rsid w:val="008210D7"/>
    <w:rsid w:val="00852641"/>
    <w:rsid w:val="0087237B"/>
    <w:rsid w:val="00872D46"/>
    <w:rsid w:val="00873F64"/>
    <w:rsid w:val="00886DEC"/>
    <w:rsid w:val="00897621"/>
    <w:rsid w:val="008A0149"/>
    <w:rsid w:val="008A728C"/>
    <w:rsid w:val="008B4DA3"/>
    <w:rsid w:val="008B55DE"/>
    <w:rsid w:val="008B75F8"/>
    <w:rsid w:val="008C1D5F"/>
    <w:rsid w:val="008D6A65"/>
    <w:rsid w:val="009015F1"/>
    <w:rsid w:val="00906C46"/>
    <w:rsid w:val="009272EC"/>
    <w:rsid w:val="009308F6"/>
    <w:rsid w:val="0094256E"/>
    <w:rsid w:val="00947FF9"/>
    <w:rsid w:val="009544C6"/>
    <w:rsid w:val="00962867"/>
    <w:rsid w:val="00964B52"/>
    <w:rsid w:val="00971350"/>
    <w:rsid w:val="00972DE1"/>
    <w:rsid w:val="0097662E"/>
    <w:rsid w:val="00986858"/>
    <w:rsid w:val="00996503"/>
    <w:rsid w:val="009A670D"/>
    <w:rsid w:val="009B305C"/>
    <w:rsid w:val="00A332B3"/>
    <w:rsid w:val="00A71EEC"/>
    <w:rsid w:val="00A84D2A"/>
    <w:rsid w:val="00A854DD"/>
    <w:rsid w:val="00A916B7"/>
    <w:rsid w:val="00AB03E2"/>
    <w:rsid w:val="00AB25C5"/>
    <w:rsid w:val="00AD0E30"/>
    <w:rsid w:val="00AF7206"/>
    <w:rsid w:val="00B02882"/>
    <w:rsid w:val="00B02FA5"/>
    <w:rsid w:val="00B11BC2"/>
    <w:rsid w:val="00B167E7"/>
    <w:rsid w:val="00B23A95"/>
    <w:rsid w:val="00B25088"/>
    <w:rsid w:val="00B26523"/>
    <w:rsid w:val="00B34C6D"/>
    <w:rsid w:val="00B51ACF"/>
    <w:rsid w:val="00B575AC"/>
    <w:rsid w:val="00B703D4"/>
    <w:rsid w:val="00B71B3C"/>
    <w:rsid w:val="00B87394"/>
    <w:rsid w:val="00B91F71"/>
    <w:rsid w:val="00BA302F"/>
    <w:rsid w:val="00BC2465"/>
    <w:rsid w:val="00BD0741"/>
    <w:rsid w:val="00BD1B49"/>
    <w:rsid w:val="00BF6970"/>
    <w:rsid w:val="00C02BAF"/>
    <w:rsid w:val="00C15870"/>
    <w:rsid w:val="00C200AA"/>
    <w:rsid w:val="00C249E6"/>
    <w:rsid w:val="00C307FE"/>
    <w:rsid w:val="00C40B3F"/>
    <w:rsid w:val="00C44145"/>
    <w:rsid w:val="00C5233E"/>
    <w:rsid w:val="00C958DC"/>
    <w:rsid w:val="00CA2375"/>
    <w:rsid w:val="00CC33EE"/>
    <w:rsid w:val="00CC4B6C"/>
    <w:rsid w:val="00CE17E6"/>
    <w:rsid w:val="00CE1DCA"/>
    <w:rsid w:val="00CF11F4"/>
    <w:rsid w:val="00D064C7"/>
    <w:rsid w:val="00D205AC"/>
    <w:rsid w:val="00D248E4"/>
    <w:rsid w:val="00D341C3"/>
    <w:rsid w:val="00D5483C"/>
    <w:rsid w:val="00D559EE"/>
    <w:rsid w:val="00D7779A"/>
    <w:rsid w:val="00D91834"/>
    <w:rsid w:val="00D97830"/>
    <w:rsid w:val="00DA0B84"/>
    <w:rsid w:val="00DA578E"/>
    <w:rsid w:val="00DB154B"/>
    <w:rsid w:val="00DB24E6"/>
    <w:rsid w:val="00DB3024"/>
    <w:rsid w:val="00DC368A"/>
    <w:rsid w:val="00DD3140"/>
    <w:rsid w:val="00DF05AD"/>
    <w:rsid w:val="00E1102D"/>
    <w:rsid w:val="00E125BF"/>
    <w:rsid w:val="00E130B4"/>
    <w:rsid w:val="00E17D40"/>
    <w:rsid w:val="00E22916"/>
    <w:rsid w:val="00E5344F"/>
    <w:rsid w:val="00E5637E"/>
    <w:rsid w:val="00E628FF"/>
    <w:rsid w:val="00E6770B"/>
    <w:rsid w:val="00E76CCA"/>
    <w:rsid w:val="00E856E9"/>
    <w:rsid w:val="00EA359B"/>
    <w:rsid w:val="00EA69A0"/>
    <w:rsid w:val="00EC6B44"/>
    <w:rsid w:val="00EC7472"/>
    <w:rsid w:val="00ED19EE"/>
    <w:rsid w:val="00EE4374"/>
    <w:rsid w:val="00EE7296"/>
    <w:rsid w:val="00EF619B"/>
    <w:rsid w:val="00F0158A"/>
    <w:rsid w:val="00F151E2"/>
    <w:rsid w:val="00F27530"/>
    <w:rsid w:val="00F31B74"/>
    <w:rsid w:val="00F35AFE"/>
    <w:rsid w:val="00F40B17"/>
    <w:rsid w:val="00F4414D"/>
    <w:rsid w:val="00F628AC"/>
    <w:rsid w:val="00F67A9F"/>
    <w:rsid w:val="00F75401"/>
    <w:rsid w:val="00F82EDE"/>
    <w:rsid w:val="00F83BD1"/>
    <w:rsid w:val="00F91BE2"/>
    <w:rsid w:val="00F970D4"/>
    <w:rsid w:val="00FA1A69"/>
    <w:rsid w:val="00FA2A1D"/>
    <w:rsid w:val="00FC4185"/>
    <w:rsid w:val="00FC7F83"/>
    <w:rsid w:val="00FD3AA7"/>
    <w:rsid w:val="00FD6239"/>
    <w:rsid w:val="00FF1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1F08"/>
  <w15:chartTrackingRefBased/>
  <w15:docId w15:val="{5F2795B4-C3D7-4549-85B4-93A74A9A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6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194"/>
    <w:pPr>
      <w:tabs>
        <w:tab w:val="center" w:pos="4153"/>
        <w:tab w:val="right" w:pos="8306"/>
      </w:tabs>
      <w:snapToGrid w:val="0"/>
    </w:pPr>
    <w:rPr>
      <w:sz w:val="20"/>
      <w:szCs w:val="20"/>
    </w:rPr>
  </w:style>
  <w:style w:type="character" w:customStyle="1" w:styleId="a4">
    <w:name w:val="頁首 字元"/>
    <w:basedOn w:val="a0"/>
    <w:link w:val="a3"/>
    <w:uiPriority w:val="99"/>
    <w:rsid w:val="00663194"/>
    <w:rPr>
      <w:sz w:val="20"/>
      <w:szCs w:val="20"/>
    </w:rPr>
  </w:style>
  <w:style w:type="paragraph" w:styleId="a5">
    <w:name w:val="footer"/>
    <w:basedOn w:val="a"/>
    <w:link w:val="a6"/>
    <w:unhideWhenUsed/>
    <w:rsid w:val="00663194"/>
    <w:pPr>
      <w:tabs>
        <w:tab w:val="center" w:pos="4153"/>
        <w:tab w:val="right" w:pos="8306"/>
      </w:tabs>
      <w:snapToGrid w:val="0"/>
    </w:pPr>
    <w:rPr>
      <w:sz w:val="20"/>
      <w:szCs w:val="20"/>
    </w:rPr>
  </w:style>
  <w:style w:type="character" w:customStyle="1" w:styleId="a6">
    <w:name w:val="頁尾 字元"/>
    <w:basedOn w:val="a0"/>
    <w:link w:val="a5"/>
    <w:rsid w:val="00663194"/>
    <w:rPr>
      <w:sz w:val="20"/>
      <w:szCs w:val="20"/>
    </w:rPr>
  </w:style>
  <w:style w:type="paragraph" w:styleId="a7">
    <w:name w:val="List Paragraph"/>
    <w:basedOn w:val="a"/>
    <w:link w:val="a8"/>
    <w:uiPriority w:val="34"/>
    <w:qFormat/>
    <w:rsid w:val="00613CAF"/>
    <w:pPr>
      <w:widowControl/>
      <w:ind w:leftChars="200" w:left="480"/>
    </w:pPr>
    <w:rPr>
      <w:rFonts w:ascii="Times New Roman" w:hAnsi="Times New Roman" w:cs="Times New Roman"/>
      <w:kern w:val="0"/>
      <w:szCs w:val="24"/>
    </w:rPr>
  </w:style>
  <w:style w:type="character" w:customStyle="1" w:styleId="a8">
    <w:name w:val="清單段落 字元"/>
    <w:link w:val="a7"/>
    <w:uiPriority w:val="34"/>
    <w:locked/>
    <w:rsid w:val="002D72BD"/>
    <w:rPr>
      <w:rFonts w:ascii="Times New Roman" w:hAnsi="Times New Roman" w:cs="Times New Roman"/>
      <w:kern w:val="0"/>
      <w:szCs w:val="24"/>
    </w:rPr>
  </w:style>
  <w:style w:type="paragraph" w:styleId="a9">
    <w:name w:val="Balloon Text"/>
    <w:basedOn w:val="a"/>
    <w:link w:val="aa"/>
    <w:uiPriority w:val="99"/>
    <w:semiHidden/>
    <w:unhideWhenUsed/>
    <w:rsid w:val="00F82ED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2EDE"/>
    <w:rPr>
      <w:rFonts w:asciiTheme="majorHAnsi" w:eastAsiaTheme="majorEastAsia" w:hAnsiTheme="majorHAnsi" w:cstheme="majorBidi"/>
      <w:sz w:val="18"/>
      <w:szCs w:val="18"/>
    </w:rPr>
  </w:style>
  <w:style w:type="paragraph" w:customStyle="1" w:styleId="Default">
    <w:name w:val="Default"/>
    <w:rsid w:val="00D97830"/>
    <w:pPr>
      <w:widowControl w:val="0"/>
      <w:autoSpaceDE w:val="0"/>
      <w:autoSpaceDN w:val="0"/>
      <w:adjustRightInd w:val="0"/>
    </w:pPr>
    <w:rPr>
      <w:rFonts w:ascii="標楷體" w:eastAsia="標楷體" w:hAnsi="Times New Roman" w:cs="標楷體"/>
      <w:color w:val="000000"/>
      <w:kern w:val="0"/>
      <w:szCs w:val="24"/>
    </w:rPr>
  </w:style>
  <w:style w:type="paragraph" w:styleId="HTML">
    <w:name w:val="HTML Preformatted"/>
    <w:basedOn w:val="a"/>
    <w:link w:val="HTML0"/>
    <w:uiPriority w:val="99"/>
    <w:rsid w:val="00D978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color w:val="333333"/>
      <w:kern w:val="0"/>
      <w:szCs w:val="24"/>
      <w:lang w:val="x-none" w:eastAsia="x-none"/>
    </w:rPr>
  </w:style>
  <w:style w:type="character" w:customStyle="1" w:styleId="HTML0">
    <w:name w:val="HTML 預設格式 字元"/>
    <w:basedOn w:val="a0"/>
    <w:link w:val="HTML"/>
    <w:uiPriority w:val="99"/>
    <w:rsid w:val="00D97830"/>
    <w:rPr>
      <w:rFonts w:ascii="細明體" w:eastAsia="細明體" w:hAnsi="細明體" w:cs="Times New Roman"/>
      <w:color w:val="333333"/>
      <w:kern w:val="0"/>
      <w:szCs w:val="24"/>
      <w:lang w:val="x-none" w:eastAsia="x-none"/>
    </w:rPr>
  </w:style>
  <w:style w:type="table" w:styleId="ab">
    <w:name w:val="Table Grid"/>
    <w:basedOn w:val="a1"/>
    <w:uiPriority w:val="59"/>
    <w:rsid w:val="00147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71220"/>
    <w:rPr>
      <w:sz w:val="18"/>
      <w:szCs w:val="18"/>
    </w:rPr>
  </w:style>
  <w:style w:type="paragraph" w:styleId="ad">
    <w:name w:val="annotation text"/>
    <w:basedOn w:val="a"/>
    <w:link w:val="ae"/>
    <w:uiPriority w:val="99"/>
    <w:semiHidden/>
    <w:unhideWhenUsed/>
    <w:rsid w:val="00771220"/>
  </w:style>
  <w:style w:type="character" w:customStyle="1" w:styleId="ae">
    <w:name w:val="註解文字 字元"/>
    <w:basedOn w:val="a0"/>
    <w:link w:val="ad"/>
    <w:uiPriority w:val="99"/>
    <w:semiHidden/>
    <w:rsid w:val="00771220"/>
  </w:style>
  <w:style w:type="paragraph" w:styleId="af">
    <w:name w:val="annotation subject"/>
    <w:basedOn w:val="ad"/>
    <w:next w:val="ad"/>
    <w:link w:val="af0"/>
    <w:uiPriority w:val="99"/>
    <w:semiHidden/>
    <w:unhideWhenUsed/>
    <w:rsid w:val="00771220"/>
    <w:rPr>
      <w:b/>
      <w:bCs/>
    </w:rPr>
  </w:style>
  <w:style w:type="character" w:customStyle="1" w:styleId="af0">
    <w:name w:val="註解主旨 字元"/>
    <w:basedOn w:val="ae"/>
    <w:link w:val="af"/>
    <w:uiPriority w:val="99"/>
    <w:semiHidden/>
    <w:rsid w:val="00771220"/>
    <w:rPr>
      <w:b/>
      <w:bCs/>
    </w:rPr>
  </w:style>
  <w:style w:type="paragraph" w:customStyle="1" w:styleId="af1">
    <w:name w:val="行文機關"/>
    <w:basedOn w:val="a"/>
    <w:rsid w:val="00FC7F83"/>
    <w:pPr>
      <w:snapToGrid w:val="0"/>
    </w:pPr>
    <w:rPr>
      <w:rFonts w:ascii="Times New Roman" w:eastAsia="新細明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962374">
      <w:bodyDiv w:val="1"/>
      <w:marLeft w:val="0"/>
      <w:marRight w:val="0"/>
      <w:marTop w:val="0"/>
      <w:marBottom w:val="0"/>
      <w:divBdr>
        <w:top w:val="none" w:sz="0" w:space="0" w:color="auto"/>
        <w:left w:val="none" w:sz="0" w:space="0" w:color="auto"/>
        <w:bottom w:val="none" w:sz="0" w:space="0" w:color="auto"/>
        <w:right w:val="none" w:sz="0" w:space="0" w:color="auto"/>
      </w:divBdr>
    </w:div>
    <w:div w:id="178418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18D9-C740-4FAE-B88F-BAA61EE0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4</cp:revision>
  <cp:lastPrinted>2020-03-17T05:25:00Z</cp:lastPrinted>
  <dcterms:created xsi:type="dcterms:W3CDTF">2020-12-03T06:41:00Z</dcterms:created>
  <dcterms:modified xsi:type="dcterms:W3CDTF">2020-12-03T07:01:00Z</dcterms:modified>
</cp:coreProperties>
</file>