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07016" w14:textId="3E8A93AA" w:rsidR="00C02540" w:rsidRPr="00D650A0" w:rsidRDefault="00EF2B67" w:rsidP="00D650A0">
      <w:pPr>
        <w:snapToGrid w:val="0"/>
        <w:spacing w:beforeLines="20" w:before="72" w:afterLines="50" w:after="180" w:line="440" w:lineRule="exact"/>
        <w:jc w:val="both"/>
        <w:rPr>
          <w:rFonts w:eastAsia="標楷體"/>
          <w:sz w:val="30"/>
          <w:szCs w:val="30"/>
          <w:lang w:val="x-none"/>
        </w:rPr>
      </w:pPr>
      <w:bookmarkStart w:id="0" w:name="_Hlk168560923"/>
      <w:r>
        <w:rPr>
          <w:rFonts w:ascii="Times New Roman" w:eastAsia="標楷體" w:hAnsi="Times New Roman" w:hint="eastAsia"/>
          <w:sz w:val="30"/>
          <w:szCs w:val="30"/>
        </w:rPr>
        <w:t>中華民國證券商業同業公會</w:t>
      </w:r>
      <w:r w:rsidR="00111C70" w:rsidRPr="00D650A0">
        <w:rPr>
          <w:rFonts w:ascii="Times New Roman" w:eastAsia="標楷體" w:hAnsi="Times New Roman" w:hint="eastAsia"/>
          <w:sz w:val="30"/>
          <w:szCs w:val="30"/>
        </w:rPr>
        <w:t>證券商受託買賣外國有價證券管理辦法</w:t>
      </w:r>
      <w:bookmarkEnd w:id="0"/>
      <w:r>
        <w:rPr>
          <w:rFonts w:ascii="Times New Roman" w:eastAsia="標楷體" w:hAnsi="Times New Roman" w:hint="eastAsia"/>
          <w:sz w:val="30"/>
          <w:szCs w:val="30"/>
        </w:rPr>
        <w:t>修正條文對照表</w:t>
      </w:r>
    </w:p>
    <w:tbl>
      <w:tblPr>
        <w:tblW w:w="10207" w:type="dxa"/>
        <w:tblInd w:w="-289"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98"/>
        <w:gridCol w:w="3899"/>
        <w:gridCol w:w="2410"/>
      </w:tblGrid>
      <w:tr w:rsidR="00C02540" w:rsidRPr="00EF745C" w14:paraId="721324F6" w14:textId="77777777" w:rsidTr="00EF2B67">
        <w:trPr>
          <w:trHeight w:val="438"/>
        </w:trPr>
        <w:tc>
          <w:tcPr>
            <w:tcW w:w="3898" w:type="dxa"/>
          </w:tcPr>
          <w:p w14:paraId="4088C5A6" w14:textId="3E81C0B5" w:rsidR="00C02540" w:rsidRPr="00EF745C" w:rsidRDefault="00C02540" w:rsidP="009C50D0">
            <w:pPr>
              <w:spacing w:line="400" w:lineRule="exact"/>
              <w:jc w:val="center"/>
              <w:rPr>
                <w:rFonts w:ascii="標楷體" w:eastAsia="標楷體" w:hAnsi="標楷體"/>
                <w:sz w:val="28"/>
                <w:szCs w:val="28"/>
              </w:rPr>
            </w:pPr>
            <w:r w:rsidRPr="00EF745C">
              <w:rPr>
                <w:rFonts w:ascii="標楷體" w:eastAsia="標楷體" w:hAnsi="標楷體" w:hint="eastAsia"/>
                <w:sz w:val="28"/>
                <w:szCs w:val="28"/>
              </w:rPr>
              <w:t>修正條文</w:t>
            </w:r>
          </w:p>
        </w:tc>
        <w:tc>
          <w:tcPr>
            <w:tcW w:w="3899" w:type="dxa"/>
          </w:tcPr>
          <w:p w14:paraId="5A1339FC" w14:textId="77777777" w:rsidR="00C02540" w:rsidRPr="00EF745C" w:rsidRDefault="00C02540" w:rsidP="009C50D0">
            <w:pPr>
              <w:spacing w:line="400" w:lineRule="exact"/>
              <w:ind w:leftChars="-11" w:left="-26" w:firstLineChars="11" w:firstLine="31"/>
              <w:jc w:val="center"/>
              <w:rPr>
                <w:rFonts w:ascii="標楷體" w:eastAsia="標楷體" w:hAnsi="標楷體"/>
                <w:sz w:val="28"/>
                <w:szCs w:val="28"/>
              </w:rPr>
            </w:pPr>
            <w:r w:rsidRPr="00EF745C">
              <w:rPr>
                <w:rFonts w:ascii="標楷體" w:eastAsia="標楷體" w:hAnsi="標楷體" w:hint="eastAsia"/>
                <w:sz w:val="28"/>
                <w:szCs w:val="28"/>
              </w:rPr>
              <w:t>現行條文</w:t>
            </w:r>
          </w:p>
        </w:tc>
        <w:tc>
          <w:tcPr>
            <w:tcW w:w="2410" w:type="dxa"/>
          </w:tcPr>
          <w:p w14:paraId="2EA459BB" w14:textId="77777777" w:rsidR="00C02540" w:rsidRPr="00EF745C" w:rsidRDefault="00C02540" w:rsidP="009C50D0">
            <w:pPr>
              <w:spacing w:line="400" w:lineRule="exact"/>
              <w:ind w:leftChars="-11" w:left="-26" w:firstLineChars="11" w:firstLine="31"/>
              <w:jc w:val="center"/>
              <w:rPr>
                <w:rFonts w:ascii="標楷體" w:eastAsia="標楷體" w:hAnsi="標楷體"/>
                <w:sz w:val="28"/>
                <w:szCs w:val="28"/>
              </w:rPr>
            </w:pPr>
            <w:r>
              <w:rPr>
                <w:rFonts w:ascii="標楷體" w:eastAsia="標楷體" w:hAnsi="標楷體" w:hint="eastAsia"/>
                <w:sz w:val="28"/>
                <w:szCs w:val="28"/>
              </w:rPr>
              <w:t>說明</w:t>
            </w:r>
          </w:p>
        </w:tc>
      </w:tr>
      <w:tr w:rsidR="00111C70" w:rsidRPr="008D055C" w14:paraId="2D3D6CCC" w14:textId="77777777" w:rsidTr="00EF2B67">
        <w:trPr>
          <w:trHeight w:val="540"/>
        </w:trPr>
        <w:tc>
          <w:tcPr>
            <w:tcW w:w="3898" w:type="dxa"/>
            <w:tcBorders>
              <w:bottom w:val="single" w:sz="4" w:space="0" w:color="auto"/>
            </w:tcBorders>
          </w:tcPr>
          <w:p w14:paraId="124A5425" w14:textId="77777777" w:rsidR="001C03F2" w:rsidRPr="008D055C" w:rsidRDefault="001C03F2" w:rsidP="001C03F2">
            <w:pPr>
              <w:spacing w:line="400" w:lineRule="exact"/>
              <w:jc w:val="both"/>
              <w:rPr>
                <w:rFonts w:eastAsia="標楷體"/>
                <w:sz w:val="28"/>
                <w:szCs w:val="28"/>
              </w:rPr>
            </w:pPr>
            <w:r w:rsidRPr="008D055C">
              <w:rPr>
                <w:rFonts w:eastAsia="標楷體"/>
                <w:sz w:val="28"/>
                <w:szCs w:val="28"/>
              </w:rPr>
              <w:t>第</w:t>
            </w:r>
            <w:r w:rsidRPr="008D055C">
              <w:rPr>
                <w:rFonts w:eastAsia="標楷體"/>
                <w:sz w:val="28"/>
                <w:szCs w:val="28"/>
              </w:rPr>
              <w:t>13</w:t>
            </w:r>
            <w:r w:rsidRPr="008D055C">
              <w:rPr>
                <w:rFonts w:eastAsia="標楷體"/>
                <w:sz w:val="28"/>
                <w:szCs w:val="28"/>
              </w:rPr>
              <w:t>條之</w:t>
            </w:r>
            <w:r w:rsidRPr="008D055C">
              <w:rPr>
                <w:rFonts w:eastAsia="標楷體"/>
                <w:sz w:val="28"/>
                <w:szCs w:val="28"/>
              </w:rPr>
              <w:t>1</w:t>
            </w:r>
          </w:p>
          <w:p w14:paraId="488AC5EA" w14:textId="77777777" w:rsidR="001C03F2" w:rsidRPr="008D055C" w:rsidRDefault="001C03F2" w:rsidP="001C03F2">
            <w:pPr>
              <w:spacing w:beforeLines="30" w:before="108" w:line="400" w:lineRule="exact"/>
              <w:jc w:val="both"/>
              <w:rPr>
                <w:rFonts w:eastAsia="標楷體"/>
                <w:sz w:val="28"/>
                <w:szCs w:val="28"/>
              </w:rPr>
            </w:pPr>
            <w:r w:rsidRPr="008D055C">
              <w:rPr>
                <w:rFonts w:eastAsia="標楷體"/>
                <w:sz w:val="28"/>
                <w:szCs w:val="28"/>
              </w:rPr>
              <w:t>證券商接受專業投資人及高資產客戶委託買賣境外結構型商品，首次應派專人解說，嗣後同類型之境外結構型商品交易始得以電子方式委託。</w:t>
            </w:r>
          </w:p>
          <w:p w14:paraId="0ED77DE0" w14:textId="22E18B56" w:rsidR="001C03F2" w:rsidRPr="00F2598B" w:rsidRDefault="001C03F2" w:rsidP="001C03F2">
            <w:pPr>
              <w:spacing w:beforeLines="30" w:before="108" w:line="400" w:lineRule="exact"/>
              <w:jc w:val="both"/>
              <w:rPr>
                <w:rFonts w:eastAsia="標楷體"/>
                <w:sz w:val="28"/>
                <w:szCs w:val="28"/>
              </w:rPr>
            </w:pPr>
            <w:r>
              <w:rPr>
                <w:rFonts w:eastAsia="標楷體" w:hint="eastAsia"/>
                <w:sz w:val="28"/>
                <w:szCs w:val="28"/>
              </w:rPr>
              <w:t>按</w:t>
            </w:r>
            <w:r w:rsidRPr="008D055C">
              <w:rPr>
                <w:rFonts w:eastAsia="標楷體"/>
                <w:sz w:val="28"/>
                <w:szCs w:val="28"/>
              </w:rPr>
              <w:t>前項</w:t>
            </w:r>
            <w:r>
              <w:rPr>
                <w:rFonts w:eastAsia="標楷體" w:hint="eastAsia"/>
                <w:sz w:val="28"/>
                <w:szCs w:val="28"/>
              </w:rPr>
              <w:t>規定以</w:t>
            </w:r>
            <w:r w:rsidRPr="00F2598B">
              <w:rPr>
                <w:rFonts w:eastAsia="標楷體" w:hint="eastAsia"/>
                <w:sz w:val="28"/>
                <w:szCs w:val="28"/>
              </w:rPr>
              <w:t>電</w:t>
            </w:r>
            <w:r w:rsidRPr="00F2598B">
              <w:rPr>
                <w:rFonts w:eastAsia="標楷體"/>
                <w:sz w:val="28"/>
                <w:szCs w:val="28"/>
              </w:rPr>
              <w:t>子方式委託</w:t>
            </w:r>
            <w:r w:rsidRPr="00F2598B">
              <w:rPr>
                <w:rFonts w:eastAsia="標楷體" w:hint="eastAsia"/>
                <w:sz w:val="28"/>
                <w:szCs w:val="28"/>
              </w:rPr>
              <w:t>買賣境外</w:t>
            </w:r>
            <w:r w:rsidR="00C54840">
              <w:rPr>
                <w:rFonts w:eastAsia="標楷體" w:hint="eastAsia"/>
                <w:sz w:val="28"/>
                <w:szCs w:val="28"/>
              </w:rPr>
              <w:t>結</w:t>
            </w:r>
            <w:r w:rsidRPr="00F2598B">
              <w:rPr>
                <w:rFonts w:eastAsia="標楷體" w:hint="eastAsia"/>
                <w:sz w:val="28"/>
                <w:szCs w:val="28"/>
              </w:rPr>
              <w:t>構型商品</w:t>
            </w:r>
            <w:r w:rsidRPr="00F2598B">
              <w:rPr>
                <w:rFonts w:eastAsia="標楷體"/>
                <w:sz w:val="28"/>
                <w:szCs w:val="28"/>
              </w:rPr>
              <w:t>，應依下列</w:t>
            </w:r>
            <w:r w:rsidRPr="00F2598B">
              <w:rPr>
                <w:rFonts w:eastAsia="標楷體" w:hint="eastAsia"/>
                <w:sz w:val="28"/>
                <w:szCs w:val="28"/>
              </w:rPr>
              <w:t>管控</w:t>
            </w:r>
            <w:r w:rsidRPr="00F2598B">
              <w:rPr>
                <w:rFonts w:eastAsia="標楷體"/>
                <w:sz w:val="28"/>
                <w:szCs w:val="28"/>
              </w:rPr>
              <w:t>原則辦理：</w:t>
            </w:r>
          </w:p>
          <w:p w14:paraId="1FF7C582" w14:textId="77777777" w:rsidR="001C03F2" w:rsidRDefault="001C03F2" w:rsidP="001C03F2">
            <w:pPr>
              <w:pStyle w:val="a3"/>
              <w:numPr>
                <w:ilvl w:val="0"/>
                <w:numId w:val="5"/>
              </w:numPr>
              <w:spacing w:line="400" w:lineRule="exact"/>
              <w:ind w:leftChars="0" w:left="814" w:hanging="567"/>
              <w:contextualSpacing/>
              <w:jc w:val="both"/>
              <w:rPr>
                <w:rFonts w:eastAsia="標楷體"/>
                <w:sz w:val="28"/>
                <w:szCs w:val="28"/>
              </w:rPr>
            </w:pPr>
            <w:r w:rsidRPr="00C26A3D">
              <w:rPr>
                <w:rFonts w:eastAsia="標楷體"/>
                <w:sz w:val="28"/>
                <w:szCs w:val="28"/>
              </w:rPr>
              <w:t>使用電子方式受託投資境外結構型商品前，證券商應以書面與委託人約定使用相關事宜。</w:t>
            </w:r>
          </w:p>
          <w:p w14:paraId="7B2CBF43" w14:textId="156570AB" w:rsidR="001C03F2" w:rsidRDefault="001C03F2" w:rsidP="001C03F2">
            <w:pPr>
              <w:pStyle w:val="a3"/>
              <w:numPr>
                <w:ilvl w:val="0"/>
                <w:numId w:val="5"/>
              </w:numPr>
              <w:spacing w:line="400" w:lineRule="exact"/>
              <w:ind w:leftChars="0" w:left="814" w:hanging="567"/>
              <w:contextualSpacing/>
              <w:jc w:val="both"/>
              <w:rPr>
                <w:rFonts w:eastAsia="標楷體"/>
                <w:sz w:val="28"/>
                <w:szCs w:val="28"/>
              </w:rPr>
            </w:pPr>
            <w:r w:rsidRPr="001C03F2">
              <w:rPr>
                <w:rFonts w:eastAsia="標楷體"/>
                <w:sz w:val="28"/>
                <w:szCs w:val="28"/>
              </w:rPr>
              <w:t>證券商應揭露事項及內容，如需向委託人宣讀、說明，或請其簽名確認者，應以顯著方式於交易頁面供委託人閱覽，</w:t>
            </w:r>
            <w:r w:rsidR="00F67CB2" w:rsidRPr="00F67CB2">
              <w:rPr>
                <w:rFonts w:eastAsia="標楷體" w:hint="eastAsia"/>
                <w:color w:val="FF0000"/>
                <w:sz w:val="28"/>
                <w:szCs w:val="28"/>
                <w:u w:val="single"/>
              </w:rPr>
              <w:t>委託人</w:t>
            </w:r>
            <w:r w:rsidR="00C712BA" w:rsidRPr="00F67CB2">
              <w:rPr>
                <w:rFonts w:eastAsia="標楷體" w:hint="eastAsia"/>
                <w:color w:val="FF0000"/>
                <w:sz w:val="28"/>
                <w:szCs w:val="28"/>
                <w:u w:val="single"/>
              </w:rPr>
              <w:t>點選確認</w:t>
            </w:r>
            <w:r w:rsidR="00886642" w:rsidRPr="00F67CB2">
              <w:rPr>
                <w:rFonts w:eastAsia="標楷體" w:hint="eastAsia"/>
                <w:color w:val="FF0000"/>
                <w:sz w:val="28"/>
                <w:szCs w:val="28"/>
                <w:u w:val="single"/>
              </w:rPr>
              <w:t>前</w:t>
            </w:r>
            <w:r w:rsidR="00EC6316" w:rsidRPr="00F67CB2">
              <w:rPr>
                <w:rFonts w:eastAsia="標楷體" w:hint="eastAsia"/>
                <w:color w:val="FF0000"/>
                <w:sz w:val="28"/>
                <w:szCs w:val="28"/>
                <w:u w:val="single"/>
              </w:rPr>
              <w:t>，</w:t>
            </w:r>
            <w:r w:rsidR="00C712BA" w:rsidRPr="00F67CB2">
              <w:rPr>
                <w:rFonts w:eastAsia="標楷體" w:hint="eastAsia"/>
                <w:color w:val="FF0000"/>
                <w:sz w:val="28"/>
                <w:szCs w:val="28"/>
                <w:u w:val="single"/>
              </w:rPr>
              <w:t>其畫面停留之時間以可適當閱讀完整內容為依據，且內</w:t>
            </w:r>
            <w:r w:rsidR="00A373B0" w:rsidRPr="00F67CB2">
              <w:rPr>
                <w:rFonts w:eastAsia="標楷體" w:hint="eastAsia"/>
                <w:color w:val="FF0000"/>
                <w:sz w:val="28"/>
                <w:szCs w:val="28"/>
                <w:u w:val="single"/>
              </w:rPr>
              <w:t>容須逐條</w:t>
            </w:r>
            <w:r w:rsidR="00A373B0" w:rsidRPr="00F67CB2">
              <w:rPr>
                <w:rFonts w:eastAsia="標楷體" w:hint="eastAsia"/>
                <w:color w:val="FF0000"/>
                <w:sz w:val="28"/>
                <w:szCs w:val="28"/>
                <w:u w:val="single"/>
              </w:rPr>
              <w:t>(</w:t>
            </w:r>
            <w:r w:rsidR="00A373B0" w:rsidRPr="00F67CB2">
              <w:rPr>
                <w:rFonts w:eastAsia="標楷體" w:hint="eastAsia"/>
                <w:color w:val="FF0000"/>
                <w:sz w:val="28"/>
                <w:szCs w:val="28"/>
                <w:u w:val="single"/>
              </w:rPr>
              <w:t>段</w:t>
            </w:r>
            <w:r w:rsidR="00A373B0" w:rsidRPr="00F67CB2">
              <w:rPr>
                <w:rFonts w:eastAsia="標楷體" w:hint="eastAsia"/>
                <w:color w:val="FF0000"/>
                <w:sz w:val="28"/>
                <w:szCs w:val="28"/>
                <w:u w:val="single"/>
              </w:rPr>
              <w:t>)</w:t>
            </w:r>
            <w:r w:rsidR="00A373B0" w:rsidRPr="00F67CB2">
              <w:rPr>
                <w:rFonts w:eastAsia="標楷體" w:hint="eastAsia"/>
                <w:color w:val="FF0000"/>
                <w:sz w:val="28"/>
                <w:szCs w:val="28"/>
                <w:u w:val="single"/>
              </w:rPr>
              <w:t>勾</w:t>
            </w:r>
            <w:r w:rsidR="007C4303" w:rsidRPr="00F67CB2">
              <w:rPr>
                <w:rFonts w:eastAsia="標楷體" w:hint="eastAsia"/>
                <w:color w:val="FF0000"/>
                <w:sz w:val="28"/>
                <w:szCs w:val="28"/>
                <w:u w:val="single"/>
              </w:rPr>
              <w:t>選</w:t>
            </w:r>
            <w:r w:rsidR="00A373B0" w:rsidRPr="00F67CB2">
              <w:rPr>
                <w:rFonts w:eastAsia="標楷體" w:hint="eastAsia"/>
                <w:color w:val="FF0000"/>
                <w:sz w:val="28"/>
                <w:szCs w:val="28"/>
                <w:u w:val="single"/>
              </w:rPr>
              <w:t>，</w:t>
            </w:r>
            <w:r w:rsidR="00C712BA" w:rsidRPr="00F67CB2">
              <w:rPr>
                <w:rFonts w:eastAsia="標楷體" w:hint="eastAsia"/>
                <w:color w:val="FF0000"/>
                <w:sz w:val="28"/>
                <w:szCs w:val="28"/>
                <w:u w:val="single"/>
              </w:rPr>
              <w:t>始</w:t>
            </w:r>
            <w:r w:rsidR="007C4303" w:rsidRPr="00F67CB2">
              <w:rPr>
                <w:rFonts w:eastAsia="標楷體" w:hint="eastAsia"/>
                <w:color w:val="FF0000"/>
                <w:sz w:val="28"/>
                <w:szCs w:val="28"/>
                <w:u w:val="single"/>
              </w:rPr>
              <w:t>得進入後續交易程序</w:t>
            </w:r>
            <w:r w:rsidRPr="001C03F2">
              <w:rPr>
                <w:rFonts w:eastAsia="標楷體" w:hint="eastAsia"/>
                <w:sz w:val="28"/>
                <w:szCs w:val="28"/>
              </w:rPr>
              <w:t>，</w:t>
            </w:r>
            <w:r w:rsidR="00F67CB2" w:rsidRPr="00F67CB2">
              <w:rPr>
                <w:rFonts w:eastAsia="標楷體" w:hint="eastAsia"/>
                <w:color w:val="FF0000"/>
                <w:sz w:val="28"/>
                <w:szCs w:val="28"/>
                <w:u w:val="single"/>
              </w:rPr>
              <w:t>證券商應</w:t>
            </w:r>
            <w:r w:rsidRPr="001C03F2">
              <w:rPr>
                <w:rFonts w:eastAsia="標楷體"/>
                <w:sz w:val="28"/>
                <w:szCs w:val="28"/>
              </w:rPr>
              <w:t>以電子設備留存相關作業過程之軌跡。</w:t>
            </w:r>
          </w:p>
          <w:p w14:paraId="120BA451" w14:textId="364E23E6" w:rsidR="001C03F2" w:rsidRPr="001C03F2" w:rsidRDefault="001C03F2" w:rsidP="001C03F2">
            <w:pPr>
              <w:pStyle w:val="a3"/>
              <w:numPr>
                <w:ilvl w:val="0"/>
                <w:numId w:val="5"/>
              </w:numPr>
              <w:spacing w:line="400" w:lineRule="exact"/>
              <w:ind w:leftChars="0" w:left="814" w:hanging="567"/>
              <w:contextualSpacing/>
              <w:jc w:val="both"/>
              <w:rPr>
                <w:rFonts w:eastAsia="標楷體"/>
                <w:sz w:val="28"/>
                <w:szCs w:val="28"/>
              </w:rPr>
            </w:pPr>
            <w:r w:rsidRPr="001C03F2">
              <w:rPr>
                <w:rFonts w:eastAsia="標楷體"/>
                <w:sz w:val="28"/>
                <w:szCs w:val="28"/>
              </w:rPr>
              <w:t>證券商應交付委託人之交易文件，得</w:t>
            </w:r>
            <w:r w:rsidRPr="001C03F2">
              <w:rPr>
                <w:rFonts w:eastAsia="標楷體" w:hint="eastAsia"/>
                <w:sz w:val="28"/>
                <w:szCs w:val="28"/>
              </w:rPr>
              <w:t>以電子方式交付，並</w:t>
            </w:r>
            <w:r w:rsidRPr="001C03F2">
              <w:rPr>
                <w:rFonts w:eastAsia="標楷體"/>
                <w:sz w:val="28"/>
                <w:szCs w:val="28"/>
              </w:rPr>
              <w:t>於委託人確認後</w:t>
            </w:r>
            <w:r w:rsidRPr="001C03F2">
              <w:rPr>
                <w:rFonts w:eastAsia="標楷體" w:hint="eastAsia"/>
                <w:sz w:val="28"/>
                <w:szCs w:val="28"/>
              </w:rPr>
              <w:t>完成</w:t>
            </w:r>
            <w:r w:rsidRPr="001C03F2">
              <w:rPr>
                <w:rFonts w:eastAsia="標楷體"/>
                <w:sz w:val="28"/>
                <w:szCs w:val="28"/>
              </w:rPr>
              <w:t>交付</w:t>
            </w:r>
            <w:r w:rsidRPr="001C03F2">
              <w:rPr>
                <w:rFonts w:eastAsia="標楷體" w:hint="eastAsia"/>
                <w:sz w:val="28"/>
                <w:szCs w:val="28"/>
              </w:rPr>
              <w:t>作業</w:t>
            </w:r>
            <w:r w:rsidR="00BC2E53">
              <w:rPr>
                <w:rFonts w:eastAsia="標楷體" w:hint="eastAsia"/>
                <w:sz w:val="28"/>
                <w:szCs w:val="28"/>
              </w:rPr>
              <w:t>。</w:t>
            </w:r>
          </w:p>
          <w:p w14:paraId="2CE5B7EE" w14:textId="63AB70D2" w:rsidR="00111C70" w:rsidRPr="008D055C" w:rsidRDefault="001C03F2" w:rsidP="001C03F2">
            <w:pPr>
              <w:spacing w:beforeLines="50" w:before="180" w:line="400" w:lineRule="exact"/>
              <w:jc w:val="both"/>
              <w:rPr>
                <w:rFonts w:eastAsia="標楷體"/>
                <w:sz w:val="28"/>
                <w:szCs w:val="28"/>
              </w:rPr>
            </w:pPr>
            <w:r w:rsidRPr="00C26A3D">
              <w:rPr>
                <w:rFonts w:eastAsia="標楷體"/>
                <w:sz w:val="28"/>
                <w:szCs w:val="28"/>
              </w:rPr>
              <w:t>第一項所稱同類型之境外結構型商品係指商品結構、幣別、連結標的等性質完全一致之商品。</w:t>
            </w:r>
          </w:p>
        </w:tc>
        <w:tc>
          <w:tcPr>
            <w:tcW w:w="3899" w:type="dxa"/>
            <w:tcBorders>
              <w:bottom w:val="single" w:sz="4" w:space="0" w:color="auto"/>
            </w:tcBorders>
            <w:shd w:val="clear" w:color="auto" w:fill="auto"/>
          </w:tcPr>
          <w:p w14:paraId="33E6700A" w14:textId="77777777" w:rsidR="001C03F2" w:rsidRPr="008D055C" w:rsidRDefault="001C03F2" w:rsidP="001C03F2">
            <w:pPr>
              <w:spacing w:line="400" w:lineRule="exact"/>
              <w:jc w:val="both"/>
              <w:rPr>
                <w:rFonts w:eastAsia="標楷體"/>
                <w:sz w:val="28"/>
                <w:szCs w:val="28"/>
              </w:rPr>
            </w:pPr>
            <w:r w:rsidRPr="008D055C">
              <w:rPr>
                <w:rFonts w:eastAsia="標楷體"/>
                <w:sz w:val="28"/>
                <w:szCs w:val="28"/>
              </w:rPr>
              <w:t>第</w:t>
            </w:r>
            <w:r w:rsidRPr="008D055C">
              <w:rPr>
                <w:rFonts w:eastAsia="標楷體"/>
                <w:sz w:val="28"/>
                <w:szCs w:val="28"/>
              </w:rPr>
              <w:t>13</w:t>
            </w:r>
            <w:r w:rsidRPr="008D055C">
              <w:rPr>
                <w:rFonts w:eastAsia="標楷體"/>
                <w:sz w:val="28"/>
                <w:szCs w:val="28"/>
              </w:rPr>
              <w:t>條之</w:t>
            </w:r>
            <w:r w:rsidRPr="008D055C">
              <w:rPr>
                <w:rFonts w:eastAsia="標楷體"/>
                <w:sz w:val="28"/>
                <w:szCs w:val="28"/>
              </w:rPr>
              <w:t>1</w:t>
            </w:r>
          </w:p>
          <w:p w14:paraId="2A64FF96" w14:textId="77777777" w:rsidR="001C03F2" w:rsidRPr="008D055C" w:rsidRDefault="001C03F2" w:rsidP="001C03F2">
            <w:pPr>
              <w:spacing w:beforeLines="30" w:before="108" w:line="400" w:lineRule="exact"/>
              <w:jc w:val="both"/>
              <w:rPr>
                <w:rFonts w:eastAsia="標楷體"/>
                <w:sz w:val="28"/>
                <w:szCs w:val="28"/>
              </w:rPr>
            </w:pPr>
            <w:r w:rsidRPr="008D055C">
              <w:rPr>
                <w:rFonts w:eastAsia="標楷體"/>
                <w:sz w:val="28"/>
                <w:szCs w:val="28"/>
              </w:rPr>
              <w:t>證券商接受專業投資人及高資產客戶委託買賣境外結構型商品，首次應派專人解說，嗣後同類型之境外結構型商品交易始得以電子方式委託。</w:t>
            </w:r>
          </w:p>
          <w:p w14:paraId="7FADE0B3" w14:textId="2B0D3B61" w:rsidR="001C03F2" w:rsidRPr="00F2598B" w:rsidRDefault="001C03F2" w:rsidP="001C03F2">
            <w:pPr>
              <w:spacing w:beforeLines="30" w:before="108" w:line="400" w:lineRule="exact"/>
              <w:jc w:val="both"/>
              <w:rPr>
                <w:rFonts w:eastAsia="標楷體"/>
                <w:sz w:val="28"/>
                <w:szCs w:val="28"/>
              </w:rPr>
            </w:pPr>
            <w:r>
              <w:rPr>
                <w:rFonts w:eastAsia="標楷體" w:hint="eastAsia"/>
                <w:sz w:val="28"/>
                <w:szCs w:val="28"/>
              </w:rPr>
              <w:t>按</w:t>
            </w:r>
            <w:r w:rsidRPr="008D055C">
              <w:rPr>
                <w:rFonts w:eastAsia="標楷體"/>
                <w:sz w:val="28"/>
                <w:szCs w:val="28"/>
              </w:rPr>
              <w:t>前項</w:t>
            </w:r>
            <w:r>
              <w:rPr>
                <w:rFonts w:eastAsia="標楷體" w:hint="eastAsia"/>
                <w:sz w:val="28"/>
                <w:szCs w:val="28"/>
              </w:rPr>
              <w:t>規定以</w:t>
            </w:r>
            <w:r w:rsidRPr="00F2598B">
              <w:rPr>
                <w:rFonts w:eastAsia="標楷體" w:hint="eastAsia"/>
                <w:sz w:val="28"/>
                <w:szCs w:val="28"/>
              </w:rPr>
              <w:t>電</w:t>
            </w:r>
            <w:r w:rsidRPr="00F2598B">
              <w:rPr>
                <w:rFonts w:eastAsia="標楷體"/>
                <w:sz w:val="28"/>
                <w:szCs w:val="28"/>
              </w:rPr>
              <w:t>子方式委託</w:t>
            </w:r>
            <w:r w:rsidRPr="00F2598B">
              <w:rPr>
                <w:rFonts w:eastAsia="標楷體" w:hint="eastAsia"/>
                <w:sz w:val="28"/>
                <w:szCs w:val="28"/>
              </w:rPr>
              <w:t>買賣境外</w:t>
            </w:r>
            <w:r w:rsidR="00C54840">
              <w:rPr>
                <w:rFonts w:eastAsia="標楷體" w:hint="eastAsia"/>
                <w:sz w:val="28"/>
                <w:szCs w:val="28"/>
              </w:rPr>
              <w:t>結</w:t>
            </w:r>
            <w:r w:rsidRPr="00F2598B">
              <w:rPr>
                <w:rFonts w:eastAsia="標楷體" w:hint="eastAsia"/>
                <w:sz w:val="28"/>
                <w:szCs w:val="28"/>
              </w:rPr>
              <w:t>構型商品</w:t>
            </w:r>
            <w:r w:rsidRPr="00F2598B">
              <w:rPr>
                <w:rFonts w:eastAsia="標楷體"/>
                <w:sz w:val="28"/>
                <w:szCs w:val="28"/>
              </w:rPr>
              <w:t>，應依下列</w:t>
            </w:r>
            <w:r w:rsidRPr="00F2598B">
              <w:rPr>
                <w:rFonts w:eastAsia="標楷體" w:hint="eastAsia"/>
                <w:sz w:val="28"/>
                <w:szCs w:val="28"/>
              </w:rPr>
              <w:t>管控</w:t>
            </w:r>
            <w:r w:rsidRPr="00F2598B">
              <w:rPr>
                <w:rFonts w:eastAsia="標楷體"/>
                <w:sz w:val="28"/>
                <w:szCs w:val="28"/>
              </w:rPr>
              <w:t>原則辦理：</w:t>
            </w:r>
          </w:p>
          <w:p w14:paraId="02049B28" w14:textId="77777777" w:rsidR="001C03F2" w:rsidRDefault="001C03F2" w:rsidP="001C03F2">
            <w:pPr>
              <w:pStyle w:val="a3"/>
              <w:numPr>
                <w:ilvl w:val="0"/>
                <w:numId w:val="6"/>
              </w:numPr>
              <w:spacing w:line="400" w:lineRule="exact"/>
              <w:ind w:leftChars="0" w:hanging="625"/>
              <w:contextualSpacing/>
              <w:jc w:val="both"/>
              <w:rPr>
                <w:rFonts w:eastAsia="標楷體"/>
                <w:sz w:val="28"/>
                <w:szCs w:val="28"/>
              </w:rPr>
            </w:pPr>
            <w:r w:rsidRPr="00C26A3D">
              <w:rPr>
                <w:rFonts w:eastAsia="標楷體"/>
                <w:sz w:val="28"/>
                <w:szCs w:val="28"/>
              </w:rPr>
              <w:t>使用電子方式受託投資境外結構型商品前，證券商應以書面與委託人約定使用相關事宜。</w:t>
            </w:r>
          </w:p>
          <w:p w14:paraId="4F4DEBA1" w14:textId="77777777" w:rsidR="001C03F2" w:rsidRDefault="001C03F2" w:rsidP="001C03F2">
            <w:pPr>
              <w:pStyle w:val="a3"/>
              <w:numPr>
                <w:ilvl w:val="0"/>
                <w:numId w:val="6"/>
              </w:numPr>
              <w:spacing w:line="400" w:lineRule="exact"/>
              <w:ind w:leftChars="0" w:hanging="625"/>
              <w:contextualSpacing/>
              <w:jc w:val="both"/>
              <w:rPr>
                <w:rFonts w:eastAsia="標楷體"/>
                <w:sz w:val="28"/>
                <w:szCs w:val="28"/>
              </w:rPr>
            </w:pPr>
            <w:r w:rsidRPr="001C03F2">
              <w:rPr>
                <w:rFonts w:eastAsia="標楷體"/>
                <w:sz w:val="28"/>
                <w:szCs w:val="28"/>
              </w:rPr>
              <w:t>證券商應揭露事項及內容，如需向委託人宣讀、說明，或請其簽名確認者，應以顯著方式於交易頁面供委託人閱覽，</w:t>
            </w:r>
            <w:r w:rsidRPr="00F67CB2">
              <w:rPr>
                <w:rFonts w:eastAsia="標楷體" w:hint="eastAsia"/>
                <w:sz w:val="28"/>
                <w:szCs w:val="28"/>
                <w:u w:val="single"/>
              </w:rPr>
              <w:t>依第六條第二項規定辦理</w:t>
            </w:r>
            <w:r w:rsidRPr="00F67CB2">
              <w:rPr>
                <w:rFonts w:eastAsia="標楷體" w:hint="eastAsia"/>
                <w:sz w:val="28"/>
                <w:szCs w:val="28"/>
              </w:rPr>
              <w:t>，</w:t>
            </w:r>
            <w:r w:rsidRPr="00F67CB2">
              <w:rPr>
                <w:rFonts w:eastAsia="標楷體" w:hint="eastAsia"/>
                <w:sz w:val="28"/>
                <w:szCs w:val="28"/>
                <w:u w:val="single"/>
              </w:rPr>
              <w:t>並</w:t>
            </w:r>
            <w:r w:rsidRPr="001C03F2">
              <w:rPr>
                <w:rFonts w:eastAsia="標楷體"/>
                <w:sz w:val="28"/>
                <w:szCs w:val="28"/>
              </w:rPr>
              <w:t>以電子設備留存相關作業過程之軌跡。</w:t>
            </w:r>
          </w:p>
          <w:p w14:paraId="30D5DB07" w14:textId="32C8756F" w:rsidR="001C03F2" w:rsidRPr="001C03F2" w:rsidRDefault="001C03F2" w:rsidP="001C03F2">
            <w:pPr>
              <w:pStyle w:val="a3"/>
              <w:numPr>
                <w:ilvl w:val="0"/>
                <w:numId w:val="6"/>
              </w:numPr>
              <w:spacing w:line="400" w:lineRule="exact"/>
              <w:ind w:leftChars="0" w:hanging="625"/>
              <w:contextualSpacing/>
              <w:jc w:val="both"/>
              <w:rPr>
                <w:rFonts w:eastAsia="標楷體"/>
                <w:sz w:val="28"/>
                <w:szCs w:val="28"/>
              </w:rPr>
            </w:pPr>
            <w:r w:rsidRPr="001C03F2">
              <w:rPr>
                <w:rFonts w:eastAsia="標楷體"/>
                <w:sz w:val="28"/>
                <w:szCs w:val="28"/>
              </w:rPr>
              <w:t>證券商應交付委託人之交易文件，得</w:t>
            </w:r>
            <w:r w:rsidRPr="001C03F2">
              <w:rPr>
                <w:rFonts w:eastAsia="標楷體" w:hint="eastAsia"/>
                <w:sz w:val="28"/>
                <w:szCs w:val="28"/>
              </w:rPr>
              <w:t>以電子方式交付，並</w:t>
            </w:r>
            <w:r w:rsidRPr="001C03F2">
              <w:rPr>
                <w:rFonts w:eastAsia="標楷體"/>
                <w:sz w:val="28"/>
                <w:szCs w:val="28"/>
              </w:rPr>
              <w:t>於委託人確認後</w:t>
            </w:r>
            <w:r w:rsidRPr="001C03F2">
              <w:rPr>
                <w:rFonts w:eastAsia="標楷體" w:hint="eastAsia"/>
                <w:sz w:val="28"/>
                <w:szCs w:val="28"/>
              </w:rPr>
              <w:t>完成</w:t>
            </w:r>
            <w:r w:rsidRPr="001C03F2">
              <w:rPr>
                <w:rFonts w:eastAsia="標楷體"/>
                <w:sz w:val="28"/>
                <w:szCs w:val="28"/>
              </w:rPr>
              <w:t>交付</w:t>
            </w:r>
            <w:r w:rsidRPr="001C03F2">
              <w:rPr>
                <w:rFonts w:eastAsia="標楷體" w:hint="eastAsia"/>
                <w:sz w:val="28"/>
                <w:szCs w:val="28"/>
              </w:rPr>
              <w:t>作業</w:t>
            </w:r>
            <w:r w:rsidRPr="001C03F2">
              <w:rPr>
                <w:rFonts w:eastAsia="標楷體"/>
                <w:sz w:val="28"/>
                <w:szCs w:val="28"/>
              </w:rPr>
              <w:t>。</w:t>
            </w:r>
          </w:p>
          <w:p w14:paraId="03CDE049" w14:textId="0C2EEE55" w:rsidR="001C03F2" w:rsidRPr="008D055C" w:rsidRDefault="001C03F2" w:rsidP="001C03F2">
            <w:pPr>
              <w:spacing w:line="400" w:lineRule="exact"/>
              <w:jc w:val="both"/>
              <w:rPr>
                <w:rFonts w:eastAsia="標楷體"/>
                <w:sz w:val="28"/>
                <w:szCs w:val="28"/>
              </w:rPr>
            </w:pPr>
            <w:r w:rsidRPr="00C26A3D">
              <w:rPr>
                <w:rFonts w:eastAsia="標楷體"/>
                <w:sz w:val="28"/>
                <w:szCs w:val="28"/>
              </w:rPr>
              <w:t>第一項所稱同類型之境外結構型商品係指商品結構、幣別、連結標的等性質完全一致之商品。</w:t>
            </w:r>
          </w:p>
        </w:tc>
        <w:tc>
          <w:tcPr>
            <w:tcW w:w="2410" w:type="dxa"/>
            <w:tcBorders>
              <w:bottom w:val="single" w:sz="4" w:space="0" w:color="auto"/>
            </w:tcBorders>
          </w:tcPr>
          <w:p w14:paraId="26359B95" w14:textId="11AB577C" w:rsidR="00D650A0" w:rsidRPr="00D650A0" w:rsidRDefault="00D650A0" w:rsidP="00D650A0">
            <w:pPr>
              <w:spacing w:line="400" w:lineRule="exact"/>
              <w:ind w:hanging="2"/>
              <w:jc w:val="both"/>
              <w:rPr>
                <w:rFonts w:eastAsia="標楷體"/>
                <w:sz w:val="28"/>
                <w:szCs w:val="28"/>
              </w:rPr>
            </w:pPr>
            <w:r w:rsidRPr="00D650A0">
              <w:rPr>
                <w:rFonts w:eastAsia="標楷體" w:hint="eastAsia"/>
                <w:sz w:val="28"/>
                <w:szCs w:val="28"/>
              </w:rPr>
              <w:t>參酌「信託業運用信託財產從事衍生性金融商品及結構型商品交易應遵循事項｣第</w:t>
            </w:r>
            <w:r w:rsidRPr="00D650A0">
              <w:rPr>
                <w:rFonts w:eastAsia="標楷體"/>
                <w:sz w:val="28"/>
                <w:szCs w:val="28"/>
              </w:rPr>
              <w:t>31</w:t>
            </w:r>
            <w:r w:rsidRPr="00D650A0">
              <w:rPr>
                <w:rFonts w:eastAsia="標楷體" w:hint="eastAsia"/>
                <w:sz w:val="28"/>
                <w:szCs w:val="28"/>
              </w:rPr>
              <w:t>條之</w:t>
            </w:r>
            <w:r w:rsidRPr="00D650A0">
              <w:rPr>
                <w:rFonts w:eastAsia="標楷體"/>
                <w:sz w:val="28"/>
                <w:szCs w:val="28"/>
              </w:rPr>
              <w:t>1</w:t>
            </w:r>
            <w:r w:rsidRPr="00D650A0">
              <w:rPr>
                <w:rFonts w:eastAsia="標楷體" w:hint="eastAsia"/>
                <w:sz w:val="28"/>
                <w:szCs w:val="28"/>
              </w:rPr>
              <w:t>第</w:t>
            </w:r>
            <w:r w:rsidRPr="00D650A0">
              <w:rPr>
                <w:rFonts w:eastAsia="標楷體"/>
                <w:sz w:val="28"/>
                <w:szCs w:val="28"/>
              </w:rPr>
              <w:t>1</w:t>
            </w:r>
            <w:r w:rsidRPr="00D650A0">
              <w:rPr>
                <w:rFonts w:eastAsia="標楷體" w:hint="eastAsia"/>
                <w:sz w:val="28"/>
                <w:szCs w:val="28"/>
              </w:rPr>
              <w:t>項第</w:t>
            </w:r>
            <w:r w:rsidRPr="00D650A0">
              <w:rPr>
                <w:rFonts w:eastAsia="標楷體"/>
                <w:sz w:val="28"/>
                <w:szCs w:val="28"/>
              </w:rPr>
              <w:t>4</w:t>
            </w:r>
            <w:r w:rsidRPr="00D650A0">
              <w:rPr>
                <w:rFonts w:eastAsia="標楷體" w:hint="eastAsia"/>
                <w:sz w:val="28"/>
                <w:szCs w:val="28"/>
              </w:rPr>
              <w:t>款及第</w:t>
            </w:r>
            <w:r w:rsidRPr="00D650A0">
              <w:rPr>
                <w:rFonts w:eastAsia="標楷體"/>
                <w:sz w:val="28"/>
                <w:szCs w:val="28"/>
              </w:rPr>
              <w:t>5</w:t>
            </w:r>
            <w:r w:rsidRPr="00D650A0">
              <w:rPr>
                <w:rFonts w:eastAsia="標楷體" w:hint="eastAsia"/>
                <w:sz w:val="28"/>
                <w:szCs w:val="28"/>
              </w:rPr>
              <w:t>款，修訂</w:t>
            </w:r>
            <w:r w:rsidRPr="00D650A0">
              <w:rPr>
                <w:rFonts w:ascii="Times New Roman" w:eastAsia="標楷體" w:hAnsi="Times New Roman" w:hint="eastAsia"/>
                <w:sz w:val="28"/>
                <w:szCs w:val="28"/>
              </w:rPr>
              <w:t>本條第</w:t>
            </w:r>
            <w:r w:rsidRPr="00D650A0">
              <w:rPr>
                <w:rFonts w:ascii="Times New Roman" w:eastAsia="標楷體" w:hAnsi="Times New Roman" w:hint="eastAsia"/>
                <w:sz w:val="28"/>
                <w:szCs w:val="28"/>
              </w:rPr>
              <w:t>2</w:t>
            </w:r>
            <w:r w:rsidRPr="00D650A0">
              <w:rPr>
                <w:rFonts w:ascii="Times New Roman" w:eastAsia="標楷體" w:hAnsi="Times New Roman" w:hint="eastAsia"/>
                <w:sz w:val="28"/>
                <w:szCs w:val="28"/>
              </w:rPr>
              <w:t>項，</w:t>
            </w:r>
            <w:r w:rsidRPr="00D650A0">
              <w:rPr>
                <w:rFonts w:eastAsia="標楷體" w:hint="eastAsia"/>
                <w:sz w:val="28"/>
                <w:szCs w:val="28"/>
              </w:rPr>
              <w:t>有關證券商接受專業投資人及高資產客戶以電子方式委託買賣境外結構型商品，明訂證券商應揭露事項及內容之控管作業。</w:t>
            </w:r>
          </w:p>
          <w:p w14:paraId="0BB4AC2A" w14:textId="719E7300" w:rsidR="006B4EF6" w:rsidRPr="00D650A0" w:rsidRDefault="006B4EF6" w:rsidP="00D650A0">
            <w:pPr>
              <w:spacing w:line="400" w:lineRule="exact"/>
              <w:jc w:val="both"/>
              <w:rPr>
                <w:rFonts w:eastAsia="標楷體"/>
                <w:sz w:val="28"/>
                <w:szCs w:val="28"/>
              </w:rPr>
            </w:pPr>
          </w:p>
        </w:tc>
      </w:tr>
    </w:tbl>
    <w:p w14:paraId="4CB3FF00" w14:textId="77777777" w:rsidR="00C02540" w:rsidRPr="00C02540" w:rsidRDefault="00C02540" w:rsidP="00D650A0"/>
    <w:sectPr w:rsidR="00C02540" w:rsidRPr="00C02540" w:rsidSect="00D650A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59F7" w14:textId="77777777" w:rsidR="005C0950" w:rsidRDefault="005C0950" w:rsidP="006002FC">
      <w:r>
        <w:separator/>
      </w:r>
    </w:p>
  </w:endnote>
  <w:endnote w:type="continuationSeparator" w:id="0">
    <w:p w14:paraId="11965F7D" w14:textId="77777777" w:rsidR="005C0950" w:rsidRDefault="005C0950" w:rsidP="0060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8CC3B" w14:textId="77777777" w:rsidR="005C0950" w:rsidRDefault="005C0950" w:rsidP="006002FC">
      <w:r>
        <w:separator/>
      </w:r>
    </w:p>
  </w:footnote>
  <w:footnote w:type="continuationSeparator" w:id="0">
    <w:p w14:paraId="2800B762" w14:textId="77777777" w:rsidR="005C0950" w:rsidRDefault="005C0950" w:rsidP="0060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71711"/>
    <w:multiLevelType w:val="hybridMultilevel"/>
    <w:tmpl w:val="32AEC79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4060D21"/>
    <w:multiLevelType w:val="hybridMultilevel"/>
    <w:tmpl w:val="69206E02"/>
    <w:lvl w:ilvl="0" w:tplc="FFFFFFFF">
      <w:start w:val="1"/>
      <w:numFmt w:val="taiwaneseCountingThousand"/>
      <w:lvlText w:val="%1、"/>
      <w:lvlJc w:val="left"/>
      <w:pPr>
        <w:ind w:left="2433" w:hanging="960"/>
      </w:pPr>
      <w:rPr>
        <w:rFonts w:hint="default"/>
        <w:sz w:val="32"/>
        <w:szCs w:val="32"/>
      </w:rPr>
    </w:lvl>
    <w:lvl w:ilvl="1" w:tplc="FFFFFFFF">
      <w:start w:val="1"/>
      <w:numFmt w:val="taiwaneseCountingThousand"/>
      <w:lvlText w:val="%2、"/>
      <w:lvlJc w:val="left"/>
      <w:pPr>
        <w:ind w:left="1440" w:hanging="480"/>
      </w:pPr>
      <w:rPr>
        <w:rFonts w:hint="default"/>
        <w:sz w:val="32"/>
        <w:szCs w:val="32"/>
      </w:rPr>
    </w:lvl>
    <w:lvl w:ilvl="2" w:tplc="0409001B">
      <w:start w:val="1"/>
      <w:numFmt w:val="lowerRoman"/>
      <w:lvlText w:val="%3."/>
      <w:lvlJc w:val="right"/>
      <w:pPr>
        <w:ind w:left="1920" w:hanging="480"/>
      </w:pPr>
    </w:lvl>
    <w:lvl w:ilvl="3" w:tplc="E0F489A4">
      <w:start w:val="1"/>
      <w:numFmt w:val="taiwaneseCountingThousand"/>
      <w:lvlText w:val="(%4)"/>
      <w:lvlJc w:val="left"/>
      <w:pPr>
        <w:ind w:left="2640" w:hanging="72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5874A4B"/>
    <w:multiLevelType w:val="hybridMultilevel"/>
    <w:tmpl w:val="B052B4D2"/>
    <w:lvl w:ilvl="0" w:tplc="FFFFFFFF">
      <w:start w:val="1"/>
      <w:numFmt w:val="taiwaneseCountingThousand"/>
      <w:lvlText w:val="%1、"/>
      <w:lvlJc w:val="left"/>
      <w:pPr>
        <w:ind w:left="2913" w:hanging="960"/>
      </w:pPr>
      <w:rPr>
        <w:rFonts w:hint="default"/>
        <w:sz w:val="32"/>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A837CB4"/>
    <w:multiLevelType w:val="hybridMultilevel"/>
    <w:tmpl w:val="929E4E6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3A8B1DBA"/>
    <w:multiLevelType w:val="hybridMultilevel"/>
    <w:tmpl w:val="5CFEDEE6"/>
    <w:lvl w:ilvl="0" w:tplc="9D28983A">
      <w:start w:val="1"/>
      <w:numFmt w:val="taiwaneseCountingThousand"/>
      <w:lvlText w:val="%1、"/>
      <w:lvlJc w:val="left"/>
      <w:pPr>
        <w:ind w:left="804" w:hanging="7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5" w15:restartNumberingAfterBreak="0">
    <w:nsid w:val="3B91795A"/>
    <w:multiLevelType w:val="hybridMultilevel"/>
    <w:tmpl w:val="2D1ABE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29F629F"/>
    <w:multiLevelType w:val="hybridMultilevel"/>
    <w:tmpl w:val="17C43216"/>
    <w:lvl w:ilvl="0" w:tplc="601A271E">
      <w:start w:val="1"/>
      <w:numFmt w:val="taiwaneseCountingThousand"/>
      <w:lvlText w:val="%1、"/>
      <w:lvlJc w:val="left"/>
      <w:pPr>
        <w:ind w:left="144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E982EB2"/>
    <w:multiLevelType w:val="hybridMultilevel"/>
    <w:tmpl w:val="7B6A16DE"/>
    <w:lvl w:ilvl="0" w:tplc="9460CD3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138622A"/>
    <w:multiLevelType w:val="hybridMultilevel"/>
    <w:tmpl w:val="15BE70A8"/>
    <w:lvl w:ilvl="0" w:tplc="A0B82652">
      <w:start w:val="1"/>
      <w:numFmt w:val="taiwaneseCountingThousand"/>
      <w:lvlText w:val="(%1)"/>
      <w:lvlJc w:val="left"/>
      <w:pPr>
        <w:ind w:left="1920" w:hanging="480"/>
      </w:pPr>
      <w:rPr>
        <w:rFonts w:hint="default"/>
      </w:rPr>
    </w:lvl>
    <w:lvl w:ilvl="1" w:tplc="4978EE00">
      <w:start w:val="1"/>
      <w:numFmt w:val="decimal"/>
      <w:lvlText w:val="%2."/>
      <w:lvlJc w:val="left"/>
      <w:pPr>
        <w:ind w:left="1255" w:hanging="405"/>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730B4CBF"/>
    <w:multiLevelType w:val="hybridMultilevel"/>
    <w:tmpl w:val="929E4E6E"/>
    <w:lvl w:ilvl="0" w:tplc="37EEF8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E56D40"/>
    <w:multiLevelType w:val="hybridMultilevel"/>
    <w:tmpl w:val="1E70FB9A"/>
    <w:lvl w:ilvl="0" w:tplc="601A271E">
      <w:start w:val="1"/>
      <w:numFmt w:val="taiwaneseCountingThousand"/>
      <w:lvlText w:val="%1、"/>
      <w:lvlJc w:val="left"/>
      <w:pPr>
        <w:ind w:left="1920" w:hanging="9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890654333">
    <w:abstractNumId w:val="1"/>
  </w:num>
  <w:num w:numId="2" w16cid:durableId="67852251">
    <w:abstractNumId w:val="8"/>
  </w:num>
  <w:num w:numId="3" w16cid:durableId="980043547">
    <w:abstractNumId w:val="5"/>
  </w:num>
  <w:num w:numId="4" w16cid:durableId="121461123">
    <w:abstractNumId w:val="0"/>
  </w:num>
  <w:num w:numId="5" w16cid:durableId="1271744385">
    <w:abstractNumId w:val="9"/>
  </w:num>
  <w:num w:numId="6" w16cid:durableId="1576208681">
    <w:abstractNumId w:val="3"/>
  </w:num>
  <w:num w:numId="7" w16cid:durableId="826940201">
    <w:abstractNumId w:val="2"/>
  </w:num>
  <w:num w:numId="8" w16cid:durableId="1607887363">
    <w:abstractNumId w:val="6"/>
  </w:num>
  <w:num w:numId="9" w16cid:durableId="1887330213">
    <w:abstractNumId w:val="10"/>
  </w:num>
  <w:num w:numId="10" w16cid:durableId="981426103">
    <w:abstractNumId w:val="7"/>
  </w:num>
  <w:num w:numId="11" w16cid:durableId="70779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40"/>
    <w:rsid w:val="0003600D"/>
    <w:rsid w:val="00046554"/>
    <w:rsid w:val="000576F7"/>
    <w:rsid w:val="00063B7C"/>
    <w:rsid w:val="00094E50"/>
    <w:rsid w:val="000A5DC4"/>
    <w:rsid w:val="000C279F"/>
    <w:rsid w:val="00111C70"/>
    <w:rsid w:val="001427CB"/>
    <w:rsid w:val="001759D3"/>
    <w:rsid w:val="001C03F2"/>
    <w:rsid w:val="002067EB"/>
    <w:rsid w:val="00211A27"/>
    <w:rsid w:val="00272FC5"/>
    <w:rsid w:val="00276B04"/>
    <w:rsid w:val="002E1480"/>
    <w:rsid w:val="0038415F"/>
    <w:rsid w:val="003D169B"/>
    <w:rsid w:val="00547C61"/>
    <w:rsid w:val="00586EE9"/>
    <w:rsid w:val="005B3B3D"/>
    <w:rsid w:val="005C0950"/>
    <w:rsid w:val="005D0B70"/>
    <w:rsid w:val="006002FC"/>
    <w:rsid w:val="0063781D"/>
    <w:rsid w:val="006B4EF6"/>
    <w:rsid w:val="006B6436"/>
    <w:rsid w:val="007201C9"/>
    <w:rsid w:val="007A0B66"/>
    <w:rsid w:val="007C4303"/>
    <w:rsid w:val="007D1017"/>
    <w:rsid w:val="00886642"/>
    <w:rsid w:val="008D7FCB"/>
    <w:rsid w:val="00924BD3"/>
    <w:rsid w:val="00A11D1F"/>
    <w:rsid w:val="00A16D5E"/>
    <w:rsid w:val="00A373B0"/>
    <w:rsid w:val="00A53C0C"/>
    <w:rsid w:val="00A62654"/>
    <w:rsid w:val="00AD160C"/>
    <w:rsid w:val="00BC03FB"/>
    <w:rsid w:val="00BC2E53"/>
    <w:rsid w:val="00C02540"/>
    <w:rsid w:val="00C332D4"/>
    <w:rsid w:val="00C54840"/>
    <w:rsid w:val="00C712BA"/>
    <w:rsid w:val="00CE35F9"/>
    <w:rsid w:val="00D650A0"/>
    <w:rsid w:val="00E32245"/>
    <w:rsid w:val="00EC6316"/>
    <w:rsid w:val="00EF2B67"/>
    <w:rsid w:val="00EF40D9"/>
    <w:rsid w:val="00F04E84"/>
    <w:rsid w:val="00F61182"/>
    <w:rsid w:val="00F67CB2"/>
    <w:rsid w:val="00F80A86"/>
    <w:rsid w:val="00FD5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696E"/>
  <w15:chartTrackingRefBased/>
  <w15:docId w15:val="{858DE8B5-7B45-4153-9588-D97A6B2A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02540"/>
    <w:pPr>
      <w:ind w:leftChars="200" w:left="480"/>
    </w:pPr>
    <w:rPr>
      <w:rFonts w:ascii="Calibri" w:eastAsia="新細明體" w:hAnsi="Calibri" w:cs="Times New Roman"/>
    </w:rPr>
  </w:style>
  <w:style w:type="character" w:customStyle="1" w:styleId="a4">
    <w:name w:val="清單段落 字元"/>
    <w:link w:val="a3"/>
    <w:uiPriority w:val="34"/>
    <w:locked/>
    <w:rsid w:val="00C02540"/>
    <w:rPr>
      <w:rFonts w:ascii="Calibri" w:eastAsia="新細明體" w:hAnsi="Calibri" w:cs="Times New Roman"/>
    </w:rPr>
  </w:style>
  <w:style w:type="paragraph" w:styleId="a5">
    <w:name w:val="header"/>
    <w:basedOn w:val="a"/>
    <w:link w:val="a6"/>
    <w:uiPriority w:val="99"/>
    <w:unhideWhenUsed/>
    <w:rsid w:val="006002FC"/>
    <w:pPr>
      <w:tabs>
        <w:tab w:val="center" w:pos="4153"/>
        <w:tab w:val="right" w:pos="8306"/>
      </w:tabs>
      <w:snapToGrid w:val="0"/>
    </w:pPr>
    <w:rPr>
      <w:sz w:val="20"/>
      <w:szCs w:val="20"/>
    </w:rPr>
  </w:style>
  <w:style w:type="character" w:customStyle="1" w:styleId="a6">
    <w:name w:val="頁首 字元"/>
    <w:basedOn w:val="a0"/>
    <w:link w:val="a5"/>
    <w:uiPriority w:val="99"/>
    <w:rsid w:val="006002FC"/>
    <w:rPr>
      <w:sz w:val="20"/>
      <w:szCs w:val="20"/>
    </w:rPr>
  </w:style>
  <w:style w:type="paragraph" w:styleId="a7">
    <w:name w:val="footer"/>
    <w:basedOn w:val="a"/>
    <w:link w:val="a8"/>
    <w:uiPriority w:val="99"/>
    <w:unhideWhenUsed/>
    <w:rsid w:val="006002FC"/>
    <w:pPr>
      <w:tabs>
        <w:tab w:val="center" w:pos="4153"/>
        <w:tab w:val="right" w:pos="8306"/>
      </w:tabs>
      <w:snapToGrid w:val="0"/>
    </w:pPr>
    <w:rPr>
      <w:sz w:val="20"/>
      <w:szCs w:val="20"/>
    </w:rPr>
  </w:style>
  <w:style w:type="character" w:customStyle="1" w:styleId="a8">
    <w:name w:val="頁尾 字元"/>
    <w:basedOn w:val="a0"/>
    <w:link w:val="a7"/>
    <w:uiPriority w:val="99"/>
    <w:rsid w:val="006002FC"/>
    <w:rPr>
      <w:sz w:val="20"/>
      <w:szCs w:val="20"/>
    </w:rPr>
  </w:style>
  <w:style w:type="table" w:styleId="a9">
    <w:name w:val="Table Grid"/>
    <w:basedOn w:val="a1"/>
    <w:uiPriority w:val="39"/>
    <w:rsid w:val="00046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24BD3"/>
    <w:rPr>
      <w:color w:val="0563C1" w:themeColor="hyperlink"/>
      <w:u w:val="single"/>
    </w:rPr>
  </w:style>
  <w:style w:type="character" w:styleId="ab">
    <w:name w:val="Unresolved Mention"/>
    <w:basedOn w:val="a0"/>
    <w:uiPriority w:val="99"/>
    <w:semiHidden/>
    <w:unhideWhenUsed/>
    <w:rsid w:val="00924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7</cp:revision>
  <cp:lastPrinted>2024-06-07T08:15:00Z</cp:lastPrinted>
  <dcterms:created xsi:type="dcterms:W3CDTF">2024-06-13T07:17:00Z</dcterms:created>
  <dcterms:modified xsi:type="dcterms:W3CDTF">2024-09-23T08:07:00Z</dcterms:modified>
</cp:coreProperties>
</file>