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8F05" w14:textId="35974B2B" w:rsidR="00BA64E8" w:rsidRPr="00BA64E8" w:rsidRDefault="00C77674" w:rsidP="00041108">
      <w:pPr>
        <w:spacing w:line="520" w:lineRule="exact"/>
        <w:rPr>
          <w:rFonts w:ascii="標楷體" w:eastAsia="標楷體" w:hAnsi="標楷體" w:cs="新細明體"/>
          <w:sz w:val="36"/>
          <w:szCs w:val="36"/>
        </w:rPr>
      </w:pPr>
      <w:r>
        <w:rPr>
          <w:noProof/>
        </w:rPr>
        <mc:AlternateContent>
          <mc:Choice Requires="wps">
            <w:drawing>
              <wp:anchor distT="45720" distB="45720" distL="114300" distR="114300" simplePos="0" relativeHeight="251657728" behindDoc="1" locked="0" layoutInCell="1" allowOverlap="1" wp14:anchorId="45FBDA7B" wp14:editId="32DF24E6">
                <wp:simplePos x="0" y="0"/>
                <wp:positionH relativeFrom="column">
                  <wp:posOffset>9525</wp:posOffset>
                </wp:positionH>
                <wp:positionV relativeFrom="paragraph">
                  <wp:posOffset>-415925</wp:posOffset>
                </wp:positionV>
                <wp:extent cx="809625" cy="381000"/>
                <wp:effectExtent l="0" t="0" r="9525" b="0"/>
                <wp:wrapNone/>
                <wp:docPr id="167305782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81000"/>
                        </a:xfrm>
                        <a:prstGeom prst="rect">
                          <a:avLst/>
                        </a:prstGeom>
                        <a:solidFill>
                          <a:srgbClr val="FFFFFF"/>
                        </a:solidFill>
                        <a:ln w="9525">
                          <a:solidFill>
                            <a:srgbClr val="000000"/>
                          </a:solidFill>
                          <a:miter lim="800000"/>
                          <a:headEnd/>
                          <a:tailEnd/>
                        </a:ln>
                      </wps:spPr>
                      <wps:txbx>
                        <w:txbxContent>
                          <w:p w14:paraId="7F6A9E7D" w14:textId="77777777" w:rsidR="00826771" w:rsidRPr="00041108" w:rsidRDefault="00826771" w:rsidP="00826771">
                            <w:pPr>
                              <w:spacing w:line="360" w:lineRule="exact"/>
                              <w:jc w:val="center"/>
                              <w:rPr>
                                <w:rFonts w:ascii="Times New Roman" w:eastAsia="標楷體" w:hAnsi="Times New Roman"/>
                                <w:b/>
                                <w:bCs/>
                                <w:sz w:val="28"/>
                                <w:szCs w:val="28"/>
                              </w:rPr>
                            </w:pPr>
                            <w:r w:rsidRPr="00041108">
                              <w:rPr>
                                <w:rFonts w:ascii="Times New Roman" w:eastAsia="標楷體" w:hAnsi="Times New Roman"/>
                                <w:b/>
                                <w:bCs/>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BDA7B" id="_x0000_t202" coordsize="21600,21600" o:spt="202" path="m,l,21600r21600,l21600,xe">
                <v:stroke joinstyle="miter"/>
                <v:path gradientshapeok="t" o:connecttype="rect"/>
              </v:shapetype>
              <v:shape id="文字方塊 1" o:spid="_x0000_s1026" type="#_x0000_t202" style="position:absolute;margin-left:.75pt;margin-top:-32.75pt;width:63.75pt;height:30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">
                <v:textbox>
                  <w:txbxContent>
                    <w:p w14:paraId="7F6A9E7D" w14:textId="77777777" w:rsidR="00826771" w:rsidRPr="00041108" w:rsidRDefault="00826771" w:rsidP="00826771">
                      <w:pPr>
                        <w:spacing w:line="360" w:lineRule="exact"/>
                        <w:jc w:val="center"/>
                        <w:rPr>
                          <w:rFonts w:ascii="Times New Roman" w:eastAsia="標楷體" w:hAnsi="Times New Roman"/>
                          <w:b/>
                          <w:bCs/>
                          <w:sz w:val="28"/>
                          <w:szCs w:val="28"/>
                        </w:rPr>
                      </w:pPr>
                      <w:r w:rsidRPr="00041108">
                        <w:rPr>
                          <w:rFonts w:ascii="Times New Roman" w:eastAsia="標楷體" w:hAnsi="Times New Roman"/>
                          <w:b/>
                          <w:bCs/>
                          <w:sz w:val="28"/>
                          <w:szCs w:val="28"/>
                        </w:rPr>
                        <w:t>附件</w:t>
                      </w:r>
                    </w:p>
                  </w:txbxContent>
                </v:textbox>
              </v:shape>
            </w:pict>
          </mc:Fallback>
        </mc:AlternateContent>
      </w:r>
      <w:r w:rsidR="00BA64E8" w:rsidRPr="00BA64E8">
        <w:rPr>
          <w:rFonts w:ascii="標楷體" w:eastAsia="標楷體" w:hAnsi="標楷體" w:cs="新細明體" w:hint="eastAsia"/>
          <w:sz w:val="36"/>
          <w:szCs w:val="36"/>
        </w:rPr>
        <w:t>中華民國證券商業同業公會「證券商辦理公開申購配售作業處理程序」</w:t>
      </w:r>
      <w:bookmarkStart w:id="0" w:name="_Hlk153887398"/>
      <w:r w:rsidR="00BA64E8" w:rsidRPr="00BA64E8">
        <w:rPr>
          <w:rFonts w:ascii="標楷體" w:eastAsia="標楷體" w:hAnsi="標楷體" w:cs="新細明體" w:hint="eastAsia"/>
          <w:sz w:val="36"/>
          <w:szCs w:val="36"/>
        </w:rPr>
        <w:t>第</w:t>
      </w:r>
      <w:r w:rsidR="00D32450">
        <w:rPr>
          <w:rFonts w:ascii="標楷體" w:eastAsia="標楷體" w:hAnsi="標楷體" w:cs="新細明體" w:hint="eastAsia"/>
          <w:sz w:val="36"/>
          <w:szCs w:val="36"/>
        </w:rPr>
        <w:t>貳</w:t>
      </w:r>
      <w:r w:rsidR="00BA64E8" w:rsidRPr="00BA64E8">
        <w:rPr>
          <w:rFonts w:ascii="標楷體" w:eastAsia="標楷體" w:hAnsi="標楷體" w:cs="新細明體" w:hint="eastAsia"/>
          <w:sz w:val="36"/>
          <w:szCs w:val="36"/>
        </w:rPr>
        <w:t>點</w:t>
      </w:r>
      <w:r w:rsidR="00BA64E8" w:rsidRPr="00BA64E8">
        <w:rPr>
          <w:rFonts w:ascii="標楷體" w:eastAsia="標楷體" w:hAnsi="標楷體" w:cs="新細明體"/>
          <w:sz w:val="36"/>
          <w:szCs w:val="36"/>
        </w:rPr>
        <w:t>修正條文對照表</w:t>
      </w:r>
      <w:bookmarkEnd w:id="0"/>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3754"/>
        <w:gridCol w:w="2552"/>
      </w:tblGrid>
      <w:tr w:rsidR="00BA64E8" w:rsidRPr="002060C4" w14:paraId="03F81E45" w14:textId="77777777" w:rsidTr="004E7155">
        <w:trPr>
          <w:jc w:val="center"/>
        </w:trPr>
        <w:tc>
          <w:tcPr>
            <w:tcW w:w="3754" w:type="dxa"/>
            <w:shd w:val="clear" w:color="auto" w:fill="auto"/>
            <w:vAlign w:val="center"/>
          </w:tcPr>
          <w:p w14:paraId="44AE8949" w14:textId="77777777" w:rsidR="00BA64E8" w:rsidRPr="002060C4" w:rsidRDefault="00BA64E8" w:rsidP="00A61463">
            <w:pPr>
              <w:spacing w:line="360" w:lineRule="exact"/>
              <w:jc w:val="center"/>
              <w:rPr>
                <w:rFonts w:ascii="標楷體" w:eastAsia="標楷體" w:hAnsi="標楷體" w:cs="新細明體"/>
                <w:szCs w:val="24"/>
              </w:rPr>
            </w:pPr>
            <w:r w:rsidRPr="002060C4">
              <w:rPr>
                <w:rFonts w:ascii="標楷體" w:eastAsia="標楷體" w:hAnsi="標楷體" w:cs="新細明體" w:hint="eastAsia"/>
                <w:szCs w:val="24"/>
              </w:rPr>
              <w:t>修正條文</w:t>
            </w:r>
          </w:p>
        </w:tc>
        <w:tc>
          <w:tcPr>
            <w:tcW w:w="3754" w:type="dxa"/>
            <w:shd w:val="clear" w:color="auto" w:fill="auto"/>
            <w:vAlign w:val="center"/>
          </w:tcPr>
          <w:p w14:paraId="76D59786" w14:textId="77777777" w:rsidR="00BA64E8" w:rsidRPr="002060C4" w:rsidRDefault="00BA64E8" w:rsidP="00A61463">
            <w:pPr>
              <w:spacing w:line="360" w:lineRule="exact"/>
              <w:jc w:val="center"/>
              <w:rPr>
                <w:rFonts w:ascii="標楷體" w:eastAsia="標楷體" w:hAnsi="標楷體" w:cs="新細明體"/>
                <w:szCs w:val="24"/>
              </w:rPr>
            </w:pPr>
            <w:r w:rsidRPr="002060C4">
              <w:rPr>
                <w:rFonts w:ascii="標楷體" w:eastAsia="標楷體" w:hAnsi="標楷體" w:cs="新細明體" w:hint="eastAsia"/>
                <w:szCs w:val="24"/>
              </w:rPr>
              <w:t>現行條文</w:t>
            </w:r>
          </w:p>
        </w:tc>
        <w:tc>
          <w:tcPr>
            <w:tcW w:w="2552" w:type="dxa"/>
            <w:shd w:val="clear" w:color="auto" w:fill="auto"/>
            <w:vAlign w:val="center"/>
          </w:tcPr>
          <w:p w14:paraId="7B22DFFE" w14:textId="77777777" w:rsidR="00BA64E8" w:rsidRPr="002060C4" w:rsidRDefault="00BA64E8" w:rsidP="00A61463">
            <w:pPr>
              <w:spacing w:line="360" w:lineRule="exact"/>
              <w:jc w:val="center"/>
              <w:rPr>
                <w:rFonts w:ascii="標楷體" w:eastAsia="標楷體" w:hAnsi="標楷體" w:cs="新細明體"/>
                <w:szCs w:val="24"/>
              </w:rPr>
            </w:pPr>
            <w:r w:rsidRPr="002060C4">
              <w:rPr>
                <w:rFonts w:ascii="標楷體" w:eastAsia="標楷體" w:hAnsi="標楷體" w:cs="新細明體" w:hint="eastAsia"/>
                <w:szCs w:val="24"/>
              </w:rPr>
              <w:t>說明</w:t>
            </w:r>
          </w:p>
        </w:tc>
      </w:tr>
      <w:tr w:rsidR="00BA64E8" w:rsidRPr="002060C4" w14:paraId="596AF12B" w14:textId="77777777" w:rsidTr="004E7155">
        <w:trPr>
          <w:jc w:val="center"/>
        </w:trPr>
        <w:tc>
          <w:tcPr>
            <w:tcW w:w="3754" w:type="dxa"/>
            <w:shd w:val="clear" w:color="auto" w:fill="auto"/>
          </w:tcPr>
          <w:p w14:paraId="60ADEE71" w14:textId="77777777" w:rsidR="00C00F99" w:rsidRPr="002060C4" w:rsidRDefault="00C00F99" w:rsidP="00A61463">
            <w:pPr>
              <w:spacing w:line="360" w:lineRule="exact"/>
              <w:ind w:left="480" w:hangingChars="200" w:hanging="480"/>
              <w:rPr>
                <w:rFonts w:ascii="標楷體" w:eastAsia="標楷體" w:hAnsi="標楷體" w:cs="新細明體"/>
                <w:szCs w:val="24"/>
              </w:rPr>
            </w:pPr>
            <w:r w:rsidRPr="002060C4">
              <w:rPr>
                <w:rFonts w:ascii="標楷體" w:eastAsia="標楷體" w:hAnsi="標楷體" w:cs="新細明體" w:hint="eastAsia"/>
                <w:szCs w:val="24"/>
              </w:rPr>
              <w:t>貳、接受申購作業程序：</w:t>
            </w:r>
          </w:p>
          <w:p w14:paraId="0BA159CB" w14:textId="77777777" w:rsidR="00C00F99" w:rsidRPr="002060C4" w:rsidRDefault="00C00F99" w:rsidP="00A61463">
            <w:pPr>
              <w:spacing w:line="360" w:lineRule="exact"/>
              <w:rPr>
                <w:rFonts w:ascii="標楷體" w:eastAsia="標楷體" w:hAnsi="標楷體" w:cs="新細明體"/>
                <w:szCs w:val="24"/>
              </w:rPr>
            </w:pPr>
            <w:r w:rsidRPr="002060C4">
              <w:rPr>
                <w:rFonts w:ascii="標楷體" w:eastAsia="標楷體" w:hAnsi="標楷體" w:cs="新細明體" w:hint="eastAsia"/>
                <w:szCs w:val="24"/>
              </w:rPr>
              <w:t>一、開設專戶：</w:t>
            </w:r>
          </w:p>
          <w:p w14:paraId="47FE7412" w14:textId="77777777" w:rsidR="00C00F99" w:rsidRPr="002060C4" w:rsidRDefault="00C00F99" w:rsidP="00A61463">
            <w:pPr>
              <w:spacing w:line="360" w:lineRule="exact"/>
              <w:ind w:leftChars="200" w:left="960" w:hangingChars="200" w:hanging="480"/>
              <w:rPr>
                <w:rFonts w:ascii="標楷體" w:eastAsia="標楷體" w:hAnsi="標楷體" w:cs="新細明體"/>
                <w:szCs w:val="24"/>
              </w:rPr>
            </w:pPr>
            <w:r w:rsidRPr="002060C4">
              <w:rPr>
                <w:rFonts w:ascii="標楷體" w:eastAsia="標楷體" w:hAnsi="標楷體" w:cs="新細明體" w:hint="eastAsia"/>
                <w:szCs w:val="24"/>
              </w:rPr>
              <w:t>(一)</w:t>
            </w:r>
            <w:r w:rsidRPr="002060C4">
              <w:rPr>
                <w:rFonts w:ascii="標楷體" w:eastAsia="標楷體" w:hAnsi="標楷體" w:cs="新細明體"/>
                <w:szCs w:val="24"/>
              </w:rPr>
              <w:t>~</w:t>
            </w:r>
            <w:r w:rsidRPr="002060C4">
              <w:rPr>
                <w:rFonts w:ascii="標楷體" w:eastAsia="標楷體" w:hAnsi="標楷體" w:cs="新細明體" w:hint="eastAsia"/>
                <w:szCs w:val="24"/>
              </w:rPr>
              <w:t>(三)略。</w:t>
            </w:r>
          </w:p>
          <w:p w14:paraId="07B7C0A4" w14:textId="77777777" w:rsidR="00C00F99" w:rsidRPr="002060C4" w:rsidRDefault="00C00F99" w:rsidP="00A61463">
            <w:pPr>
              <w:spacing w:line="360" w:lineRule="exact"/>
              <w:rPr>
                <w:rFonts w:ascii="標楷體" w:eastAsia="標楷體" w:hAnsi="標楷體" w:cs="新細明體"/>
                <w:szCs w:val="24"/>
              </w:rPr>
            </w:pPr>
            <w:r w:rsidRPr="002060C4">
              <w:rPr>
                <w:rFonts w:ascii="標楷體" w:eastAsia="標楷體" w:hAnsi="標楷體" w:cs="新細明體" w:hint="eastAsia"/>
                <w:szCs w:val="24"/>
              </w:rPr>
              <w:t>二、接單：</w:t>
            </w:r>
          </w:p>
          <w:p w14:paraId="2F660ED9" w14:textId="77777777" w:rsidR="00C00F99" w:rsidRPr="002060C4" w:rsidRDefault="00C00F99" w:rsidP="00A61463">
            <w:pPr>
              <w:spacing w:line="360" w:lineRule="exact"/>
              <w:ind w:leftChars="200" w:left="960" w:hangingChars="200" w:hanging="480"/>
              <w:rPr>
                <w:rFonts w:ascii="標楷體" w:eastAsia="標楷體" w:hAnsi="標楷體" w:cs="新細明體"/>
                <w:szCs w:val="24"/>
              </w:rPr>
            </w:pPr>
            <w:r w:rsidRPr="002060C4">
              <w:rPr>
                <w:rFonts w:ascii="標楷體" w:eastAsia="標楷體" w:hAnsi="標楷體" w:cs="新細明體" w:hint="eastAsia"/>
                <w:szCs w:val="24"/>
              </w:rPr>
              <w:t>(一)略。</w:t>
            </w:r>
          </w:p>
          <w:p w14:paraId="7954684E" w14:textId="77777777" w:rsidR="00C00F99" w:rsidRPr="002060C4" w:rsidRDefault="00C00F99" w:rsidP="00A61463">
            <w:pPr>
              <w:spacing w:line="360" w:lineRule="exact"/>
              <w:ind w:leftChars="200" w:left="960" w:hangingChars="200" w:hanging="480"/>
              <w:rPr>
                <w:rFonts w:ascii="標楷體" w:eastAsia="標楷體" w:hAnsi="標楷體" w:cs="新細明體"/>
                <w:szCs w:val="24"/>
              </w:rPr>
            </w:pPr>
            <w:r w:rsidRPr="002060C4">
              <w:rPr>
                <w:rFonts w:ascii="標楷體" w:eastAsia="標楷體" w:hAnsi="標楷體" w:cs="新細明體" w:hint="eastAsia"/>
                <w:szCs w:val="24"/>
              </w:rPr>
              <w:t>(二)申購人以電話申購時，經紀商如能確認該筆委託歸屬之受託人員者，得以電子方式填具委託並免逐一列印委託書，惟應使用無法修改與消除之電子媒體儲存；以採網際網路受託申購，經紀商得免製作或代填申購委託書，惟應由登記合格業務人員於檢查委託內容無誤後，依序列印有價證券申購委託紀錄，該紀錄應含申購人姓名或交易帳號、申購有價證券名稱、申購數量、申購金額、申購日期及時間，並由登記合格業務人員簽章。</w:t>
            </w:r>
            <w:r>
              <w:rPr>
                <w:rFonts w:ascii="標楷體" w:eastAsia="標楷體" w:hAnsi="標楷體" w:cs="新細明體" w:hint="eastAsia"/>
                <w:color w:val="000000"/>
                <w:szCs w:val="24"/>
                <w:u w:val="single"/>
              </w:rPr>
              <w:t>惟使用無法修改與消除之電子媒體儲存者，得免列印及簽章。</w:t>
            </w:r>
            <w:r w:rsidRPr="002060C4">
              <w:rPr>
                <w:rFonts w:ascii="標楷體" w:eastAsia="標楷體" w:hAnsi="標楷體" w:cs="新細明體" w:hint="eastAsia"/>
                <w:szCs w:val="24"/>
              </w:rPr>
              <w:t>該紀錄之保存方式及保存期限，應與採其他方式申購之申購委託書之保存方式及保存期限一致。</w:t>
            </w:r>
          </w:p>
          <w:p w14:paraId="3632717F" w14:textId="77777777" w:rsidR="00BA64E8" w:rsidRPr="002060C4" w:rsidRDefault="00C00F99" w:rsidP="00A61463">
            <w:pPr>
              <w:spacing w:line="360" w:lineRule="exact"/>
              <w:rPr>
                <w:rFonts w:ascii="標楷體" w:eastAsia="標楷體" w:hAnsi="標楷體" w:cs="新細明體"/>
                <w:szCs w:val="24"/>
              </w:rPr>
            </w:pPr>
            <w:r w:rsidRPr="002060C4">
              <w:rPr>
                <w:rFonts w:ascii="標楷體" w:eastAsia="標楷體" w:hAnsi="標楷體" w:cs="新細明體" w:hint="eastAsia"/>
                <w:szCs w:val="24"/>
              </w:rPr>
              <w:t>(以下略)</w:t>
            </w:r>
          </w:p>
        </w:tc>
        <w:tc>
          <w:tcPr>
            <w:tcW w:w="3754" w:type="dxa"/>
            <w:shd w:val="clear" w:color="auto" w:fill="auto"/>
          </w:tcPr>
          <w:p w14:paraId="4838E409" w14:textId="77777777" w:rsidR="00BA64E8" w:rsidRPr="002060C4" w:rsidRDefault="00BA64E8" w:rsidP="00A61463">
            <w:pPr>
              <w:spacing w:line="360" w:lineRule="exact"/>
              <w:ind w:left="480" w:hangingChars="200" w:hanging="480"/>
              <w:rPr>
                <w:rFonts w:ascii="標楷體" w:eastAsia="標楷體" w:hAnsi="標楷體" w:cs="新細明體"/>
                <w:szCs w:val="24"/>
              </w:rPr>
            </w:pPr>
            <w:r w:rsidRPr="002060C4">
              <w:rPr>
                <w:rFonts w:ascii="標楷體" w:eastAsia="標楷體" w:hAnsi="標楷體" w:cs="新細明體" w:hint="eastAsia"/>
                <w:szCs w:val="24"/>
              </w:rPr>
              <w:t>貳、接受申購作業程序：</w:t>
            </w:r>
          </w:p>
          <w:p w14:paraId="49911160" w14:textId="77777777" w:rsidR="00BA64E8" w:rsidRPr="002060C4" w:rsidRDefault="00BA64E8" w:rsidP="00A61463">
            <w:pPr>
              <w:spacing w:line="360" w:lineRule="exact"/>
              <w:rPr>
                <w:rFonts w:ascii="標楷體" w:eastAsia="標楷體" w:hAnsi="標楷體" w:cs="新細明體"/>
                <w:szCs w:val="24"/>
              </w:rPr>
            </w:pPr>
            <w:r w:rsidRPr="002060C4">
              <w:rPr>
                <w:rFonts w:ascii="標楷體" w:eastAsia="標楷體" w:hAnsi="標楷體" w:cs="新細明體" w:hint="eastAsia"/>
                <w:szCs w:val="24"/>
              </w:rPr>
              <w:t>一、開設專戶：</w:t>
            </w:r>
          </w:p>
          <w:p w14:paraId="5D545D20" w14:textId="77777777" w:rsidR="00BA64E8" w:rsidRPr="002060C4" w:rsidRDefault="00BA64E8" w:rsidP="00A61463">
            <w:pPr>
              <w:spacing w:line="360" w:lineRule="exact"/>
              <w:ind w:leftChars="200" w:left="960" w:hangingChars="200" w:hanging="480"/>
              <w:rPr>
                <w:rFonts w:ascii="標楷體" w:eastAsia="標楷體" w:hAnsi="標楷體" w:cs="新細明體"/>
                <w:szCs w:val="24"/>
              </w:rPr>
            </w:pPr>
            <w:r w:rsidRPr="002060C4">
              <w:rPr>
                <w:rFonts w:ascii="標楷體" w:eastAsia="標楷體" w:hAnsi="標楷體" w:cs="新細明體" w:hint="eastAsia"/>
                <w:szCs w:val="24"/>
              </w:rPr>
              <w:t>(一)</w:t>
            </w:r>
            <w:r w:rsidRPr="002060C4">
              <w:rPr>
                <w:rFonts w:ascii="標楷體" w:eastAsia="標楷體" w:hAnsi="標楷體" w:cs="新細明體"/>
                <w:szCs w:val="24"/>
              </w:rPr>
              <w:t>~</w:t>
            </w:r>
            <w:r w:rsidRPr="002060C4">
              <w:rPr>
                <w:rFonts w:ascii="標楷體" w:eastAsia="標楷體" w:hAnsi="標楷體" w:cs="新細明體" w:hint="eastAsia"/>
                <w:szCs w:val="24"/>
              </w:rPr>
              <w:t>(三)略。</w:t>
            </w:r>
          </w:p>
          <w:p w14:paraId="088578E2" w14:textId="77777777" w:rsidR="00BA64E8" w:rsidRPr="002060C4" w:rsidRDefault="00BA64E8" w:rsidP="00A61463">
            <w:pPr>
              <w:spacing w:line="360" w:lineRule="exact"/>
              <w:rPr>
                <w:rFonts w:ascii="標楷體" w:eastAsia="標楷體" w:hAnsi="標楷體" w:cs="新細明體"/>
                <w:szCs w:val="24"/>
              </w:rPr>
            </w:pPr>
            <w:r w:rsidRPr="002060C4">
              <w:rPr>
                <w:rFonts w:ascii="標楷體" w:eastAsia="標楷體" w:hAnsi="標楷體" w:cs="新細明體" w:hint="eastAsia"/>
                <w:szCs w:val="24"/>
              </w:rPr>
              <w:t>二、接單：</w:t>
            </w:r>
          </w:p>
          <w:p w14:paraId="037B2AEE" w14:textId="77777777" w:rsidR="00BA64E8" w:rsidRPr="002060C4" w:rsidRDefault="00BA64E8" w:rsidP="00A61463">
            <w:pPr>
              <w:spacing w:line="360" w:lineRule="exact"/>
              <w:ind w:leftChars="200" w:left="960" w:hangingChars="200" w:hanging="480"/>
              <w:rPr>
                <w:rFonts w:ascii="標楷體" w:eastAsia="標楷體" w:hAnsi="標楷體" w:cs="新細明體"/>
                <w:szCs w:val="24"/>
              </w:rPr>
            </w:pPr>
            <w:r w:rsidRPr="002060C4">
              <w:rPr>
                <w:rFonts w:ascii="標楷體" w:eastAsia="標楷體" w:hAnsi="標楷體" w:cs="新細明體" w:hint="eastAsia"/>
                <w:szCs w:val="24"/>
              </w:rPr>
              <w:t>(一)</w:t>
            </w:r>
            <w:r w:rsidR="00C00F99" w:rsidRPr="002060C4">
              <w:rPr>
                <w:rFonts w:ascii="標楷體" w:eastAsia="標楷體" w:hAnsi="標楷體" w:cs="新細明體" w:hint="eastAsia"/>
                <w:szCs w:val="24"/>
              </w:rPr>
              <w:t>略</w:t>
            </w:r>
            <w:r w:rsidRPr="002060C4">
              <w:rPr>
                <w:rFonts w:ascii="標楷體" w:eastAsia="標楷體" w:hAnsi="標楷體" w:cs="新細明體" w:hint="eastAsia"/>
                <w:szCs w:val="24"/>
              </w:rPr>
              <w:t>。</w:t>
            </w:r>
          </w:p>
          <w:p w14:paraId="272AA21D" w14:textId="77777777" w:rsidR="00BA64E8" w:rsidRPr="002060C4" w:rsidRDefault="00BA64E8" w:rsidP="00A61463">
            <w:pPr>
              <w:spacing w:line="360" w:lineRule="exact"/>
              <w:ind w:leftChars="200" w:left="960" w:hangingChars="200" w:hanging="480"/>
              <w:rPr>
                <w:rFonts w:ascii="標楷體" w:eastAsia="標楷體" w:hAnsi="標楷體" w:cs="新細明體"/>
                <w:szCs w:val="24"/>
              </w:rPr>
            </w:pPr>
            <w:r w:rsidRPr="002060C4">
              <w:rPr>
                <w:rFonts w:ascii="標楷體" w:eastAsia="標楷體" w:hAnsi="標楷體" w:cs="新細明體" w:hint="eastAsia"/>
                <w:szCs w:val="24"/>
              </w:rPr>
              <w:t>(二)申購人以電話申購時，經紀商如能確認該筆委託歸屬之受託人員者，得以電子方式填具委託並免逐一列印委託書，惟應使用無法修改與消除之電子媒體儲存；以採網際網路受託申購，經紀商得免製作或代填申購委託書，惟應由登記合格業務人員於檢查委託內容無誤後，依序列印有價證券申購委託紀錄，該紀錄應含申購人姓名或交易帳號、申購有價證券名稱、申購數量、申購金額、申購日期及時間，並由登記合格業務人員簽章。該紀錄之保存方式及保存期限，應與採其他方式申購之申購委託書之保存方式及保存期限一致。</w:t>
            </w:r>
          </w:p>
          <w:p w14:paraId="2999E81C" w14:textId="77777777" w:rsidR="00C00F99" w:rsidRPr="002060C4" w:rsidRDefault="00C00F99" w:rsidP="00A61463">
            <w:pPr>
              <w:spacing w:line="360" w:lineRule="exact"/>
              <w:rPr>
                <w:rFonts w:ascii="標楷體" w:eastAsia="標楷體" w:hAnsi="標楷體" w:cs="新細明體"/>
                <w:szCs w:val="24"/>
              </w:rPr>
            </w:pPr>
            <w:r w:rsidRPr="002060C4">
              <w:rPr>
                <w:rFonts w:ascii="標楷體" w:eastAsia="標楷體" w:hAnsi="標楷體" w:cs="新細明體" w:hint="eastAsia"/>
                <w:szCs w:val="24"/>
              </w:rPr>
              <w:t>(以下略)</w:t>
            </w:r>
          </w:p>
        </w:tc>
        <w:tc>
          <w:tcPr>
            <w:tcW w:w="2552" w:type="dxa"/>
            <w:shd w:val="clear" w:color="auto" w:fill="auto"/>
          </w:tcPr>
          <w:p w14:paraId="106A4F25" w14:textId="77777777" w:rsidR="00BA64E8" w:rsidRPr="002060C4" w:rsidRDefault="00C00F99" w:rsidP="00A61463">
            <w:pPr>
              <w:spacing w:line="360" w:lineRule="exact"/>
              <w:rPr>
                <w:rFonts w:ascii="標楷體" w:eastAsia="標楷體" w:hAnsi="標楷體" w:cs="新細明體"/>
                <w:szCs w:val="24"/>
              </w:rPr>
            </w:pPr>
            <w:r w:rsidRPr="002060C4">
              <w:rPr>
                <w:rFonts w:ascii="標楷體" w:eastAsia="標楷體" w:hAnsi="標楷體" w:cs="新細明體" w:hint="eastAsia"/>
                <w:szCs w:val="24"/>
              </w:rPr>
              <w:t>考量經紀商就電子式委託買賣紀錄無紙化已行之多年，為響應節能減碳，落實證券商無紙化作業，修正貳、二、(二)，明訂採網際網路受託申購且使用無法修改與消除之電子媒體儲存申購委託紀錄者，得免列印委託紀錄。</w:t>
            </w:r>
          </w:p>
        </w:tc>
      </w:tr>
    </w:tbl>
    <w:p w14:paraId="76B2D755" w14:textId="77777777" w:rsidR="00BA64E8" w:rsidRPr="00826771" w:rsidRDefault="00BA64E8" w:rsidP="00826771">
      <w:pPr>
        <w:spacing w:line="40" w:lineRule="exact"/>
        <w:rPr>
          <w:rFonts w:ascii="標楷體" w:eastAsia="標楷體" w:hAnsi="標楷體" w:cs="新細明體"/>
          <w:sz w:val="16"/>
          <w:szCs w:val="16"/>
        </w:rPr>
      </w:pPr>
    </w:p>
    <w:sectPr w:rsidR="00BA64E8" w:rsidRPr="00826771" w:rsidSect="00826771">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1A0D2" w14:textId="77777777" w:rsidR="00782B7A" w:rsidRDefault="00782B7A" w:rsidP="00826771">
      <w:r>
        <w:separator/>
      </w:r>
    </w:p>
  </w:endnote>
  <w:endnote w:type="continuationSeparator" w:id="0">
    <w:p w14:paraId="13D49FB2" w14:textId="77777777" w:rsidR="00782B7A" w:rsidRDefault="00782B7A" w:rsidP="0082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96B3C" w14:textId="77777777" w:rsidR="00782B7A" w:rsidRDefault="00782B7A" w:rsidP="00826771">
      <w:r>
        <w:separator/>
      </w:r>
    </w:p>
  </w:footnote>
  <w:footnote w:type="continuationSeparator" w:id="0">
    <w:p w14:paraId="62084C63" w14:textId="77777777" w:rsidR="00782B7A" w:rsidRDefault="00782B7A" w:rsidP="00826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4290A"/>
    <w:multiLevelType w:val="hybridMultilevel"/>
    <w:tmpl w:val="5D98F380"/>
    <w:lvl w:ilvl="0" w:tplc="42843AFC">
      <w:start w:val="1"/>
      <w:numFmt w:val="taiwaneseCountingThousand"/>
      <w:suff w:val="space"/>
      <w:lvlText w:val="%1、"/>
      <w:lvlJc w:val="left"/>
      <w:pPr>
        <w:ind w:left="1104" w:hanging="48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15:restartNumberingAfterBreak="0">
    <w:nsid w:val="4B914F60"/>
    <w:multiLevelType w:val="hybridMultilevel"/>
    <w:tmpl w:val="054CA3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6628631">
    <w:abstractNumId w:val="1"/>
  </w:num>
  <w:num w:numId="2" w16cid:durableId="205003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03"/>
    <w:rsid w:val="00041108"/>
    <w:rsid w:val="00093103"/>
    <w:rsid w:val="000B7EF1"/>
    <w:rsid w:val="000C3E25"/>
    <w:rsid w:val="002060C4"/>
    <w:rsid w:val="00280755"/>
    <w:rsid w:val="00284602"/>
    <w:rsid w:val="003D5B98"/>
    <w:rsid w:val="00416EBE"/>
    <w:rsid w:val="00434020"/>
    <w:rsid w:val="00480CD1"/>
    <w:rsid w:val="004E7155"/>
    <w:rsid w:val="005F4DB4"/>
    <w:rsid w:val="00663581"/>
    <w:rsid w:val="00782B7A"/>
    <w:rsid w:val="00826771"/>
    <w:rsid w:val="00845F3E"/>
    <w:rsid w:val="00867C99"/>
    <w:rsid w:val="00972CC5"/>
    <w:rsid w:val="00A233C4"/>
    <w:rsid w:val="00A5141D"/>
    <w:rsid w:val="00A61463"/>
    <w:rsid w:val="00A769E3"/>
    <w:rsid w:val="00A81404"/>
    <w:rsid w:val="00BA64E8"/>
    <w:rsid w:val="00C00F99"/>
    <w:rsid w:val="00C23631"/>
    <w:rsid w:val="00C77674"/>
    <w:rsid w:val="00D32450"/>
    <w:rsid w:val="00D66966"/>
    <w:rsid w:val="00DC3707"/>
    <w:rsid w:val="00EF7EE5"/>
    <w:rsid w:val="00FD5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49E0F70"/>
  <w15:chartTrackingRefBased/>
  <w15:docId w15:val="{5F84293C-E054-48AE-B45B-FC388CDF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103"/>
    <w:pPr>
      <w:ind w:leftChars="200" w:left="480"/>
    </w:pPr>
  </w:style>
  <w:style w:type="table" w:styleId="a4">
    <w:name w:val="Table Grid"/>
    <w:basedOn w:val="a1"/>
    <w:uiPriority w:val="39"/>
    <w:rsid w:val="00BA6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6771"/>
    <w:pPr>
      <w:tabs>
        <w:tab w:val="center" w:pos="4153"/>
        <w:tab w:val="right" w:pos="8306"/>
      </w:tabs>
      <w:snapToGrid w:val="0"/>
    </w:pPr>
    <w:rPr>
      <w:sz w:val="20"/>
      <w:szCs w:val="20"/>
    </w:rPr>
  </w:style>
  <w:style w:type="character" w:customStyle="1" w:styleId="a6">
    <w:name w:val="頁首 字元"/>
    <w:link w:val="a5"/>
    <w:uiPriority w:val="99"/>
    <w:rsid w:val="00826771"/>
    <w:rPr>
      <w:sz w:val="20"/>
      <w:szCs w:val="20"/>
    </w:rPr>
  </w:style>
  <w:style w:type="paragraph" w:styleId="a7">
    <w:name w:val="footer"/>
    <w:basedOn w:val="a"/>
    <w:link w:val="a8"/>
    <w:uiPriority w:val="99"/>
    <w:unhideWhenUsed/>
    <w:rsid w:val="00826771"/>
    <w:pPr>
      <w:tabs>
        <w:tab w:val="center" w:pos="4153"/>
        <w:tab w:val="right" w:pos="8306"/>
      </w:tabs>
      <w:snapToGrid w:val="0"/>
    </w:pPr>
    <w:rPr>
      <w:sz w:val="20"/>
      <w:szCs w:val="20"/>
    </w:rPr>
  </w:style>
  <w:style w:type="character" w:customStyle="1" w:styleId="a8">
    <w:name w:val="頁尾 字元"/>
    <w:link w:val="a7"/>
    <w:uiPriority w:val="99"/>
    <w:rsid w:val="008267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0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陳碩方</cp:lastModifiedBy>
  <cp:revision>2</cp:revision>
  <cp:lastPrinted>2024-04-15T02:26:00Z</cp:lastPrinted>
  <dcterms:created xsi:type="dcterms:W3CDTF">2024-09-02T00:48:00Z</dcterms:created>
  <dcterms:modified xsi:type="dcterms:W3CDTF">2024-09-02T00:48:00Z</dcterms:modified>
</cp:coreProperties>
</file>