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22" w14:textId="3245C384" w:rsidR="00E827BB" w:rsidRPr="00FE64E6" w:rsidRDefault="00DC69EF" w:rsidP="00DF23C4">
      <w:pPr>
        <w:snapToGrid w:val="0"/>
        <w:spacing w:line="440" w:lineRule="exact"/>
        <w:jc w:val="both"/>
        <w:rPr>
          <w:b/>
          <w:bCs/>
          <w:sz w:val="32"/>
          <w:szCs w:val="32"/>
        </w:rPr>
      </w:pPr>
      <w:r w:rsidRPr="00FE64E6">
        <w:rPr>
          <w:rFonts w:ascii="標楷體" w:eastAsia="標楷體" w:hAnsi="標楷體"/>
          <w:b/>
          <w:bCs/>
          <w:noProof/>
          <w:sz w:val="32"/>
          <w:szCs w:val="32"/>
        </w:rPr>
        <mc:AlternateContent>
          <mc:Choice Requires="wps">
            <w:drawing>
              <wp:anchor distT="45720" distB="45720" distL="114300" distR="114300" simplePos="0" relativeHeight="251659264" behindDoc="0" locked="0" layoutInCell="1" allowOverlap="1" wp14:anchorId="59BA5F29" wp14:editId="1A581356">
                <wp:simplePos x="0" y="0"/>
                <wp:positionH relativeFrom="margin">
                  <wp:align>left</wp:align>
                </wp:positionH>
                <wp:positionV relativeFrom="page">
                  <wp:posOffset>555313</wp:posOffset>
                </wp:positionV>
                <wp:extent cx="566420" cy="291465"/>
                <wp:effectExtent l="0" t="0" r="24130" b="133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91465"/>
                        </a:xfrm>
                        <a:prstGeom prst="rect">
                          <a:avLst/>
                        </a:prstGeom>
                        <a:solidFill>
                          <a:srgbClr val="FFFFFF"/>
                        </a:solidFill>
                        <a:ln w="9525">
                          <a:solidFill>
                            <a:srgbClr val="000000"/>
                          </a:solidFill>
                          <a:miter lim="800000"/>
                          <a:headEnd/>
                          <a:tailEnd/>
                        </a:ln>
                      </wps:spPr>
                      <wps:txbx>
                        <w:txbxContent>
                          <w:p w14:paraId="005E1AD1" w14:textId="76C5A922" w:rsidR="00DC69EF" w:rsidRPr="00DC48D4" w:rsidRDefault="00DC69EF" w:rsidP="00DC69EF">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A5F29" id="_x0000_t202" coordsize="21600,21600" o:spt="202" path="m,l,21600r21600,l21600,xe">
                <v:stroke joinstyle="miter"/>
                <v:path gradientshapeok="t" o:connecttype="rect"/>
              </v:shapetype>
              <v:shape id="文字方塊 2" o:spid="_x0000_s1026" type="#_x0000_t202" style="position:absolute;left:0;text-align:left;margin-left:0;margin-top:43.75pt;width:44.6pt;height:22.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">
                <v:textbox>
                  <w:txbxContent>
                    <w:p w14:paraId="005E1AD1" w14:textId="76C5A922" w:rsidR="00DC69EF" w:rsidRPr="00DC48D4" w:rsidRDefault="00DC69EF" w:rsidP="00DC69EF">
                      <w:pPr>
                        <w:spacing w:line="340" w:lineRule="exact"/>
                        <w:jc w:val="center"/>
                        <w:rPr>
                          <w:rFonts w:ascii="Times New Roman" w:eastAsia="標楷體" w:hAnsi="Times New Roman" w:cs="Times New Roman"/>
                          <w:sz w:val="28"/>
                          <w:szCs w:val="28"/>
                        </w:rPr>
                      </w:pPr>
                      <w:r w:rsidRPr="00DC48D4">
                        <w:rPr>
                          <w:rFonts w:ascii="Times New Roman" w:eastAsia="標楷體" w:hAnsi="Times New Roman" w:cs="Times New Roman"/>
                          <w:sz w:val="28"/>
                          <w:szCs w:val="28"/>
                        </w:rPr>
                        <w:t>附件</w:t>
                      </w:r>
                    </w:p>
                  </w:txbxContent>
                </v:textbox>
                <w10:wrap type="square" anchorx="margin" anchory="page"/>
              </v:shape>
            </w:pict>
          </mc:Fallback>
        </mc:AlternateContent>
      </w:r>
      <w:r w:rsidR="003A0299" w:rsidRPr="00FE64E6">
        <w:rPr>
          <w:rFonts w:ascii="標楷體" w:eastAsia="標楷體" w:hAnsi="標楷體" w:cs="Times New Roman"/>
          <w:b/>
          <w:bCs/>
          <w:color w:val="000000" w:themeColor="text1"/>
          <w:sz w:val="32"/>
          <w:szCs w:val="32"/>
          <w:lang w:eastAsia="zh-HK"/>
        </w:rPr>
        <w:t>中華民國證券商業同業公會</w:t>
      </w:r>
      <w:r w:rsidR="00CF0680" w:rsidRPr="00FE64E6">
        <w:rPr>
          <w:rFonts w:ascii="標楷體" w:eastAsia="標楷體" w:hAnsi="標楷體" w:cs="Times New Roman" w:hint="eastAsia"/>
          <w:b/>
          <w:bCs/>
          <w:color w:val="000000" w:themeColor="text1"/>
          <w:sz w:val="32"/>
          <w:szCs w:val="32"/>
          <w:lang w:eastAsia="zh-HK"/>
        </w:rPr>
        <w:t>「</w:t>
      </w:r>
      <w:r w:rsidR="003A0299" w:rsidRPr="00FE64E6">
        <w:rPr>
          <w:rFonts w:ascii="標楷體" w:eastAsia="標楷體" w:hAnsi="標楷體" w:cs="Times New Roman"/>
          <w:b/>
          <w:bCs/>
          <w:color w:val="000000" w:themeColor="text1"/>
          <w:sz w:val="32"/>
          <w:szCs w:val="32"/>
          <w:lang w:eastAsia="zh-HK"/>
        </w:rPr>
        <w:t>證券商承銷或再行銷售有價證券處理辦法</w:t>
      </w:r>
      <w:r w:rsidR="00CF0680" w:rsidRPr="00FE64E6">
        <w:rPr>
          <w:rFonts w:ascii="標楷體" w:eastAsia="標楷體" w:hAnsi="標楷體" w:cs="Times New Roman" w:hint="eastAsia"/>
          <w:b/>
          <w:bCs/>
          <w:color w:val="000000" w:themeColor="text1"/>
          <w:sz w:val="32"/>
          <w:szCs w:val="32"/>
          <w:lang w:eastAsia="zh-HK"/>
        </w:rPr>
        <w:t>」</w:t>
      </w:r>
      <w:r w:rsidR="001447FB" w:rsidRPr="00FE64E6">
        <w:rPr>
          <w:rFonts w:ascii="標楷體" w:eastAsia="標楷體" w:hAnsi="標楷體" w:cs="Times New Roman" w:hint="eastAsia"/>
          <w:b/>
          <w:bCs/>
          <w:color w:val="000000" w:themeColor="text1"/>
          <w:sz w:val="32"/>
          <w:szCs w:val="32"/>
          <w:lang w:eastAsia="zh-HK"/>
        </w:rPr>
        <w:t>第</w:t>
      </w:r>
      <w:r w:rsidR="00C72C91" w:rsidRPr="00FE64E6">
        <w:rPr>
          <w:rFonts w:ascii="標楷體" w:eastAsia="標楷體" w:hAnsi="標楷體" w:cs="Times New Roman" w:hint="eastAsia"/>
          <w:b/>
          <w:bCs/>
          <w:color w:val="000000" w:themeColor="text1"/>
          <w:sz w:val="32"/>
          <w:szCs w:val="32"/>
          <w:lang w:eastAsia="zh-HK"/>
        </w:rPr>
        <w:t>二十七</w:t>
      </w:r>
      <w:r w:rsidR="001447FB" w:rsidRPr="00FE64E6">
        <w:rPr>
          <w:rFonts w:ascii="標楷體" w:eastAsia="標楷體" w:hAnsi="標楷體" w:cs="Times New Roman" w:hint="eastAsia"/>
          <w:b/>
          <w:bCs/>
          <w:color w:val="000000" w:themeColor="text1"/>
          <w:sz w:val="32"/>
          <w:szCs w:val="32"/>
          <w:lang w:eastAsia="zh-HK"/>
        </w:rPr>
        <w:t>條</w:t>
      </w:r>
      <w:r w:rsidR="00C72C91" w:rsidRPr="00FE64E6">
        <w:rPr>
          <w:rFonts w:ascii="標楷體" w:eastAsia="標楷體" w:hAnsi="標楷體" w:cs="Times New Roman" w:hint="eastAsia"/>
          <w:b/>
          <w:bCs/>
          <w:color w:val="000000" w:themeColor="text1"/>
          <w:sz w:val="32"/>
          <w:szCs w:val="32"/>
          <w:lang w:eastAsia="zh-HK"/>
        </w:rPr>
        <w:t>之一</w:t>
      </w:r>
      <w:r w:rsidR="00461DFE" w:rsidRPr="00FE64E6">
        <w:rPr>
          <w:rFonts w:ascii="標楷體" w:eastAsia="標楷體" w:hAnsi="標楷體" w:cs="Times New Roman" w:hint="eastAsia"/>
          <w:b/>
          <w:bCs/>
          <w:color w:val="000000" w:themeColor="text1"/>
          <w:sz w:val="32"/>
          <w:szCs w:val="32"/>
          <w:lang w:eastAsia="zh-HK"/>
        </w:rPr>
        <w:t>及</w:t>
      </w:r>
      <w:r w:rsidR="001447FB" w:rsidRPr="00FE64E6">
        <w:rPr>
          <w:rFonts w:ascii="標楷體" w:eastAsia="標楷體" w:hAnsi="標楷體" w:cs="Times New Roman" w:hint="eastAsia"/>
          <w:b/>
          <w:bCs/>
          <w:color w:val="000000" w:themeColor="text1"/>
          <w:sz w:val="32"/>
          <w:szCs w:val="32"/>
          <w:lang w:eastAsia="zh-HK"/>
        </w:rPr>
        <w:t>第四十三條之一</w:t>
      </w:r>
      <w:r w:rsidR="00CF0680" w:rsidRPr="00FE64E6">
        <w:rPr>
          <w:rFonts w:ascii="標楷體" w:eastAsia="標楷體" w:hAnsi="標楷體" w:cs="Times New Roman" w:hint="eastAsia"/>
          <w:b/>
          <w:bCs/>
          <w:color w:val="000000" w:themeColor="text1"/>
          <w:sz w:val="32"/>
          <w:szCs w:val="32"/>
          <w:lang w:eastAsia="zh-HK"/>
        </w:rPr>
        <w:t>修正條文對照表</w:t>
      </w:r>
    </w:p>
    <w:tbl>
      <w:tblPr>
        <w:tblStyle w:val="a3"/>
        <w:tblW w:w="8500" w:type="dxa"/>
        <w:jc w:val="center"/>
        <w:tblLook w:val="04A0" w:firstRow="1" w:lastRow="0" w:firstColumn="1" w:lastColumn="0" w:noHBand="0" w:noVBand="1"/>
      </w:tblPr>
      <w:tblGrid>
        <w:gridCol w:w="3263"/>
        <w:gridCol w:w="3263"/>
        <w:gridCol w:w="1974"/>
      </w:tblGrid>
      <w:tr w:rsidR="00753FE1" w:rsidRPr="00F954F3" w14:paraId="1FA9E634" w14:textId="3C9B5B92" w:rsidTr="00D7613E">
        <w:trPr>
          <w:trHeight w:val="176"/>
          <w:jc w:val="center"/>
        </w:trPr>
        <w:tc>
          <w:tcPr>
            <w:tcW w:w="3263" w:type="dxa"/>
            <w:vAlign w:val="center"/>
          </w:tcPr>
          <w:p w14:paraId="1D303932" w14:textId="16610420" w:rsidR="00753FE1" w:rsidRPr="00F954F3" w:rsidRDefault="00753FE1" w:rsidP="00753FE1">
            <w:pPr>
              <w:snapToGrid w:val="0"/>
              <w:jc w:val="center"/>
              <w:rPr>
                <w:rFonts w:ascii="標楷體" w:eastAsia="標楷體" w:hAnsi="標楷體"/>
                <w:b/>
                <w:bCs/>
                <w:szCs w:val="24"/>
              </w:rPr>
            </w:pPr>
            <w:r w:rsidRPr="00F954F3">
              <w:rPr>
                <w:rFonts w:ascii="標楷體" w:eastAsia="標楷體" w:hAnsi="標楷體" w:hint="eastAsia"/>
                <w:b/>
                <w:bCs/>
                <w:szCs w:val="24"/>
              </w:rPr>
              <w:t>修正條文</w:t>
            </w:r>
          </w:p>
        </w:tc>
        <w:tc>
          <w:tcPr>
            <w:tcW w:w="3263" w:type="dxa"/>
            <w:vAlign w:val="center"/>
          </w:tcPr>
          <w:p w14:paraId="5E0EE225" w14:textId="53C5378A" w:rsidR="00753FE1" w:rsidRPr="00F954F3" w:rsidRDefault="00753FE1" w:rsidP="00753FE1">
            <w:pPr>
              <w:snapToGrid w:val="0"/>
              <w:jc w:val="center"/>
              <w:rPr>
                <w:rFonts w:ascii="標楷體" w:eastAsia="標楷體" w:hAnsi="標楷體"/>
                <w:b/>
                <w:bCs/>
                <w:szCs w:val="24"/>
              </w:rPr>
            </w:pPr>
            <w:r w:rsidRPr="00F954F3">
              <w:rPr>
                <w:rFonts w:ascii="標楷體" w:eastAsia="標楷體" w:hAnsi="標楷體" w:hint="eastAsia"/>
                <w:b/>
                <w:bCs/>
                <w:szCs w:val="24"/>
              </w:rPr>
              <w:t>現行條文</w:t>
            </w:r>
          </w:p>
        </w:tc>
        <w:tc>
          <w:tcPr>
            <w:tcW w:w="1974" w:type="dxa"/>
            <w:vAlign w:val="center"/>
          </w:tcPr>
          <w:p w14:paraId="2F14C802" w14:textId="157A55FB" w:rsidR="00753FE1" w:rsidRPr="00F954F3" w:rsidRDefault="00753FE1" w:rsidP="00753FE1">
            <w:pPr>
              <w:snapToGrid w:val="0"/>
              <w:jc w:val="center"/>
              <w:rPr>
                <w:rFonts w:ascii="標楷體" w:eastAsia="標楷體" w:hAnsi="標楷體"/>
                <w:b/>
                <w:bCs/>
                <w:szCs w:val="24"/>
              </w:rPr>
            </w:pPr>
            <w:r w:rsidRPr="00F954F3">
              <w:rPr>
                <w:rFonts w:ascii="標楷體" w:eastAsia="標楷體" w:hAnsi="標楷體" w:hint="eastAsia"/>
                <w:b/>
                <w:bCs/>
                <w:szCs w:val="24"/>
              </w:rPr>
              <w:t>說明</w:t>
            </w:r>
          </w:p>
        </w:tc>
      </w:tr>
      <w:tr w:rsidR="002609CA" w:rsidRPr="00F954F3" w14:paraId="3376A0CD" w14:textId="77777777" w:rsidTr="00D7613E">
        <w:trPr>
          <w:jc w:val="center"/>
        </w:trPr>
        <w:tc>
          <w:tcPr>
            <w:tcW w:w="3263" w:type="dxa"/>
          </w:tcPr>
          <w:p w14:paraId="79094723" w14:textId="02204DFB" w:rsidR="002609CA" w:rsidRPr="00F954F3" w:rsidRDefault="002609CA" w:rsidP="002609CA">
            <w:pPr>
              <w:pStyle w:val="ab"/>
              <w:spacing w:before="60" w:after="60" w:line="360" w:lineRule="exact"/>
              <w:ind w:left="284" w:hanging="284"/>
              <w:jc w:val="both"/>
              <w:rPr>
                <w:rFonts w:ascii="標楷體" w:eastAsia="標楷體" w:hAnsi="標楷體"/>
                <w:szCs w:val="24"/>
              </w:rPr>
            </w:pPr>
            <w:r w:rsidRPr="00F954F3">
              <w:rPr>
                <w:rFonts w:ascii="標楷體" w:eastAsia="標楷體" w:hAnsi="標楷體" w:hint="eastAsia"/>
                <w:szCs w:val="24"/>
              </w:rPr>
              <w:t>第二十七條之</w:t>
            </w:r>
            <w:proofErr w:type="gramStart"/>
            <w:r w:rsidRPr="00F954F3">
              <w:rPr>
                <w:rFonts w:ascii="標楷體" w:eastAsia="標楷體" w:hAnsi="標楷體" w:hint="eastAsia"/>
                <w:szCs w:val="24"/>
              </w:rPr>
              <w:t>一</w:t>
            </w:r>
            <w:proofErr w:type="gramEnd"/>
            <w:r w:rsidRPr="00F954F3">
              <w:rPr>
                <w:rFonts w:ascii="標楷體" w:eastAsia="標楷體" w:hAnsi="標楷體" w:hint="eastAsia"/>
                <w:szCs w:val="24"/>
              </w:rPr>
              <w:t xml:space="preserve"> </w:t>
            </w:r>
            <w:r w:rsidRPr="00F954F3">
              <w:rPr>
                <w:rFonts w:ascii="標楷體" w:eastAsia="標楷體" w:hAnsi="標楷體"/>
                <w:szCs w:val="24"/>
              </w:rPr>
              <w:t xml:space="preserve"> </w:t>
            </w:r>
            <w:r w:rsidRPr="00F954F3">
              <w:rPr>
                <w:rFonts w:ascii="標楷體" w:eastAsia="標楷體" w:hAnsi="標楷體" w:hint="eastAsia"/>
                <w:szCs w:val="24"/>
              </w:rPr>
              <w:t>普通股初次上市、上櫃案件、創新板上市公司轉列上市、上櫃公司案件每一</w:t>
            </w:r>
            <w:proofErr w:type="gramStart"/>
            <w:r w:rsidRPr="00F954F3">
              <w:rPr>
                <w:rFonts w:ascii="標楷體" w:eastAsia="標楷體" w:hAnsi="標楷體" w:hint="eastAsia"/>
                <w:szCs w:val="24"/>
              </w:rPr>
              <w:t>圈購人實際</w:t>
            </w:r>
            <w:proofErr w:type="gramEnd"/>
            <w:r w:rsidRPr="00F954F3">
              <w:rPr>
                <w:rFonts w:ascii="標楷體" w:eastAsia="標楷體" w:hAnsi="標楷體" w:hint="eastAsia"/>
                <w:szCs w:val="24"/>
              </w:rPr>
              <w:t>認購數量規定如下：</w:t>
            </w:r>
          </w:p>
          <w:p w14:paraId="24476763" w14:textId="4E85768B" w:rsidR="002609CA" w:rsidRPr="00F954F3" w:rsidRDefault="002609CA" w:rsidP="002609CA">
            <w:pPr>
              <w:pStyle w:val="ab"/>
              <w:spacing w:before="60" w:after="60" w:line="360" w:lineRule="exact"/>
              <w:ind w:leftChars="100" w:left="660" w:hangingChars="175" w:hanging="420"/>
              <w:jc w:val="both"/>
              <w:rPr>
                <w:rFonts w:ascii="標楷體" w:eastAsia="標楷體" w:hAnsi="標楷體"/>
                <w:szCs w:val="24"/>
              </w:rPr>
            </w:pPr>
            <w:r w:rsidRPr="00F954F3">
              <w:rPr>
                <w:rFonts w:ascii="標楷體" w:eastAsia="標楷體" w:hAnsi="標楷體" w:hint="eastAsia"/>
                <w:szCs w:val="24"/>
              </w:rPr>
              <w:t>一、依第二十一條之</w:t>
            </w:r>
            <w:proofErr w:type="gramStart"/>
            <w:r w:rsidRPr="00F954F3">
              <w:rPr>
                <w:rFonts w:ascii="標楷體" w:eastAsia="標楷體" w:hAnsi="標楷體" w:hint="eastAsia"/>
                <w:szCs w:val="24"/>
              </w:rPr>
              <w:t>一</w:t>
            </w:r>
            <w:proofErr w:type="gramEnd"/>
            <w:r w:rsidRPr="00F954F3">
              <w:rPr>
                <w:rFonts w:ascii="標楷體" w:eastAsia="標楷體" w:hAnsi="標楷體" w:hint="eastAsia"/>
                <w:szCs w:val="24"/>
              </w:rPr>
              <w:t>調整公開申購配售額度為百分之三十（含）以下案件，專業投資機構、大陸地區機構投資人實際認購數量不得超過各該證券承銷商承銷數量之百分之十或</w:t>
            </w:r>
            <w:proofErr w:type="gramStart"/>
            <w:r w:rsidRPr="00F954F3">
              <w:rPr>
                <w:rFonts w:ascii="標楷體" w:eastAsia="標楷體" w:hAnsi="標楷體" w:hint="eastAsia"/>
                <w:szCs w:val="24"/>
              </w:rPr>
              <w:t>十萬股孰高</w:t>
            </w:r>
            <w:proofErr w:type="gramEnd"/>
            <w:r w:rsidRPr="00F954F3">
              <w:rPr>
                <w:rFonts w:ascii="標楷體" w:eastAsia="標楷體" w:hAnsi="標楷體" w:hint="eastAsia"/>
                <w:szCs w:val="24"/>
              </w:rPr>
              <w:t>者；但每一</w:t>
            </w:r>
            <w:proofErr w:type="gramStart"/>
            <w:r w:rsidRPr="00F954F3">
              <w:rPr>
                <w:rFonts w:ascii="標楷體" w:eastAsia="標楷體" w:hAnsi="標楷體" w:hint="eastAsia"/>
                <w:szCs w:val="24"/>
              </w:rPr>
              <w:t>圈購人於</w:t>
            </w:r>
            <w:proofErr w:type="gramEnd"/>
            <w:r w:rsidRPr="00F954F3">
              <w:rPr>
                <w:rFonts w:ascii="標楷體" w:eastAsia="標楷體" w:hAnsi="標楷體" w:hint="eastAsia"/>
                <w:szCs w:val="24"/>
              </w:rPr>
              <w:t>各承銷商實際認購數量之合計數，不得超過該承銷案件該次對外公開銷    售部分之百分之十。公開申購配售額度超過百分之三十之案件，專業投資機構、大陸地區機構投資人實際認購數量不得超過各該證券承銷商承銷數量之百分之五或</w:t>
            </w:r>
            <w:proofErr w:type="gramStart"/>
            <w:r w:rsidRPr="00F954F3">
              <w:rPr>
                <w:rFonts w:ascii="標楷體" w:eastAsia="標楷體" w:hAnsi="標楷體" w:hint="eastAsia"/>
                <w:szCs w:val="24"/>
              </w:rPr>
              <w:t>五萬股孰高</w:t>
            </w:r>
            <w:proofErr w:type="gramEnd"/>
            <w:r w:rsidRPr="00F954F3">
              <w:rPr>
                <w:rFonts w:ascii="標楷體" w:eastAsia="標楷體" w:hAnsi="標楷體" w:hint="eastAsia"/>
                <w:szCs w:val="24"/>
              </w:rPr>
              <w:t>者；但每一</w:t>
            </w:r>
            <w:proofErr w:type="gramStart"/>
            <w:r w:rsidRPr="00F954F3">
              <w:rPr>
                <w:rFonts w:ascii="標楷體" w:eastAsia="標楷體" w:hAnsi="標楷體" w:hint="eastAsia"/>
                <w:szCs w:val="24"/>
              </w:rPr>
              <w:t>圈購人於</w:t>
            </w:r>
            <w:proofErr w:type="gramEnd"/>
            <w:r w:rsidRPr="00F954F3">
              <w:rPr>
                <w:rFonts w:ascii="標楷體" w:eastAsia="標楷體" w:hAnsi="標楷體" w:hint="eastAsia"/>
                <w:szCs w:val="24"/>
              </w:rPr>
              <w:t>各承銷商實際認購數量之合計數，不得超過該承銷案件該次對外公開銷售部分之百分之五。</w:t>
            </w:r>
          </w:p>
          <w:p w14:paraId="3FBD2C23" w14:textId="5BD5D2BD" w:rsidR="002609CA" w:rsidRPr="00F954F3" w:rsidRDefault="002609CA" w:rsidP="002609CA">
            <w:pPr>
              <w:pStyle w:val="ab"/>
              <w:spacing w:before="60" w:after="60" w:line="360" w:lineRule="exact"/>
              <w:ind w:leftChars="100" w:left="660" w:hangingChars="175" w:hanging="420"/>
              <w:jc w:val="both"/>
              <w:rPr>
                <w:rFonts w:ascii="標楷體" w:eastAsia="標楷體" w:hAnsi="標楷體"/>
                <w:szCs w:val="24"/>
              </w:rPr>
            </w:pPr>
            <w:r w:rsidRPr="00F954F3">
              <w:rPr>
                <w:rFonts w:ascii="標楷體" w:eastAsia="標楷體" w:hAnsi="標楷體" w:hint="eastAsia"/>
                <w:szCs w:val="24"/>
              </w:rPr>
              <w:t>二、依第二十一條之</w:t>
            </w:r>
            <w:proofErr w:type="gramStart"/>
            <w:r w:rsidRPr="00F954F3">
              <w:rPr>
                <w:rFonts w:ascii="標楷體" w:eastAsia="標楷體" w:hAnsi="標楷體" w:hint="eastAsia"/>
                <w:szCs w:val="24"/>
              </w:rPr>
              <w:t>一</w:t>
            </w:r>
            <w:proofErr w:type="gramEnd"/>
            <w:r w:rsidRPr="00F954F3">
              <w:rPr>
                <w:rFonts w:ascii="標楷體" w:eastAsia="標楷體" w:hAnsi="標楷體" w:hint="eastAsia"/>
                <w:szCs w:val="24"/>
              </w:rPr>
              <w:t>調整</w:t>
            </w:r>
            <w:r w:rsidRPr="00F954F3">
              <w:rPr>
                <w:rFonts w:ascii="標楷體" w:eastAsia="標楷體" w:hAnsi="標楷體" w:hint="eastAsia"/>
                <w:szCs w:val="24"/>
              </w:rPr>
              <w:lastRenderedPageBreak/>
              <w:t>公開申購配售額度為百分之三十（含）以下案件，其他</w:t>
            </w:r>
            <w:proofErr w:type="gramStart"/>
            <w:r w:rsidRPr="00F954F3">
              <w:rPr>
                <w:rFonts w:ascii="標楷體" w:eastAsia="標楷體" w:hAnsi="標楷體" w:hint="eastAsia"/>
                <w:szCs w:val="24"/>
              </w:rPr>
              <w:t>圈購人實際</w:t>
            </w:r>
            <w:proofErr w:type="gramEnd"/>
            <w:r w:rsidRPr="00F954F3">
              <w:rPr>
                <w:rFonts w:ascii="標楷體" w:eastAsia="標楷體" w:hAnsi="標楷體" w:hint="eastAsia"/>
                <w:szCs w:val="24"/>
              </w:rPr>
              <w:t>認購數量不得超過各該證券承銷商承銷數量之百分之五或五萬股之孰高者；但每一</w:t>
            </w:r>
            <w:proofErr w:type="gramStart"/>
            <w:r w:rsidRPr="00F954F3">
              <w:rPr>
                <w:rFonts w:ascii="標楷體" w:eastAsia="標楷體" w:hAnsi="標楷體" w:hint="eastAsia"/>
                <w:szCs w:val="24"/>
              </w:rPr>
              <w:t>圈購人於</w:t>
            </w:r>
            <w:proofErr w:type="gramEnd"/>
            <w:r w:rsidRPr="00F954F3">
              <w:rPr>
                <w:rFonts w:ascii="標楷體" w:eastAsia="標楷體" w:hAnsi="標楷體" w:hint="eastAsia"/>
                <w:szCs w:val="24"/>
              </w:rPr>
              <w:t>各承銷商實際認購數量之合計數，不得超過該承銷案件該次對外公開銷售部分之百分之五。公開申購配售額度超過百分之三十之案件，其他</w:t>
            </w:r>
            <w:proofErr w:type="gramStart"/>
            <w:r w:rsidRPr="00F954F3">
              <w:rPr>
                <w:rFonts w:ascii="標楷體" w:eastAsia="標楷體" w:hAnsi="標楷體" w:hint="eastAsia"/>
                <w:szCs w:val="24"/>
              </w:rPr>
              <w:t>圈購人實際</w:t>
            </w:r>
            <w:proofErr w:type="gramEnd"/>
            <w:r w:rsidRPr="00F954F3">
              <w:rPr>
                <w:rFonts w:ascii="標楷體" w:eastAsia="標楷體" w:hAnsi="標楷體" w:hint="eastAsia"/>
                <w:szCs w:val="24"/>
              </w:rPr>
              <w:t>認購數量不得超過各該證券承銷商承銷數量之百分之二或二萬股之孰高者；但每一</w:t>
            </w:r>
            <w:proofErr w:type="gramStart"/>
            <w:r w:rsidRPr="00F954F3">
              <w:rPr>
                <w:rFonts w:ascii="標楷體" w:eastAsia="標楷體" w:hAnsi="標楷體" w:hint="eastAsia"/>
                <w:szCs w:val="24"/>
              </w:rPr>
              <w:t>圈購人於</w:t>
            </w:r>
            <w:proofErr w:type="gramEnd"/>
            <w:r w:rsidRPr="00F954F3">
              <w:rPr>
                <w:rFonts w:ascii="標楷體" w:eastAsia="標楷體" w:hAnsi="標楷體" w:hint="eastAsia"/>
                <w:szCs w:val="24"/>
              </w:rPr>
              <w:t>各承銷商實際認購數量之合計數，不得超過該承銷案件該次對外公開銷售部分之百分之二。</w:t>
            </w:r>
          </w:p>
          <w:p w14:paraId="3E3DCE78" w14:textId="7B3A7068"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szCs w:val="24"/>
              </w:rPr>
            </w:pPr>
            <w:r w:rsidRPr="00F954F3">
              <w:rPr>
                <w:rFonts w:ascii="標楷體" w:eastAsia="標楷體" w:hAnsi="標楷體" w:hint="eastAsia"/>
                <w:szCs w:val="24"/>
              </w:rPr>
              <w:t>前項第一款所稱專業投資機構</w:t>
            </w:r>
            <w:r w:rsidR="00614A67" w:rsidRPr="00F954F3">
              <w:rPr>
                <w:rFonts w:ascii="標楷體" w:eastAsia="標楷體" w:hAnsi="標楷體" w:hint="eastAsia"/>
                <w:szCs w:val="24"/>
              </w:rPr>
              <w:t>係指</w:t>
            </w:r>
            <w:r w:rsidR="00EC42E0" w:rsidRPr="00F954F3">
              <w:rPr>
                <w:rFonts w:ascii="標楷體" w:eastAsia="標楷體" w:hAnsi="標楷體" w:hint="eastAsia"/>
                <w:szCs w:val="24"/>
              </w:rPr>
              <w:t>符合</w:t>
            </w:r>
            <w:r w:rsidR="00C17046" w:rsidRPr="00F954F3">
              <w:rPr>
                <w:rFonts w:ascii="標楷體" w:eastAsia="標楷體" w:hAnsi="標楷體" w:hint="eastAsia"/>
                <w:b/>
                <w:bCs/>
                <w:szCs w:val="24"/>
                <w:u w:val="single"/>
              </w:rPr>
              <w:t>「</w:t>
            </w:r>
            <w:r w:rsidR="00614A67" w:rsidRPr="00F954F3">
              <w:rPr>
                <w:rFonts w:ascii="標楷體" w:eastAsia="標楷體" w:hAnsi="標楷體" w:hint="eastAsia"/>
                <w:b/>
                <w:bCs/>
                <w:szCs w:val="24"/>
                <w:u w:val="single"/>
              </w:rPr>
              <w:t>境外結構型商品管理規則</w:t>
            </w:r>
            <w:r w:rsidR="00C17046" w:rsidRPr="00F954F3">
              <w:rPr>
                <w:rFonts w:ascii="標楷體" w:eastAsia="標楷體" w:hAnsi="標楷體" w:hint="eastAsia"/>
                <w:b/>
                <w:bCs/>
                <w:szCs w:val="24"/>
                <w:u w:val="single"/>
              </w:rPr>
              <w:t>」</w:t>
            </w:r>
            <w:r w:rsidR="00614A67" w:rsidRPr="00F954F3">
              <w:rPr>
                <w:rFonts w:ascii="標楷體" w:eastAsia="標楷體" w:hAnsi="標楷體" w:hint="eastAsia"/>
                <w:b/>
                <w:bCs/>
                <w:szCs w:val="24"/>
                <w:u w:val="single"/>
              </w:rPr>
              <w:t>第三條第三項</w:t>
            </w:r>
            <w:r w:rsidR="00A971BA" w:rsidRPr="00F954F3">
              <w:rPr>
                <w:rFonts w:ascii="標楷體" w:eastAsia="標楷體" w:hAnsi="標楷體" w:hint="eastAsia"/>
                <w:b/>
                <w:bCs/>
                <w:szCs w:val="24"/>
                <w:u w:val="single"/>
              </w:rPr>
              <w:t>第</w:t>
            </w:r>
            <w:r w:rsidR="00EC42E0" w:rsidRPr="00F954F3">
              <w:rPr>
                <w:rFonts w:ascii="標楷體" w:eastAsia="標楷體" w:hAnsi="標楷體" w:hint="eastAsia"/>
                <w:b/>
                <w:bCs/>
                <w:szCs w:val="24"/>
                <w:u w:val="single"/>
              </w:rPr>
              <w:t>一款</w:t>
            </w:r>
            <w:r w:rsidR="00614A67" w:rsidRPr="00F954F3">
              <w:rPr>
                <w:rFonts w:ascii="標楷體" w:eastAsia="標楷體" w:hAnsi="標楷體" w:hint="eastAsia"/>
                <w:b/>
                <w:bCs/>
                <w:szCs w:val="24"/>
                <w:u w:val="single"/>
              </w:rPr>
              <w:t>所定之專業機構投資人</w:t>
            </w:r>
            <w:r w:rsidRPr="00F954F3">
              <w:rPr>
                <w:rFonts w:ascii="標楷體" w:eastAsia="標楷體" w:hAnsi="標楷體" w:hint="eastAsia"/>
                <w:szCs w:val="24"/>
              </w:rPr>
              <w:t>。</w:t>
            </w:r>
          </w:p>
          <w:p w14:paraId="378655C9" w14:textId="6AF66099"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szCs w:val="24"/>
              </w:rPr>
            </w:pPr>
            <w:r w:rsidRPr="00F954F3">
              <w:rPr>
                <w:rFonts w:ascii="標楷體" w:eastAsia="標楷體" w:hAnsi="標楷體" w:hint="eastAsia"/>
                <w:szCs w:val="24"/>
              </w:rPr>
              <w:t>承銷商依第一項第二款配售於與承銷商有承銷業務往來之公司之數量合計不得超過各該證券承銷商承銷數量之百分之二十。</w:t>
            </w:r>
          </w:p>
          <w:p w14:paraId="0A2A063A" w14:textId="457314EB"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szCs w:val="24"/>
              </w:rPr>
            </w:pPr>
            <w:r w:rsidRPr="00F954F3">
              <w:rPr>
                <w:rFonts w:ascii="標楷體" w:eastAsia="標楷體" w:hAnsi="標楷體" w:hint="eastAsia"/>
                <w:szCs w:val="24"/>
              </w:rPr>
              <w:t>前項所稱有承銷業務往來之公司，係指該初次上市、上櫃案件掛牌前十二</w:t>
            </w:r>
            <w:proofErr w:type="gramStart"/>
            <w:r w:rsidRPr="00F954F3">
              <w:rPr>
                <w:rFonts w:ascii="標楷體" w:eastAsia="標楷體" w:hAnsi="標楷體" w:hint="eastAsia"/>
                <w:szCs w:val="24"/>
              </w:rPr>
              <w:t>個</w:t>
            </w:r>
            <w:proofErr w:type="gramEnd"/>
            <w:r w:rsidRPr="00F954F3">
              <w:rPr>
                <w:rFonts w:ascii="標楷體" w:eastAsia="標楷體" w:hAnsi="標楷體" w:hint="eastAsia"/>
                <w:szCs w:val="24"/>
              </w:rPr>
              <w:t>月或預計未來三個月內，主辦該公司之承銷業務者。</w:t>
            </w:r>
          </w:p>
          <w:p w14:paraId="5CB6FC07" w14:textId="172D71CA"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szCs w:val="24"/>
              </w:rPr>
            </w:pPr>
            <w:r w:rsidRPr="00F954F3">
              <w:rPr>
                <w:rFonts w:ascii="標楷體" w:eastAsia="標楷體" w:hAnsi="標楷體" w:hint="eastAsia"/>
                <w:szCs w:val="24"/>
              </w:rPr>
              <w:lastRenderedPageBreak/>
              <w:t>承銷商就未足額認購部分或配售後認購人未繳款部分</w:t>
            </w:r>
            <w:proofErr w:type="gramStart"/>
            <w:r w:rsidRPr="00F954F3">
              <w:rPr>
                <w:rFonts w:ascii="標楷體" w:eastAsia="標楷體" w:hAnsi="標楷體" w:hint="eastAsia"/>
                <w:szCs w:val="24"/>
              </w:rPr>
              <w:t>洽</w:t>
            </w:r>
            <w:proofErr w:type="gramEnd"/>
            <w:r w:rsidRPr="00F954F3">
              <w:rPr>
                <w:rFonts w:ascii="標楷體" w:eastAsia="標楷體" w:hAnsi="標楷體" w:hint="eastAsia"/>
                <w:szCs w:val="24"/>
              </w:rPr>
              <w:t>特定人認購時，得不受第一項之限制，惟仍不得超過各該證券承銷商承銷數量之百分之十或</w:t>
            </w:r>
            <w:proofErr w:type="gramStart"/>
            <w:r w:rsidRPr="00F954F3">
              <w:rPr>
                <w:rFonts w:ascii="標楷體" w:eastAsia="標楷體" w:hAnsi="標楷體" w:hint="eastAsia"/>
                <w:szCs w:val="24"/>
              </w:rPr>
              <w:t>十萬股孰高</w:t>
            </w:r>
            <w:proofErr w:type="gramEnd"/>
            <w:r w:rsidRPr="00F954F3">
              <w:rPr>
                <w:rFonts w:ascii="標楷體" w:eastAsia="標楷體" w:hAnsi="標楷體" w:hint="eastAsia"/>
                <w:szCs w:val="24"/>
              </w:rPr>
              <w:t>者，且該特定人於各承銷商實際認購數量之合計數，不得超過該承銷案件該次對外公開銷售部分之百分之十。</w:t>
            </w:r>
          </w:p>
        </w:tc>
        <w:tc>
          <w:tcPr>
            <w:tcW w:w="3263" w:type="dxa"/>
          </w:tcPr>
          <w:p w14:paraId="72B227AC" w14:textId="77777777" w:rsidR="002609CA" w:rsidRPr="00F954F3" w:rsidRDefault="002609CA" w:rsidP="002609CA">
            <w:pPr>
              <w:pStyle w:val="ab"/>
              <w:spacing w:before="60" w:after="60" w:line="360" w:lineRule="exact"/>
              <w:ind w:left="284" w:hanging="284"/>
              <w:jc w:val="both"/>
              <w:rPr>
                <w:rFonts w:ascii="標楷體" w:eastAsia="標楷體" w:hAnsi="標楷體"/>
                <w:szCs w:val="24"/>
              </w:rPr>
            </w:pPr>
            <w:r w:rsidRPr="00F954F3">
              <w:rPr>
                <w:rFonts w:ascii="標楷體" w:eastAsia="標楷體" w:hAnsi="標楷體" w:hint="eastAsia"/>
                <w:szCs w:val="24"/>
              </w:rPr>
              <w:lastRenderedPageBreak/>
              <w:t>第二十七條之</w:t>
            </w:r>
            <w:proofErr w:type="gramStart"/>
            <w:r w:rsidRPr="00F954F3">
              <w:rPr>
                <w:rFonts w:ascii="標楷體" w:eastAsia="標楷體" w:hAnsi="標楷體" w:hint="eastAsia"/>
                <w:szCs w:val="24"/>
              </w:rPr>
              <w:t>一</w:t>
            </w:r>
            <w:proofErr w:type="gramEnd"/>
            <w:r w:rsidRPr="00F954F3">
              <w:rPr>
                <w:rFonts w:ascii="標楷體" w:eastAsia="標楷體" w:hAnsi="標楷體" w:hint="eastAsia"/>
                <w:szCs w:val="24"/>
              </w:rPr>
              <w:t xml:space="preserve"> </w:t>
            </w:r>
            <w:r w:rsidRPr="00F954F3">
              <w:rPr>
                <w:rFonts w:ascii="標楷體" w:eastAsia="標楷體" w:hAnsi="標楷體"/>
                <w:szCs w:val="24"/>
              </w:rPr>
              <w:t xml:space="preserve"> </w:t>
            </w:r>
            <w:r w:rsidRPr="00F954F3">
              <w:rPr>
                <w:rFonts w:ascii="標楷體" w:eastAsia="標楷體" w:hAnsi="標楷體" w:hint="eastAsia"/>
                <w:szCs w:val="24"/>
              </w:rPr>
              <w:t>普通股初次上市、上櫃案件、創新板上市公司轉列上市、上櫃公司案件每一</w:t>
            </w:r>
            <w:proofErr w:type="gramStart"/>
            <w:r w:rsidRPr="00F954F3">
              <w:rPr>
                <w:rFonts w:ascii="標楷體" w:eastAsia="標楷體" w:hAnsi="標楷體" w:hint="eastAsia"/>
                <w:szCs w:val="24"/>
              </w:rPr>
              <w:t>圈購人實際</w:t>
            </w:r>
            <w:proofErr w:type="gramEnd"/>
            <w:r w:rsidRPr="00F954F3">
              <w:rPr>
                <w:rFonts w:ascii="標楷體" w:eastAsia="標楷體" w:hAnsi="標楷體" w:hint="eastAsia"/>
                <w:szCs w:val="24"/>
              </w:rPr>
              <w:t>認購數量規定如下：</w:t>
            </w:r>
          </w:p>
          <w:p w14:paraId="37A8EFBD" w14:textId="77777777" w:rsidR="002609CA" w:rsidRPr="00F954F3" w:rsidRDefault="002609CA" w:rsidP="002609CA">
            <w:pPr>
              <w:pStyle w:val="ab"/>
              <w:spacing w:before="60" w:after="60" w:line="360" w:lineRule="exact"/>
              <w:ind w:leftChars="100" w:left="660" w:hangingChars="175" w:hanging="420"/>
              <w:jc w:val="both"/>
              <w:rPr>
                <w:rFonts w:ascii="標楷體" w:eastAsia="標楷體" w:hAnsi="標楷體"/>
                <w:szCs w:val="24"/>
              </w:rPr>
            </w:pPr>
            <w:r w:rsidRPr="00F954F3">
              <w:rPr>
                <w:rFonts w:ascii="標楷體" w:eastAsia="標楷體" w:hAnsi="標楷體" w:hint="eastAsia"/>
                <w:szCs w:val="24"/>
              </w:rPr>
              <w:t>一、依第二十一條之</w:t>
            </w:r>
            <w:proofErr w:type="gramStart"/>
            <w:r w:rsidRPr="00F954F3">
              <w:rPr>
                <w:rFonts w:ascii="標楷體" w:eastAsia="標楷體" w:hAnsi="標楷體" w:hint="eastAsia"/>
                <w:szCs w:val="24"/>
              </w:rPr>
              <w:t>一</w:t>
            </w:r>
            <w:proofErr w:type="gramEnd"/>
            <w:r w:rsidRPr="00F954F3">
              <w:rPr>
                <w:rFonts w:ascii="標楷體" w:eastAsia="標楷體" w:hAnsi="標楷體" w:hint="eastAsia"/>
                <w:szCs w:val="24"/>
              </w:rPr>
              <w:t>調整公開申購配售額度為百分之三十（含）以下案件，專業投資機構、大陸地區機構投資人實際認購數量不得超過各該證券承銷商承銷數量之百分之十或</w:t>
            </w:r>
            <w:proofErr w:type="gramStart"/>
            <w:r w:rsidRPr="00F954F3">
              <w:rPr>
                <w:rFonts w:ascii="標楷體" w:eastAsia="標楷體" w:hAnsi="標楷體" w:hint="eastAsia"/>
                <w:szCs w:val="24"/>
              </w:rPr>
              <w:t>十萬股孰高</w:t>
            </w:r>
            <w:proofErr w:type="gramEnd"/>
            <w:r w:rsidRPr="00F954F3">
              <w:rPr>
                <w:rFonts w:ascii="標楷體" w:eastAsia="標楷體" w:hAnsi="標楷體" w:hint="eastAsia"/>
                <w:szCs w:val="24"/>
              </w:rPr>
              <w:t>者；但每一</w:t>
            </w:r>
            <w:proofErr w:type="gramStart"/>
            <w:r w:rsidRPr="00F954F3">
              <w:rPr>
                <w:rFonts w:ascii="標楷體" w:eastAsia="標楷體" w:hAnsi="標楷體" w:hint="eastAsia"/>
                <w:szCs w:val="24"/>
              </w:rPr>
              <w:t>圈購人於</w:t>
            </w:r>
            <w:proofErr w:type="gramEnd"/>
            <w:r w:rsidRPr="00F954F3">
              <w:rPr>
                <w:rFonts w:ascii="標楷體" w:eastAsia="標楷體" w:hAnsi="標楷體" w:hint="eastAsia"/>
                <w:szCs w:val="24"/>
              </w:rPr>
              <w:t>各承銷商實際認購數量之合計數，不得超過該承銷案件該次對外公開銷    售部分之百分之十。公開申購配售額度超過百分之三十之案件，專業投資機構、大陸地區機構投資人實際認購數量不得超過各該證券承銷商承銷數量之百分之五或</w:t>
            </w:r>
            <w:proofErr w:type="gramStart"/>
            <w:r w:rsidRPr="00F954F3">
              <w:rPr>
                <w:rFonts w:ascii="標楷體" w:eastAsia="標楷體" w:hAnsi="標楷體" w:hint="eastAsia"/>
                <w:szCs w:val="24"/>
              </w:rPr>
              <w:t>五萬股孰高</w:t>
            </w:r>
            <w:proofErr w:type="gramEnd"/>
            <w:r w:rsidRPr="00F954F3">
              <w:rPr>
                <w:rFonts w:ascii="標楷體" w:eastAsia="標楷體" w:hAnsi="標楷體" w:hint="eastAsia"/>
                <w:szCs w:val="24"/>
              </w:rPr>
              <w:t>者；但每一</w:t>
            </w:r>
            <w:proofErr w:type="gramStart"/>
            <w:r w:rsidRPr="00F954F3">
              <w:rPr>
                <w:rFonts w:ascii="標楷體" w:eastAsia="標楷體" w:hAnsi="標楷體" w:hint="eastAsia"/>
                <w:szCs w:val="24"/>
              </w:rPr>
              <w:t>圈購人於</w:t>
            </w:r>
            <w:proofErr w:type="gramEnd"/>
            <w:r w:rsidRPr="00F954F3">
              <w:rPr>
                <w:rFonts w:ascii="標楷體" w:eastAsia="標楷體" w:hAnsi="標楷體" w:hint="eastAsia"/>
                <w:szCs w:val="24"/>
              </w:rPr>
              <w:t>各承銷商實際認購數量之合計數，不得超過該承銷案件該次對外公開銷售部分之百分之五。</w:t>
            </w:r>
          </w:p>
          <w:p w14:paraId="6702020B" w14:textId="77777777" w:rsidR="002609CA" w:rsidRPr="00F954F3" w:rsidRDefault="002609CA" w:rsidP="002609CA">
            <w:pPr>
              <w:pStyle w:val="ab"/>
              <w:spacing w:before="60" w:after="60" w:line="360" w:lineRule="exact"/>
              <w:ind w:leftChars="100" w:left="660" w:hangingChars="175" w:hanging="420"/>
              <w:jc w:val="both"/>
              <w:rPr>
                <w:rFonts w:ascii="標楷體" w:eastAsia="標楷體" w:hAnsi="標楷體"/>
                <w:szCs w:val="24"/>
              </w:rPr>
            </w:pPr>
            <w:r w:rsidRPr="00F954F3">
              <w:rPr>
                <w:rFonts w:ascii="標楷體" w:eastAsia="標楷體" w:hAnsi="標楷體" w:hint="eastAsia"/>
                <w:szCs w:val="24"/>
              </w:rPr>
              <w:t>二、依第二十一條之</w:t>
            </w:r>
            <w:proofErr w:type="gramStart"/>
            <w:r w:rsidRPr="00F954F3">
              <w:rPr>
                <w:rFonts w:ascii="標楷體" w:eastAsia="標楷體" w:hAnsi="標楷體" w:hint="eastAsia"/>
                <w:szCs w:val="24"/>
              </w:rPr>
              <w:t>一</w:t>
            </w:r>
            <w:proofErr w:type="gramEnd"/>
            <w:r w:rsidRPr="00F954F3">
              <w:rPr>
                <w:rFonts w:ascii="標楷體" w:eastAsia="標楷體" w:hAnsi="標楷體" w:hint="eastAsia"/>
                <w:szCs w:val="24"/>
              </w:rPr>
              <w:t>調整</w:t>
            </w:r>
            <w:r w:rsidRPr="00F954F3">
              <w:rPr>
                <w:rFonts w:ascii="標楷體" w:eastAsia="標楷體" w:hAnsi="標楷體" w:hint="eastAsia"/>
                <w:szCs w:val="24"/>
              </w:rPr>
              <w:lastRenderedPageBreak/>
              <w:t>公開申購配售額度為百分之三十（含）以下案件，其他</w:t>
            </w:r>
            <w:proofErr w:type="gramStart"/>
            <w:r w:rsidRPr="00F954F3">
              <w:rPr>
                <w:rFonts w:ascii="標楷體" w:eastAsia="標楷體" w:hAnsi="標楷體" w:hint="eastAsia"/>
                <w:szCs w:val="24"/>
              </w:rPr>
              <w:t>圈購人實際</w:t>
            </w:r>
            <w:proofErr w:type="gramEnd"/>
            <w:r w:rsidRPr="00F954F3">
              <w:rPr>
                <w:rFonts w:ascii="標楷體" w:eastAsia="標楷體" w:hAnsi="標楷體" w:hint="eastAsia"/>
                <w:szCs w:val="24"/>
              </w:rPr>
              <w:t>認購數量不得超過各該證券承銷商承銷數量之百分之五或五萬股之孰高者；但每一</w:t>
            </w:r>
            <w:proofErr w:type="gramStart"/>
            <w:r w:rsidRPr="00F954F3">
              <w:rPr>
                <w:rFonts w:ascii="標楷體" w:eastAsia="標楷體" w:hAnsi="標楷體" w:hint="eastAsia"/>
                <w:szCs w:val="24"/>
              </w:rPr>
              <w:t>圈購人於</w:t>
            </w:r>
            <w:proofErr w:type="gramEnd"/>
            <w:r w:rsidRPr="00F954F3">
              <w:rPr>
                <w:rFonts w:ascii="標楷體" w:eastAsia="標楷體" w:hAnsi="標楷體" w:hint="eastAsia"/>
                <w:szCs w:val="24"/>
              </w:rPr>
              <w:t>各承銷商實際認購數量之合計數，不得超過該承銷案件該次對外公開銷售部分之百分之五。公開申購配售額度超過百分之三十之案件，其他</w:t>
            </w:r>
            <w:proofErr w:type="gramStart"/>
            <w:r w:rsidRPr="00F954F3">
              <w:rPr>
                <w:rFonts w:ascii="標楷體" w:eastAsia="標楷體" w:hAnsi="標楷體" w:hint="eastAsia"/>
                <w:szCs w:val="24"/>
              </w:rPr>
              <w:t>圈購人實際</w:t>
            </w:r>
            <w:proofErr w:type="gramEnd"/>
            <w:r w:rsidRPr="00F954F3">
              <w:rPr>
                <w:rFonts w:ascii="標楷體" w:eastAsia="標楷體" w:hAnsi="標楷體" w:hint="eastAsia"/>
                <w:szCs w:val="24"/>
              </w:rPr>
              <w:t>認購數量不得超過各該證券承銷商承銷數量之百分之二或二萬股之孰高者；但每一</w:t>
            </w:r>
            <w:proofErr w:type="gramStart"/>
            <w:r w:rsidRPr="00F954F3">
              <w:rPr>
                <w:rFonts w:ascii="標楷體" w:eastAsia="標楷體" w:hAnsi="標楷體" w:hint="eastAsia"/>
                <w:szCs w:val="24"/>
              </w:rPr>
              <w:t>圈購人於</w:t>
            </w:r>
            <w:proofErr w:type="gramEnd"/>
            <w:r w:rsidRPr="00F954F3">
              <w:rPr>
                <w:rFonts w:ascii="標楷體" w:eastAsia="標楷體" w:hAnsi="標楷體" w:hint="eastAsia"/>
                <w:szCs w:val="24"/>
              </w:rPr>
              <w:t>各承銷商實際認購數量之合計數，不得超過該承銷案件該次對外公開銷售部分之百分之二。</w:t>
            </w:r>
          </w:p>
          <w:p w14:paraId="53155EC6"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szCs w:val="24"/>
              </w:rPr>
            </w:pPr>
            <w:r w:rsidRPr="00F954F3">
              <w:rPr>
                <w:rFonts w:ascii="標楷體" w:eastAsia="標楷體" w:hAnsi="標楷體" w:hint="eastAsia"/>
                <w:szCs w:val="24"/>
              </w:rPr>
              <w:t>前項第一款所稱專業投資機構係指</w:t>
            </w:r>
            <w:r w:rsidRPr="00F954F3">
              <w:rPr>
                <w:rFonts w:ascii="標楷體" w:eastAsia="標楷體" w:hAnsi="標楷體" w:hint="eastAsia"/>
                <w:b/>
                <w:bCs/>
                <w:szCs w:val="24"/>
                <w:u w:val="single"/>
              </w:rPr>
              <w:t>國內機構投資人及外國機構投資人，包括國內外之銀行、保險公司、基金管理公司、政府投資機構、政府基金、共同基金、單位信託、投資信託及信託業</w:t>
            </w:r>
            <w:r w:rsidRPr="00F954F3">
              <w:rPr>
                <w:rFonts w:ascii="標楷體" w:eastAsia="標楷體" w:hAnsi="標楷體" w:hint="eastAsia"/>
                <w:szCs w:val="24"/>
              </w:rPr>
              <w:t>。</w:t>
            </w:r>
          </w:p>
          <w:p w14:paraId="75E1B8A7"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szCs w:val="24"/>
              </w:rPr>
            </w:pPr>
            <w:r w:rsidRPr="00F954F3">
              <w:rPr>
                <w:rFonts w:ascii="標楷體" w:eastAsia="標楷體" w:hAnsi="標楷體" w:hint="eastAsia"/>
                <w:szCs w:val="24"/>
              </w:rPr>
              <w:t>承銷商依第一項第二款配售於與承銷商有承銷業務往來之公司之數量合計不得超過各該證券承銷商承銷數量之百分之二十。</w:t>
            </w:r>
          </w:p>
          <w:p w14:paraId="6F75DFFE"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szCs w:val="24"/>
              </w:rPr>
            </w:pPr>
            <w:r w:rsidRPr="00F954F3">
              <w:rPr>
                <w:rFonts w:ascii="標楷體" w:eastAsia="標楷體" w:hAnsi="標楷體" w:hint="eastAsia"/>
                <w:szCs w:val="24"/>
              </w:rPr>
              <w:t>前項所稱有承銷業務往來之公司，係指該初次上</w:t>
            </w:r>
            <w:r w:rsidRPr="00F954F3">
              <w:rPr>
                <w:rFonts w:ascii="標楷體" w:eastAsia="標楷體" w:hAnsi="標楷體" w:hint="eastAsia"/>
                <w:szCs w:val="24"/>
              </w:rPr>
              <w:lastRenderedPageBreak/>
              <w:t>市、上櫃案件掛牌前十二</w:t>
            </w:r>
            <w:proofErr w:type="gramStart"/>
            <w:r w:rsidRPr="00F954F3">
              <w:rPr>
                <w:rFonts w:ascii="標楷體" w:eastAsia="標楷體" w:hAnsi="標楷體" w:hint="eastAsia"/>
                <w:szCs w:val="24"/>
              </w:rPr>
              <w:t>個</w:t>
            </w:r>
            <w:proofErr w:type="gramEnd"/>
            <w:r w:rsidRPr="00F954F3">
              <w:rPr>
                <w:rFonts w:ascii="標楷體" w:eastAsia="標楷體" w:hAnsi="標楷體" w:hint="eastAsia"/>
                <w:szCs w:val="24"/>
              </w:rPr>
              <w:t>月或預計未來三個月內，主辦該公司之承銷業務者。</w:t>
            </w:r>
          </w:p>
          <w:p w14:paraId="72EF8902" w14:textId="181F00E5" w:rsidR="002609CA" w:rsidRPr="00F954F3" w:rsidRDefault="002609CA" w:rsidP="00C17046">
            <w:pPr>
              <w:pStyle w:val="ab"/>
              <w:spacing w:before="60" w:after="60" w:line="360" w:lineRule="exact"/>
              <w:ind w:leftChars="100" w:left="240" w:firstLineChars="200" w:firstLine="480"/>
              <w:jc w:val="both"/>
              <w:rPr>
                <w:rFonts w:ascii="標楷體" w:eastAsia="標楷體" w:hAnsi="標楷體"/>
                <w:szCs w:val="24"/>
              </w:rPr>
            </w:pPr>
            <w:r w:rsidRPr="00F954F3">
              <w:rPr>
                <w:rFonts w:ascii="標楷體" w:eastAsia="標楷體" w:hAnsi="標楷體" w:hint="eastAsia"/>
                <w:szCs w:val="24"/>
              </w:rPr>
              <w:t>承銷商就未足額認購部分或配售後認購人未繳款部分</w:t>
            </w:r>
            <w:proofErr w:type="gramStart"/>
            <w:r w:rsidRPr="00F954F3">
              <w:rPr>
                <w:rFonts w:ascii="標楷體" w:eastAsia="標楷體" w:hAnsi="標楷體" w:hint="eastAsia"/>
                <w:szCs w:val="24"/>
              </w:rPr>
              <w:t>洽</w:t>
            </w:r>
            <w:proofErr w:type="gramEnd"/>
            <w:r w:rsidRPr="00F954F3">
              <w:rPr>
                <w:rFonts w:ascii="標楷體" w:eastAsia="標楷體" w:hAnsi="標楷體" w:hint="eastAsia"/>
                <w:szCs w:val="24"/>
              </w:rPr>
              <w:t>特定人認購時，得不受第一項之限制，惟仍不得超過各該證券承銷商承銷數量之百分之十或</w:t>
            </w:r>
            <w:proofErr w:type="gramStart"/>
            <w:r w:rsidRPr="00F954F3">
              <w:rPr>
                <w:rFonts w:ascii="標楷體" w:eastAsia="標楷體" w:hAnsi="標楷體" w:hint="eastAsia"/>
                <w:szCs w:val="24"/>
              </w:rPr>
              <w:t>十萬股孰高</w:t>
            </w:r>
            <w:proofErr w:type="gramEnd"/>
            <w:r w:rsidRPr="00F954F3">
              <w:rPr>
                <w:rFonts w:ascii="標楷體" w:eastAsia="標楷體" w:hAnsi="標楷體" w:hint="eastAsia"/>
                <w:szCs w:val="24"/>
              </w:rPr>
              <w:t>者，且該特定人於各承銷商實際認購數量之合計數，不得超過該承銷案件該次對外公開銷售部分之百分之十。</w:t>
            </w:r>
          </w:p>
        </w:tc>
        <w:tc>
          <w:tcPr>
            <w:tcW w:w="1974" w:type="dxa"/>
          </w:tcPr>
          <w:p w14:paraId="6A680437" w14:textId="7D6F4EA3" w:rsidR="002609CA" w:rsidRPr="00F954F3" w:rsidRDefault="00614A67" w:rsidP="002609CA">
            <w:pPr>
              <w:snapToGrid w:val="0"/>
              <w:spacing w:line="400" w:lineRule="atLeast"/>
              <w:ind w:leftChars="-1" w:left="20" w:hangingChars="9" w:hanging="22"/>
              <w:jc w:val="both"/>
              <w:rPr>
                <w:rFonts w:ascii="標楷體" w:eastAsia="標楷體" w:hAnsi="標楷體"/>
                <w:color w:val="000000"/>
                <w:szCs w:val="24"/>
              </w:rPr>
            </w:pPr>
            <w:proofErr w:type="gramStart"/>
            <w:r w:rsidRPr="00F954F3">
              <w:rPr>
                <w:rFonts w:ascii="標楷體" w:eastAsia="標楷體" w:hAnsi="標楷體" w:hint="eastAsia"/>
                <w:color w:val="000000"/>
                <w:szCs w:val="24"/>
              </w:rPr>
              <w:lastRenderedPageBreak/>
              <w:t>為符實務</w:t>
            </w:r>
            <w:proofErr w:type="gramEnd"/>
            <w:r w:rsidRPr="00F954F3">
              <w:rPr>
                <w:rFonts w:ascii="標楷體" w:eastAsia="標楷體" w:hAnsi="標楷體" w:hint="eastAsia"/>
                <w:color w:val="000000"/>
                <w:szCs w:val="24"/>
              </w:rPr>
              <w:t>需求，</w:t>
            </w:r>
            <w:r w:rsidR="009C1D56">
              <w:rPr>
                <w:rFonts w:ascii="標楷體" w:eastAsia="標楷體" w:hAnsi="標楷體" w:hint="eastAsia"/>
                <w:color w:val="000000"/>
                <w:szCs w:val="24"/>
              </w:rPr>
              <w:t>比</w:t>
            </w:r>
            <w:r w:rsidRPr="00F954F3">
              <w:rPr>
                <w:rFonts w:ascii="標楷體" w:eastAsia="標楷體" w:hAnsi="標楷體" w:hint="eastAsia"/>
                <w:color w:val="000000"/>
                <w:szCs w:val="24"/>
              </w:rPr>
              <w:t>照</w:t>
            </w:r>
            <w:r w:rsidR="009C1D56">
              <w:rPr>
                <w:rFonts w:ascii="標楷體" w:eastAsia="標楷體" w:hAnsi="標楷體" w:hint="eastAsia"/>
                <w:color w:val="000000"/>
                <w:szCs w:val="24"/>
              </w:rPr>
              <w:t>「</w:t>
            </w:r>
            <w:r w:rsidRPr="00F954F3">
              <w:rPr>
                <w:rFonts w:ascii="標楷體" w:eastAsia="標楷體" w:hAnsi="標楷體" w:hint="eastAsia"/>
                <w:color w:val="000000"/>
                <w:szCs w:val="24"/>
              </w:rPr>
              <w:t>境外結構型商品管理規則</w:t>
            </w:r>
            <w:r w:rsidR="009C1D56">
              <w:rPr>
                <w:rFonts w:ascii="標楷體" w:eastAsia="標楷體" w:hAnsi="標楷體" w:hint="eastAsia"/>
                <w:color w:val="000000"/>
                <w:szCs w:val="24"/>
              </w:rPr>
              <w:t>」</w:t>
            </w:r>
            <w:r w:rsidRPr="00F954F3">
              <w:rPr>
                <w:rFonts w:ascii="標楷體" w:eastAsia="標楷體" w:hAnsi="標楷體" w:hint="eastAsia"/>
                <w:color w:val="000000"/>
                <w:szCs w:val="24"/>
              </w:rPr>
              <w:t>第</w:t>
            </w:r>
            <w:r w:rsidR="008E7DFD" w:rsidRPr="00F954F3">
              <w:rPr>
                <w:rFonts w:ascii="標楷體" w:eastAsia="標楷體" w:hAnsi="標楷體" w:hint="eastAsia"/>
                <w:color w:val="000000"/>
                <w:szCs w:val="24"/>
              </w:rPr>
              <w:t>三</w:t>
            </w:r>
            <w:r w:rsidRPr="00F954F3">
              <w:rPr>
                <w:rFonts w:ascii="標楷體" w:eastAsia="標楷體" w:hAnsi="標楷體" w:hint="eastAsia"/>
                <w:color w:val="000000"/>
                <w:szCs w:val="24"/>
              </w:rPr>
              <w:t>條第</w:t>
            </w:r>
            <w:r w:rsidR="008E7DFD" w:rsidRPr="00F954F3">
              <w:rPr>
                <w:rFonts w:ascii="標楷體" w:eastAsia="標楷體" w:hAnsi="標楷體" w:hint="eastAsia"/>
                <w:color w:val="000000"/>
                <w:szCs w:val="24"/>
              </w:rPr>
              <w:t>三</w:t>
            </w:r>
            <w:r w:rsidRPr="00F954F3">
              <w:rPr>
                <w:rFonts w:ascii="標楷體" w:eastAsia="標楷體" w:hAnsi="標楷體" w:hint="eastAsia"/>
                <w:color w:val="000000"/>
                <w:szCs w:val="24"/>
              </w:rPr>
              <w:t>項</w:t>
            </w:r>
            <w:r w:rsidR="00C90708" w:rsidRPr="00F954F3">
              <w:rPr>
                <w:rFonts w:ascii="標楷體" w:eastAsia="標楷體" w:hAnsi="標楷體" w:hint="eastAsia"/>
                <w:color w:val="000000"/>
                <w:szCs w:val="24"/>
              </w:rPr>
              <w:t>第一款</w:t>
            </w:r>
            <w:r w:rsidRPr="00F954F3">
              <w:rPr>
                <w:rFonts w:ascii="標楷體" w:eastAsia="標楷體" w:hAnsi="標楷體" w:hint="eastAsia"/>
                <w:color w:val="000000"/>
                <w:szCs w:val="24"/>
              </w:rPr>
              <w:t>所稱之專業機構投資人</w:t>
            </w:r>
            <w:r w:rsidR="009C1D56" w:rsidRPr="009C1D56">
              <w:rPr>
                <w:rFonts w:ascii="標楷體" w:eastAsia="標楷體" w:hAnsi="標楷體" w:hint="eastAsia"/>
                <w:color w:val="000000"/>
                <w:szCs w:val="24"/>
              </w:rPr>
              <w:t>「國內外之銀行、保險公司、票</w:t>
            </w:r>
            <w:proofErr w:type="gramStart"/>
            <w:r w:rsidR="009C1D56" w:rsidRPr="009C1D56">
              <w:rPr>
                <w:rFonts w:ascii="標楷體" w:eastAsia="標楷體" w:hAnsi="標楷體" w:hint="eastAsia"/>
                <w:color w:val="000000"/>
                <w:szCs w:val="24"/>
              </w:rPr>
              <w:t>券</w:t>
            </w:r>
            <w:proofErr w:type="gramEnd"/>
            <w:r w:rsidR="009C1D56" w:rsidRPr="009C1D56">
              <w:rPr>
                <w:rFonts w:ascii="標楷體" w:eastAsia="標楷體" w:hAnsi="標楷體" w:hint="eastAsia"/>
                <w:color w:val="000000"/>
                <w:szCs w:val="24"/>
              </w:rPr>
              <w:t>金融公司、證券商、基金管理公司、政府投資機構、政府基金、退休基金、共同基金、單位信託、證券投資信託公司、證券投資顧問公司、信託業、期貨商、期貨服務事業及其他經本會核准之機構</w:t>
            </w:r>
            <w:r w:rsidR="00191267">
              <w:rPr>
                <w:rFonts w:ascii="標楷體" w:eastAsia="標楷體" w:hAnsi="標楷體" w:hint="eastAsia"/>
                <w:color w:val="000000"/>
                <w:szCs w:val="24"/>
              </w:rPr>
              <w:t>」</w:t>
            </w:r>
            <w:r w:rsidR="008E7DFD" w:rsidRPr="00F954F3">
              <w:rPr>
                <w:rFonts w:ascii="標楷體" w:eastAsia="標楷體" w:hAnsi="標楷體" w:hint="eastAsia"/>
                <w:color w:val="000000"/>
                <w:szCs w:val="24"/>
              </w:rPr>
              <w:t>，</w:t>
            </w:r>
            <w:r w:rsidR="009C1D56">
              <w:rPr>
                <w:rFonts w:ascii="標楷體" w:eastAsia="標楷體" w:hAnsi="標楷體" w:hint="eastAsia"/>
                <w:color w:val="000000"/>
                <w:szCs w:val="24"/>
              </w:rPr>
              <w:t>為</w:t>
            </w:r>
            <w:r w:rsidR="008E7DFD" w:rsidRPr="00F954F3">
              <w:rPr>
                <w:rFonts w:ascii="標楷體" w:eastAsia="標楷體" w:hAnsi="標楷體" w:hint="eastAsia"/>
                <w:color w:val="000000"/>
                <w:szCs w:val="24"/>
              </w:rPr>
              <w:t>本條</w:t>
            </w:r>
            <w:r w:rsidR="009C1D56">
              <w:rPr>
                <w:rFonts w:ascii="標楷體" w:eastAsia="標楷體" w:hAnsi="標楷體" w:hint="eastAsia"/>
                <w:color w:val="000000"/>
                <w:szCs w:val="24"/>
              </w:rPr>
              <w:t>所稱</w:t>
            </w:r>
            <w:r w:rsidR="008E7DFD" w:rsidRPr="00F954F3">
              <w:rPr>
                <w:rFonts w:ascii="標楷體" w:eastAsia="標楷體" w:hAnsi="標楷體" w:hint="eastAsia"/>
                <w:color w:val="000000"/>
                <w:szCs w:val="24"/>
              </w:rPr>
              <w:t>之專業投資機構。</w:t>
            </w:r>
          </w:p>
        </w:tc>
      </w:tr>
      <w:tr w:rsidR="002609CA" w:rsidRPr="00F954F3" w14:paraId="3D705942" w14:textId="77777777" w:rsidTr="00D7613E">
        <w:trPr>
          <w:jc w:val="center"/>
        </w:trPr>
        <w:tc>
          <w:tcPr>
            <w:tcW w:w="3263" w:type="dxa"/>
          </w:tcPr>
          <w:p w14:paraId="3021E658" w14:textId="77777777" w:rsidR="002609CA" w:rsidRPr="00F954F3" w:rsidRDefault="002609CA" w:rsidP="002609CA">
            <w:pPr>
              <w:pStyle w:val="ab"/>
              <w:spacing w:before="60" w:after="60" w:line="360" w:lineRule="exact"/>
              <w:ind w:left="284" w:hanging="284"/>
              <w:jc w:val="both"/>
              <w:rPr>
                <w:rFonts w:ascii="標楷體" w:eastAsia="標楷體" w:hAnsi="標楷體" w:cs="新細明體"/>
                <w:szCs w:val="24"/>
              </w:rPr>
            </w:pPr>
            <w:r w:rsidRPr="00F954F3">
              <w:rPr>
                <w:rFonts w:ascii="標楷體" w:eastAsia="標楷體" w:hAnsi="標楷體" w:hint="eastAsia"/>
                <w:szCs w:val="24"/>
              </w:rPr>
              <w:lastRenderedPageBreak/>
              <w:t>第四十三條之</w:t>
            </w:r>
            <w:proofErr w:type="gramStart"/>
            <w:r w:rsidRPr="00F954F3">
              <w:rPr>
                <w:rFonts w:ascii="標楷體" w:eastAsia="標楷體" w:hAnsi="標楷體" w:hint="eastAsia"/>
                <w:szCs w:val="24"/>
              </w:rPr>
              <w:t>一</w:t>
            </w:r>
            <w:proofErr w:type="gramEnd"/>
            <w:r w:rsidRPr="00F954F3">
              <w:rPr>
                <w:rFonts w:ascii="標楷體" w:eastAsia="標楷體" w:hAnsi="標楷體" w:hint="eastAsia"/>
                <w:szCs w:val="24"/>
              </w:rPr>
              <w:t xml:space="preserve">  證券承銷商受理</w:t>
            </w:r>
            <w:proofErr w:type="gramStart"/>
            <w:r w:rsidRPr="00F954F3">
              <w:rPr>
                <w:rFonts w:ascii="標楷體" w:eastAsia="標楷體" w:hAnsi="標楷體" w:hint="eastAsia"/>
                <w:szCs w:val="24"/>
              </w:rPr>
              <w:t>詢</w:t>
            </w:r>
            <w:proofErr w:type="gramEnd"/>
            <w:r w:rsidRPr="00F954F3">
              <w:rPr>
                <w:rFonts w:ascii="標楷體" w:eastAsia="標楷體" w:hAnsi="標楷體" w:hint="eastAsia"/>
                <w:szCs w:val="24"/>
              </w:rPr>
              <w:t>價圈購之對象，除</w:t>
            </w:r>
            <w:proofErr w:type="gramStart"/>
            <w:r w:rsidRPr="00F954F3">
              <w:rPr>
                <w:rFonts w:ascii="標楷體" w:eastAsia="標楷體" w:hAnsi="標楷體" w:hint="eastAsia"/>
                <w:szCs w:val="24"/>
              </w:rPr>
              <w:t>準</w:t>
            </w:r>
            <w:proofErr w:type="gramEnd"/>
            <w:r w:rsidRPr="00F954F3">
              <w:rPr>
                <w:rFonts w:ascii="標楷體" w:eastAsia="標楷體" w:hAnsi="標楷體" w:hint="eastAsia"/>
                <w:szCs w:val="24"/>
              </w:rPr>
              <w:t>用第三十五條之規定外，初次上市、上櫃、股票申請創新板初次上市、創新板上市公司轉列上市、上櫃公司及臺灣存託憑證初次發行之承銷案件，受理</w:t>
            </w:r>
            <w:proofErr w:type="gramStart"/>
            <w:r w:rsidRPr="00F954F3">
              <w:rPr>
                <w:rFonts w:ascii="標楷體" w:eastAsia="標楷體" w:hAnsi="標楷體" w:hint="eastAsia"/>
                <w:szCs w:val="24"/>
              </w:rPr>
              <w:t>詢</w:t>
            </w:r>
            <w:proofErr w:type="gramEnd"/>
            <w:r w:rsidRPr="00F954F3">
              <w:rPr>
                <w:rFonts w:ascii="標楷體" w:eastAsia="標楷體" w:hAnsi="標楷體" w:hint="eastAsia"/>
                <w:szCs w:val="24"/>
              </w:rPr>
              <w:t>價圈購之對象，如有下列各款之人參與</w:t>
            </w:r>
            <w:proofErr w:type="gramStart"/>
            <w:r w:rsidRPr="00F954F3">
              <w:rPr>
                <w:rFonts w:ascii="標楷體" w:eastAsia="標楷體" w:hAnsi="標楷體" w:hint="eastAsia"/>
                <w:szCs w:val="24"/>
              </w:rPr>
              <w:t>詢</w:t>
            </w:r>
            <w:proofErr w:type="gramEnd"/>
            <w:r w:rsidRPr="00F954F3">
              <w:rPr>
                <w:rFonts w:ascii="標楷體" w:eastAsia="標楷體" w:hAnsi="標楷體" w:hint="eastAsia"/>
                <w:szCs w:val="24"/>
              </w:rPr>
              <w:t>價圈購，應拒絕之，證券承銷商並應取得</w:t>
            </w:r>
            <w:proofErr w:type="gramStart"/>
            <w:r w:rsidRPr="00F954F3">
              <w:rPr>
                <w:rFonts w:ascii="標楷體" w:eastAsia="標楷體" w:hAnsi="標楷體" w:hint="eastAsia"/>
                <w:szCs w:val="24"/>
              </w:rPr>
              <w:t>圈購人出</w:t>
            </w:r>
            <w:proofErr w:type="gramEnd"/>
            <w:r w:rsidRPr="00F954F3">
              <w:rPr>
                <w:rFonts w:ascii="標楷體" w:eastAsia="標楷體" w:hAnsi="標楷體" w:hint="eastAsia"/>
                <w:szCs w:val="24"/>
              </w:rPr>
              <w:t>具之符合</w:t>
            </w:r>
            <w:r w:rsidRPr="00F954F3">
              <w:rPr>
                <w:rFonts w:ascii="標楷體" w:eastAsia="標楷體" w:hAnsi="標楷體" w:cs="新細明體" w:hint="eastAsia"/>
                <w:szCs w:val="24"/>
              </w:rPr>
              <w:t>銷售對象規定之聲明書：</w:t>
            </w:r>
          </w:p>
          <w:p w14:paraId="1F8E800F" w14:textId="7413BB45" w:rsidR="002609CA" w:rsidRPr="00F954F3" w:rsidRDefault="002609CA" w:rsidP="002609CA">
            <w:pPr>
              <w:pStyle w:val="HTML"/>
              <w:spacing w:line="340" w:lineRule="exact"/>
              <w:jc w:val="both"/>
              <w:rPr>
                <w:rFonts w:ascii="標楷體" w:eastAsia="標楷體" w:hAnsi="標楷體"/>
              </w:rPr>
            </w:pPr>
            <w:r w:rsidRPr="00F954F3">
              <w:rPr>
                <w:rFonts w:ascii="標楷體" w:eastAsia="標楷體" w:hAnsi="標楷體" w:cs="Times New Roman" w:hint="eastAsia"/>
              </w:rPr>
              <w:t xml:space="preserve">  </w:t>
            </w:r>
            <w:r w:rsidRPr="00F954F3">
              <w:rPr>
                <w:rFonts w:ascii="標楷體" w:eastAsia="標楷體" w:hAnsi="標楷體" w:hint="eastAsia"/>
              </w:rPr>
              <w:t>一、~十八、略。</w:t>
            </w:r>
          </w:p>
          <w:p w14:paraId="72522E3A"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hint="eastAsia"/>
                <w:color w:val="000000"/>
                <w:szCs w:val="24"/>
              </w:rPr>
              <w:t>前項</w:t>
            </w:r>
            <w:r w:rsidRPr="00F954F3">
              <w:rPr>
                <w:rFonts w:ascii="標楷體" w:eastAsia="標楷體" w:hAnsi="標楷體" w:cs="細明體" w:hint="eastAsia"/>
                <w:kern w:val="0"/>
                <w:szCs w:val="24"/>
              </w:rPr>
              <w:t>所稱合格投資人資格，係指符合以下條件之</w:t>
            </w:r>
            <w:proofErr w:type="gramStart"/>
            <w:r w:rsidRPr="00F954F3">
              <w:rPr>
                <w:rFonts w:ascii="標楷體" w:eastAsia="標楷體" w:hAnsi="標楷體" w:cs="細明體" w:hint="eastAsia"/>
                <w:kern w:val="0"/>
                <w:szCs w:val="24"/>
              </w:rPr>
              <w:t>一</w:t>
            </w:r>
            <w:proofErr w:type="gramEnd"/>
            <w:r w:rsidRPr="00F954F3">
              <w:rPr>
                <w:rFonts w:ascii="標楷體" w:eastAsia="標楷體" w:hAnsi="標楷體" w:cs="細明體" w:hint="eastAsia"/>
                <w:kern w:val="0"/>
                <w:szCs w:val="24"/>
              </w:rPr>
              <w:t>者：</w:t>
            </w:r>
          </w:p>
          <w:p w14:paraId="55C4615A" w14:textId="4900AEAE" w:rsidR="002609CA" w:rsidRPr="00F954F3" w:rsidRDefault="002609CA" w:rsidP="002609CA">
            <w:pPr>
              <w:pStyle w:val="ab"/>
              <w:spacing w:before="60" w:after="60" w:line="360" w:lineRule="exact"/>
              <w:ind w:leftChars="100" w:left="660" w:hangingChars="175" w:hanging="420"/>
              <w:jc w:val="both"/>
              <w:rPr>
                <w:rFonts w:ascii="標楷體" w:eastAsia="標楷體" w:hAnsi="標楷體" w:cs="細明體"/>
                <w:kern w:val="0"/>
                <w:szCs w:val="24"/>
              </w:rPr>
            </w:pPr>
            <w:r w:rsidRPr="00F954F3">
              <w:rPr>
                <w:rFonts w:ascii="標楷體" w:eastAsia="標楷體" w:hAnsi="標楷體" w:cs="細明體" w:hint="eastAsia"/>
                <w:kern w:val="0"/>
                <w:szCs w:val="24"/>
              </w:rPr>
              <w:t>一、專業</w:t>
            </w:r>
            <w:r w:rsidRPr="00F954F3">
              <w:rPr>
                <w:rFonts w:ascii="標楷體" w:eastAsia="標楷體" w:hAnsi="標楷體" w:cs="細明體" w:hint="eastAsia"/>
                <w:color w:val="000000" w:themeColor="text1"/>
                <w:kern w:val="0"/>
                <w:szCs w:val="24"/>
              </w:rPr>
              <w:t>機構投資人或</w:t>
            </w:r>
            <w:r w:rsidRPr="00F954F3">
              <w:rPr>
                <w:rFonts w:ascii="標楷體" w:eastAsia="標楷體" w:hAnsi="標楷體" w:cstheme="minorHAnsi"/>
                <w:b/>
                <w:bCs/>
                <w:color w:val="000000" w:themeColor="text1"/>
                <w:kern w:val="0"/>
                <w:szCs w:val="24"/>
                <w:u w:val="single"/>
              </w:rPr>
              <w:t>具有兩年以上證券交易投資經驗</w:t>
            </w:r>
            <w:r w:rsidRPr="00F954F3">
              <w:rPr>
                <w:rFonts w:ascii="標楷體" w:eastAsia="標楷體" w:hAnsi="標楷體" w:cstheme="minorHAnsi" w:hint="eastAsia"/>
                <w:b/>
                <w:bCs/>
                <w:color w:val="000000" w:themeColor="text1"/>
                <w:kern w:val="0"/>
                <w:szCs w:val="24"/>
                <w:u w:val="single"/>
              </w:rPr>
              <w:t>之</w:t>
            </w:r>
            <w:r w:rsidRPr="00F954F3">
              <w:rPr>
                <w:rFonts w:ascii="標楷體" w:eastAsia="標楷體" w:hAnsi="標楷體" w:cs="細明體" w:hint="eastAsia"/>
                <w:color w:val="000000" w:themeColor="text1"/>
                <w:kern w:val="0"/>
                <w:szCs w:val="24"/>
              </w:rPr>
              <w:t>法人</w:t>
            </w:r>
            <w:r w:rsidRPr="00F954F3">
              <w:rPr>
                <w:rFonts w:ascii="標楷體" w:eastAsia="標楷體" w:hAnsi="標楷體" w:cs="細明體" w:hint="eastAsia"/>
                <w:kern w:val="0"/>
                <w:szCs w:val="24"/>
              </w:rPr>
              <w:t>。</w:t>
            </w:r>
          </w:p>
          <w:p w14:paraId="4921E394" w14:textId="5DF01469" w:rsidR="002609CA" w:rsidRPr="00F954F3" w:rsidRDefault="002609CA" w:rsidP="002609CA">
            <w:pPr>
              <w:pStyle w:val="ab"/>
              <w:spacing w:before="60" w:after="60" w:line="360" w:lineRule="exact"/>
              <w:ind w:leftChars="100" w:left="660" w:hangingChars="175" w:hanging="420"/>
              <w:jc w:val="both"/>
              <w:rPr>
                <w:rFonts w:ascii="標楷體" w:eastAsia="標楷體" w:hAnsi="標楷體" w:cs="細明體"/>
                <w:color w:val="000000" w:themeColor="text1"/>
                <w:kern w:val="0"/>
                <w:szCs w:val="24"/>
              </w:rPr>
            </w:pPr>
          </w:p>
          <w:p w14:paraId="5E4BE0A7" w14:textId="77777777" w:rsidR="00C17046" w:rsidRPr="00F954F3" w:rsidRDefault="00C17046" w:rsidP="002609CA">
            <w:pPr>
              <w:pStyle w:val="ab"/>
              <w:spacing w:before="60" w:after="60" w:line="360" w:lineRule="exact"/>
              <w:ind w:leftChars="100" w:left="660" w:hangingChars="175" w:hanging="420"/>
              <w:jc w:val="both"/>
              <w:rPr>
                <w:rFonts w:ascii="標楷體" w:eastAsia="標楷體" w:hAnsi="標楷體" w:cs="細明體"/>
                <w:color w:val="000000" w:themeColor="text1"/>
                <w:kern w:val="0"/>
                <w:szCs w:val="24"/>
              </w:rPr>
            </w:pPr>
          </w:p>
          <w:p w14:paraId="791C5AD4" w14:textId="4FD56E00" w:rsidR="002609CA" w:rsidRPr="00F954F3" w:rsidRDefault="002609CA" w:rsidP="002609CA">
            <w:pPr>
              <w:pStyle w:val="ab"/>
              <w:spacing w:before="60" w:after="60" w:line="360" w:lineRule="exact"/>
              <w:ind w:leftChars="100" w:left="660" w:hangingChars="175" w:hanging="420"/>
              <w:jc w:val="both"/>
              <w:rPr>
                <w:rFonts w:ascii="標楷體" w:eastAsia="標楷體" w:hAnsi="標楷體" w:cs="細明體"/>
                <w:color w:val="000000" w:themeColor="text1"/>
                <w:kern w:val="0"/>
                <w:szCs w:val="24"/>
              </w:rPr>
            </w:pPr>
          </w:p>
          <w:p w14:paraId="6FCE512F" w14:textId="22D8FE37" w:rsidR="002609CA" w:rsidRDefault="002609CA" w:rsidP="002609CA">
            <w:pPr>
              <w:pStyle w:val="ab"/>
              <w:spacing w:before="60" w:after="60" w:line="360" w:lineRule="exact"/>
              <w:ind w:leftChars="100" w:left="660" w:hangingChars="175" w:hanging="420"/>
              <w:jc w:val="both"/>
              <w:rPr>
                <w:rFonts w:ascii="標楷體" w:eastAsia="標楷體" w:hAnsi="標楷體" w:cs="細明體"/>
                <w:kern w:val="0"/>
                <w:szCs w:val="24"/>
              </w:rPr>
            </w:pPr>
          </w:p>
          <w:p w14:paraId="799D4CF5" w14:textId="77777777" w:rsidR="00461DFE" w:rsidRPr="00F954F3" w:rsidRDefault="00461DFE" w:rsidP="002609CA">
            <w:pPr>
              <w:pStyle w:val="ab"/>
              <w:spacing w:before="60" w:after="60" w:line="360" w:lineRule="exact"/>
              <w:ind w:leftChars="100" w:left="660" w:hangingChars="175" w:hanging="420"/>
              <w:jc w:val="both"/>
              <w:rPr>
                <w:rFonts w:ascii="標楷體" w:eastAsia="標楷體" w:hAnsi="標楷體" w:cs="細明體"/>
                <w:kern w:val="0"/>
                <w:szCs w:val="24"/>
              </w:rPr>
            </w:pPr>
          </w:p>
          <w:p w14:paraId="69D7A451" w14:textId="1CCC971F" w:rsidR="002609CA" w:rsidRPr="00F954F3" w:rsidRDefault="002609CA" w:rsidP="002609CA">
            <w:pPr>
              <w:pStyle w:val="ab"/>
              <w:spacing w:before="60" w:after="60" w:line="360" w:lineRule="exact"/>
              <w:ind w:leftChars="100" w:left="660" w:hangingChars="175" w:hanging="420"/>
              <w:jc w:val="both"/>
              <w:rPr>
                <w:rFonts w:ascii="標楷體" w:eastAsia="標楷體" w:hAnsi="標楷體" w:cs="細明體"/>
                <w:kern w:val="0"/>
                <w:szCs w:val="24"/>
              </w:rPr>
            </w:pPr>
            <w:r w:rsidRPr="00F954F3">
              <w:rPr>
                <w:rFonts w:ascii="標楷體" w:eastAsia="標楷體" w:hAnsi="標楷體" w:cs="細明體" w:hint="eastAsia"/>
                <w:kern w:val="0"/>
                <w:szCs w:val="24"/>
              </w:rPr>
              <w:t>二、依法設立之創業投資事業。</w:t>
            </w:r>
          </w:p>
          <w:p w14:paraId="10C7A37A" w14:textId="77777777" w:rsidR="002609CA" w:rsidRPr="00F954F3" w:rsidRDefault="002609CA" w:rsidP="002609CA">
            <w:pPr>
              <w:pStyle w:val="ab"/>
              <w:spacing w:before="60" w:after="60" w:line="360" w:lineRule="exact"/>
              <w:ind w:leftChars="100" w:left="660" w:hangingChars="175" w:hanging="420"/>
              <w:jc w:val="both"/>
              <w:rPr>
                <w:rFonts w:ascii="標楷體" w:eastAsia="標楷體" w:hAnsi="標楷體" w:cs="細明體"/>
                <w:kern w:val="0"/>
                <w:szCs w:val="24"/>
              </w:rPr>
            </w:pPr>
            <w:r w:rsidRPr="00F954F3">
              <w:rPr>
                <w:rFonts w:ascii="標楷體" w:eastAsia="標楷體" w:hAnsi="標楷體" w:cs="細明體" w:hint="eastAsia"/>
                <w:kern w:val="0"/>
                <w:szCs w:val="24"/>
              </w:rPr>
              <w:t>三、具有兩年以上參與證券交易之投資經驗，且符合下列條件之</w:t>
            </w:r>
            <w:proofErr w:type="gramStart"/>
            <w:r w:rsidRPr="00F954F3">
              <w:rPr>
                <w:rFonts w:ascii="標楷體" w:eastAsia="標楷體" w:hAnsi="標楷體" w:cs="細明體" w:hint="eastAsia"/>
                <w:kern w:val="0"/>
                <w:szCs w:val="24"/>
              </w:rPr>
              <w:t>一</w:t>
            </w:r>
            <w:proofErr w:type="gramEnd"/>
            <w:r w:rsidRPr="00F954F3">
              <w:rPr>
                <w:rFonts w:ascii="標楷體" w:eastAsia="標楷體" w:hAnsi="標楷體" w:cs="細明體" w:hint="eastAsia"/>
                <w:kern w:val="0"/>
                <w:szCs w:val="24"/>
              </w:rPr>
              <w:t>之自然人：</w:t>
            </w:r>
          </w:p>
          <w:p w14:paraId="55D72FF3" w14:textId="2614D068" w:rsidR="002609CA" w:rsidRPr="00F954F3" w:rsidRDefault="002609CA" w:rsidP="002609CA">
            <w:pPr>
              <w:pStyle w:val="ab"/>
              <w:spacing w:before="60" w:after="60" w:line="360" w:lineRule="exact"/>
              <w:ind w:leftChars="199" w:left="1066" w:hangingChars="245" w:hanging="588"/>
              <w:jc w:val="both"/>
              <w:rPr>
                <w:rFonts w:ascii="標楷體" w:eastAsia="標楷體" w:hAnsi="標楷體" w:cs="細明體"/>
                <w:kern w:val="0"/>
                <w:szCs w:val="24"/>
              </w:rPr>
            </w:pPr>
            <w:r w:rsidRPr="00F954F3">
              <w:rPr>
                <w:rFonts w:ascii="標楷體" w:eastAsia="標楷體" w:hAnsi="標楷體" w:cs="細明體" w:hint="eastAsia"/>
                <w:kern w:val="0"/>
                <w:szCs w:val="24"/>
              </w:rPr>
              <w:t>(</w:t>
            </w:r>
            <w:proofErr w:type="gramStart"/>
            <w:r w:rsidRPr="00F954F3">
              <w:rPr>
                <w:rFonts w:ascii="標楷體" w:eastAsia="標楷體" w:hAnsi="標楷體" w:cs="細明體" w:hint="eastAsia"/>
                <w:kern w:val="0"/>
                <w:szCs w:val="24"/>
              </w:rPr>
              <w:t>一</w:t>
            </w:r>
            <w:proofErr w:type="gramEnd"/>
            <w:r w:rsidRPr="00F954F3">
              <w:rPr>
                <w:rFonts w:ascii="標楷體" w:eastAsia="標楷體" w:hAnsi="標楷體" w:cs="細明體" w:hint="eastAsia"/>
                <w:kern w:val="0"/>
                <w:szCs w:val="24"/>
              </w:rPr>
              <w:t>)新臺幣</w:t>
            </w:r>
            <w:r w:rsidRPr="00F954F3">
              <w:rPr>
                <w:rFonts w:ascii="標楷體" w:eastAsia="標楷體" w:hAnsi="標楷體" w:cs="細明體" w:hint="eastAsia"/>
                <w:b/>
                <w:bCs/>
                <w:kern w:val="0"/>
                <w:szCs w:val="24"/>
                <w:u w:val="single"/>
              </w:rPr>
              <w:t>五百</w:t>
            </w:r>
            <w:r w:rsidRPr="00F954F3">
              <w:rPr>
                <w:rFonts w:ascii="標楷體" w:eastAsia="標楷體" w:hAnsi="標楷體" w:cs="細明體" w:hint="eastAsia"/>
                <w:kern w:val="0"/>
                <w:szCs w:val="24"/>
              </w:rPr>
              <w:t>萬元以上之財力證明。</w:t>
            </w:r>
          </w:p>
          <w:p w14:paraId="200C5334" w14:textId="606E41A1" w:rsidR="002609CA" w:rsidRPr="00F954F3" w:rsidRDefault="002609CA" w:rsidP="002609CA">
            <w:pPr>
              <w:pStyle w:val="ab"/>
              <w:spacing w:before="60" w:after="60" w:line="360" w:lineRule="exact"/>
              <w:ind w:leftChars="199" w:left="1066" w:hangingChars="245" w:hanging="588"/>
              <w:jc w:val="both"/>
              <w:rPr>
                <w:rFonts w:ascii="標楷體" w:eastAsia="標楷體" w:hAnsi="標楷體" w:cs="細明體"/>
                <w:kern w:val="0"/>
                <w:szCs w:val="24"/>
              </w:rPr>
            </w:pPr>
            <w:r w:rsidRPr="00F954F3">
              <w:rPr>
                <w:rFonts w:ascii="標楷體" w:eastAsia="標楷體" w:hAnsi="標楷體" w:cs="細明體" w:hint="eastAsia"/>
                <w:kern w:val="0"/>
                <w:szCs w:val="24"/>
              </w:rPr>
              <w:t>(二)最近</w:t>
            </w:r>
            <w:proofErr w:type="gramStart"/>
            <w:r w:rsidRPr="00F954F3">
              <w:rPr>
                <w:rFonts w:ascii="標楷體" w:eastAsia="標楷體" w:hAnsi="標楷體" w:cs="細明體" w:hint="eastAsia"/>
                <w:kern w:val="0"/>
                <w:szCs w:val="24"/>
              </w:rPr>
              <w:t>兩</w:t>
            </w:r>
            <w:proofErr w:type="gramEnd"/>
            <w:r w:rsidRPr="00F954F3">
              <w:rPr>
                <w:rFonts w:ascii="標楷體" w:eastAsia="標楷體" w:hAnsi="標楷體" w:cs="細明體" w:hint="eastAsia"/>
                <w:kern w:val="0"/>
                <w:szCs w:val="24"/>
              </w:rPr>
              <w:t>年度平均所得達新臺幣一百五十萬元。</w:t>
            </w:r>
          </w:p>
          <w:p w14:paraId="13E0B1E2" w14:textId="20F4565F"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cs="細明體" w:hint="eastAsia"/>
                <w:kern w:val="0"/>
                <w:szCs w:val="24"/>
              </w:rPr>
              <w:t>證券商辦理已上市、上櫃公司現金增資或募集具股權性質之公司債或金融債或分離型附認股權特別股與分離型附認股權公司債其分離後之認股權，受理</w:t>
            </w:r>
            <w:proofErr w:type="gramStart"/>
            <w:r w:rsidRPr="00F954F3">
              <w:rPr>
                <w:rFonts w:ascii="標楷體" w:eastAsia="標楷體" w:hAnsi="標楷體" w:cs="細明體" w:hint="eastAsia"/>
                <w:kern w:val="0"/>
                <w:szCs w:val="24"/>
              </w:rPr>
              <w:t>詢</w:t>
            </w:r>
            <w:proofErr w:type="gramEnd"/>
            <w:r w:rsidRPr="00F954F3">
              <w:rPr>
                <w:rFonts w:ascii="標楷體" w:eastAsia="標楷體" w:hAnsi="標楷體" w:cs="細明體" w:hint="eastAsia"/>
                <w:kern w:val="0"/>
                <w:szCs w:val="24"/>
              </w:rPr>
              <w:t>價圈購之對象</w:t>
            </w:r>
            <w:proofErr w:type="gramStart"/>
            <w:r w:rsidRPr="00F954F3">
              <w:rPr>
                <w:rFonts w:ascii="標楷體" w:eastAsia="標楷體" w:hAnsi="標楷體" w:cs="細明體" w:hint="eastAsia"/>
                <w:kern w:val="0"/>
                <w:szCs w:val="24"/>
              </w:rPr>
              <w:t>準</w:t>
            </w:r>
            <w:proofErr w:type="gramEnd"/>
            <w:r w:rsidRPr="00F954F3">
              <w:rPr>
                <w:rFonts w:ascii="標楷體" w:eastAsia="標楷體" w:hAnsi="標楷體" w:cs="細明體" w:hint="eastAsia"/>
                <w:kern w:val="0"/>
                <w:szCs w:val="24"/>
              </w:rPr>
              <w:t>用第一項</w:t>
            </w:r>
            <w:r w:rsidR="00FD03E3" w:rsidRPr="00FD03E3">
              <w:rPr>
                <w:rFonts w:ascii="標楷體" w:eastAsia="標楷體" w:hAnsi="標楷體" w:cs="細明體" w:hint="eastAsia"/>
                <w:b/>
                <w:bCs/>
                <w:kern w:val="0"/>
                <w:szCs w:val="24"/>
                <w:u w:val="single"/>
              </w:rPr>
              <w:t>第</w:t>
            </w:r>
            <w:r w:rsidRPr="00F954F3">
              <w:rPr>
                <w:rFonts w:ascii="標楷體" w:eastAsia="標楷體" w:hAnsi="標楷體" w:cs="細明體" w:hint="eastAsia"/>
                <w:kern w:val="0"/>
                <w:szCs w:val="24"/>
              </w:rPr>
              <w:t>三款至第十五款及第十八款規定。</w:t>
            </w:r>
          </w:p>
          <w:p w14:paraId="2E14E339"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cs="細明體" w:hint="eastAsia"/>
                <w:kern w:val="0"/>
                <w:szCs w:val="24"/>
              </w:rPr>
              <w:t>證券商辦理創新板上市公司前項所訂案件及戰略新</w:t>
            </w:r>
            <w:proofErr w:type="gramStart"/>
            <w:r w:rsidRPr="00F954F3">
              <w:rPr>
                <w:rFonts w:ascii="標楷體" w:eastAsia="標楷體" w:hAnsi="標楷體" w:cs="細明體" w:hint="eastAsia"/>
                <w:kern w:val="0"/>
                <w:szCs w:val="24"/>
              </w:rPr>
              <w:t>板興櫃</w:t>
            </w:r>
            <w:proofErr w:type="gramEnd"/>
            <w:r w:rsidRPr="00F954F3">
              <w:rPr>
                <w:rFonts w:ascii="標楷體" w:eastAsia="標楷體" w:hAnsi="標楷體" w:cs="細明體" w:hint="eastAsia"/>
                <w:kern w:val="0"/>
                <w:szCs w:val="24"/>
              </w:rPr>
              <w:t>公司現金增資案件，受理</w:t>
            </w:r>
            <w:proofErr w:type="gramStart"/>
            <w:r w:rsidRPr="00F954F3">
              <w:rPr>
                <w:rFonts w:ascii="標楷體" w:eastAsia="標楷體" w:hAnsi="標楷體" w:cs="細明體" w:hint="eastAsia"/>
                <w:kern w:val="0"/>
                <w:szCs w:val="24"/>
              </w:rPr>
              <w:t>詢</w:t>
            </w:r>
            <w:proofErr w:type="gramEnd"/>
            <w:r w:rsidRPr="00F954F3">
              <w:rPr>
                <w:rFonts w:ascii="標楷體" w:eastAsia="標楷體" w:hAnsi="標楷體" w:cs="細明體" w:hint="eastAsia"/>
                <w:kern w:val="0"/>
                <w:szCs w:val="24"/>
              </w:rPr>
              <w:t>價圈購之對象</w:t>
            </w:r>
            <w:proofErr w:type="gramStart"/>
            <w:r w:rsidRPr="00F954F3">
              <w:rPr>
                <w:rFonts w:ascii="標楷體" w:eastAsia="標楷體" w:hAnsi="標楷體" w:cs="細明體" w:hint="eastAsia"/>
                <w:kern w:val="0"/>
                <w:szCs w:val="24"/>
              </w:rPr>
              <w:t>準</w:t>
            </w:r>
            <w:proofErr w:type="gramEnd"/>
            <w:r w:rsidRPr="00F954F3">
              <w:rPr>
                <w:rFonts w:ascii="標楷體" w:eastAsia="標楷體" w:hAnsi="標楷體" w:cs="細明體" w:hint="eastAsia"/>
                <w:kern w:val="0"/>
                <w:szCs w:val="24"/>
              </w:rPr>
              <w:t>用第一項第三款至第十五款、第十七款及第十八款規定。</w:t>
            </w:r>
          </w:p>
          <w:p w14:paraId="725DDD6B"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cs="細明體" w:hint="eastAsia"/>
                <w:kern w:val="0"/>
                <w:szCs w:val="24"/>
              </w:rPr>
              <w:t>臺灣存託憑證再次發行之案件，受理</w:t>
            </w:r>
            <w:proofErr w:type="gramStart"/>
            <w:r w:rsidRPr="00F954F3">
              <w:rPr>
                <w:rFonts w:ascii="標楷體" w:eastAsia="標楷體" w:hAnsi="標楷體" w:cs="細明體" w:hint="eastAsia"/>
                <w:kern w:val="0"/>
                <w:szCs w:val="24"/>
              </w:rPr>
              <w:t>詢</w:t>
            </w:r>
            <w:proofErr w:type="gramEnd"/>
            <w:r w:rsidRPr="00F954F3">
              <w:rPr>
                <w:rFonts w:ascii="標楷體" w:eastAsia="標楷體" w:hAnsi="標楷體" w:cs="細明體" w:hint="eastAsia"/>
                <w:kern w:val="0"/>
                <w:szCs w:val="24"/>
              </w:rPr>
              <w:t>價圈購之對象</w:t>
            </w:r>
            <w:proofErr w:type="gramStart"/>
            <w:r w:rsidRPr="00F954F3">
              <w:rPr>
                <w:rFonts w:ascii="標楷體" w:eastAsia="標楷體" w:hAnsi="標楷體" w:cs="細明體" w:hint="eastAsia"/>
                <w:kern w:val="0"/>
                <w:szCs w:val="24"/>
              </w:rPr>
              <w:t>準</w:t>
            </w:r>
            <w:proofErr w:type="gramEnd"/>
            <w:r w:rsidRPr="00F954F3">
              <w:rPr>
                <w:rFonts w:ascii="標楷體" w:eastAsia="標楷體" w:hAnsi="標楷體" w:cs="細明體" w:hint="eastAsia"/>
                <w:kern w:val="0"/>
                <w:szCs w:val="24"/>
              </w:rPr>
              <w:t>用第一項第三款至第十六款及第十八款規定。</w:t>
            </w:r>
          </w:p>
          <w:p w14:paraId="1604384D" w14:textId="1FC08A65"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cs="細明體" w:hint="eastAsia"/>
                <w:kern w:val="0"/>
                <w:szCs w:val="24"/>
              </w:rPr>
              <w:t>證券承銷商就配售後未繳款</w:t>
            </w:r>
            <w:proofErr w:type="gramStart"/>
            <w:r w:rsidRPr="00F954F3">
              <w:rPr>
                <w:rFonts w:ascii="標楷體" w:eastAsia="標楷體" w:hAnsi="標楷體" w:cs="細明體" w:hint="eastAsia"/>
                <w:kern w:val="0"/>
                <w:szCs w:val="24"/>
              </w:rPr>
              <w:t>部分另洽特定</w:t>
            </w:r>
            <w:proofErr w:type="gramEnd"/>
            <w:r w:rsidRPr="00F954F3">
              <w:rPr>
                <w:rFonts w:ascii="標楷體" w:eastAsia="標楷體" w:hAnsi="標楷體" w:cs="細明體" w:hint="eastAsia"/>
                <w:kern w:val="0"/>
                <w:szCs w:val="24"/>
              </w:rPr>
              <w:t>人認購之對象，</w:t>
            </w:r>
            <w:proofErr w:type="gramStart"/>
            <w:r w:rsidRPr="00F954F3">
              <w:rPr>
                <w:rFonts w:ascii="標楷體" w:eastAsia="標楷體" w:hAnsi="標楷體" w:cs="細明體" w:hint="eastAsia"/>
                <w:kern w:val="0"/>
                <w:szCs w:val="24"/>
              </w:rPr>
              <w:t>準</w:t>
            </w:r>
            <w:proofErr w:type="gramEnd"/>
            <w:r w:rsidRPr="00F954F3">
              <w:rPr>
                <w:rFonts w:ascii="標楷體" w:eastAsia="標楷體" w:hAnsi="標楷體" w:cs="細明體" w:hint="eastAsia"/>
                <w:kern w:val="0"/>
                <w:szCs w:val="24"/>
              </w:rPr>
              <w:t>用第一項至第五項之規定。</w:t>
            </w:r>
          </w:p>
          <w:p w14:paraId="0574BB1D" w14:textId="0E5DEBA6"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olor w:val="000000"/>
                <w:szCs w:val="24"/>
              </w:rPr>
            </w:pPr>
            <w:r w:rsidRPr="00F954F3">
              <w:rPr>
                <w:rFonts w:ascii="標楷體" w:eastAsia="標楷體" w:hAnsi="標楷體" w:cs="細明體" w:hint="eastAsia"/>
                <w:kern w:val="0"/>
                <w:szCs w:val="24"/>
              </w:rPr>
              <w:lastRenderedPageBreak/>
              <w:t>證券商辦理初次上市、上櫃、股票申請創新板初次上市、創新板上市公司轉列上市</w:t>
            </w:r>
            <w:r w:rsidRPr="00F954F3">
              <w:rPr>
                <w:rFonts w:ascii="標楷體" w:eastAsia="標楷體" w:hAnsi="標楷體" w:hint="eastAsia"/>
                <w:szCs w:val="24"/>
              </w:rPr>
              <w:t>、</w:t>
            </w:r>
            <w:r w:rsidRPr="00F954F3">
              <w:rPr>
                <w:rFonts w:ascii="標楷體" w:eastAsia="標楷體" w:hAnsi="標楷體" w:cs="細明體" w:hint="eastAsia"/>
                <w:kern w:val="0"/>
                <w:szCs w:val="24"/>
              </w:rPr>
              <w:t>上櫃</w:t>
            </w:r>
            <w:r w:rsidRPr="00F954F3">
              <w:rPr>
                <w:rFonts w:ascii="標楷體" w:eastAsia="標楷體" w:hAnsi="標楷體" w:hint="eastAsia"/>
                <w:szCs w:val="24"/>
              </w:rPr>
              <w:t>公司及臺灣存託憑證初次發行之承銷案件，並應取得</w:t>
            </w:r>
            <w:proofErr w:type="gramStart"/>
            <w:r w:rsidRPr="00F954F3">
              <w:rPr>
                <w:rFonts w:ascii="標楷體" w:eastAsia="標楷體" w:hAnsi="標楷體" w:hint="eastAsia"/>
                <w:szCs w:val="24"/>
              </w:rPr>
              <w:t>圈購人出</w:t>
            </w:r>
            <w:proofErr w:type="gramEnd"/>
            <w:r w:rsidRPr="00F954F3">
              <w:rPr>
                <w:rFonts w:ascii="標楷體" w:eastAsia="標楷體" w:hAnsi="標楷體" w:hint="eastAsia"/>
                <w:szCs w:val="24"/>
              </w:rPr>
              <w:t>具同意將圈購資料（包括匯款銀行及帳戶）提供予證交所、櫃買中心建檔，除供證券交易所、櫃買中心及證券主管機關監管及查核使用外將不</w:t>
            </w:r>
            <w:r w:rsidRPr="00F954F3">
              <w:rPr>
                <w:rFonts w:ascii="標楷體" w:eastAsia="標楷體" w:hAnsi="標楷體" w:cs="新細明體" w:hint="eastAsia"/>
                <w:szCs w:val="24"/>
              </w:rPr>
              <w:t>對外公開之聲明書。</w:t>
            </w:r>
          </w:p>
        </w:tc>
        <w:tc>
          <w:tcPr>
            <w:tcW w:w="3263" w:type="dxa"/>
          </w:tcPr>
          <w:p w14:paraId="4700BD2C" w14:textId="77777777" w:rsidR="002609CA" w:rsidRPr="00F954F3" w:rsidRDefault="002609CA" w:rsidP="002609CA">
            <w:pPr>
              <w:pStyle w:val="ab"/>
              <w:spacing w:before="60" w:after="60" w:line="360" w:lineRule="exact"/>
              <w:ind w:left="284" w:hanging="284"/>
              <w:jc w:val="both"/>
              <w:rPr>
                <w:rFonts w:ascii="標楷體" w:eastAsia="標楷體" w:hAnsi="標楷體" w:cs="新細明體"/>
                <w:szCs w:val="24"/>
              </w:rPr>
            </w:pPr>
            <w:r w:rsidRPr="00F954F3">
              <w:rPr>
                <w:rFonts w:ascii="標楷體" w:eastAsia="標楷體" w:hAnsi="標楷體" w:hint="eastAsia"/>
                <w:szCs w:val="24"/>
              </w:rPr>
              <w:lastRenderedPageBreak/>
              <w:t>第四十三條之</w:t>
            </w:r>
            <w:proofErr w:type="gramStart"/>
            <w:r w:rsidRPr="00F954F3">
              <w:rPr>
                <w:rFonts w:ascii="標楷體" w:eastAsia="標楷體" w:hAnsi="標楷體" w:hint="eastAsia"/>
                <w:szCs w:val="24"/>
              </w:rPr>
              <w:t>一</w:t>
            </w:r>
            <w:proofErr w:type="gramEnd"/>
            <w:r w:rsidRPr="00F954F3">
              <w:rPr>
                <w:rFonts w:ascii="標楷體" w:eastAsia="標楷體" w:hAnsi="標楷體" w:hint="eastAsia"/>
                <w:szCs w:val="24"/>
              </w:rPr>
              <w:t xml:space="preserve">  證券承銷商受理</w:t>
            </w:r>
            <w:proofErr w:type="gramStart"/>
            <w:r w:rsidRPr="00F954F3">
              <w:rPr>
                <w:rFonts w:ascii="標楷體" w:eastAsia="標楷體" w:hAnsi="標楷體" w:hint="eastAsia"/>
                <w:szCs w:val="24"/>
              </w:rPr>
              <w:t>詢</w:t>
            </w:r>
            <w:proofErr w:type="gramEnd"/>
            <w:r w:rsidRPr="00F954F3">
              <w:rPr>
                <w:rFonts w:ascii="標楷體" w:eastAsia="標楷體" w:hAnsi="標楷體" w:hint="eastAsia"/>
                <w:szCs w:val="24"/>
              </w:rPr>
              <w:t>價圈購之對象，除</w:t>
            </w:r>
            <w:proofErr w:type="gramStart"/>
            <w:r w:rsidRPr="00F954F3">
              <w:rPr>
                <w:rFonts w:ascii="標楷體" w:eastAsia="標楷體" w:hAnsi="標楷體" w:hint="eastAsia"/>
                <w:szCs w:val="24"/>
              </w:rPr>
              <w:t>準</w:t>
            </w:r>
            <w:proofErr w:type="gramEnd"/>
            <w:r w:rsidRPr="00F954F3">
              <w:rPr>
                <w:rFonts w:ascii="標楷體" w:eastAsia="標楷體" w:hAnsi="標楷體" w:hint="eastAsia"/>
                <w:szCs w:val="24"/>
              </w:rPr>
              <w:t>用第三十五條之規定外，初次上市、上櫃、股票申請創新板初次上市、創新板上市公司轉列上市、上櫃公司及臺灣存託憑證初次發行之承銷案件，受理</w:t>
            </w:r>
            <w:proofErr w:type="gramStart"/>
            <w:r w:rsidRPr="00F954F3">
              <w:rPr>
                <w:rFonts w:ascii="標楷體" w:eastAsia="標楷體" w:hAnsi="標楷體" w:hint="eastAsia"/>
                <w:szCs w:val="24"/>
              </w:rPr>
              <w:t>詢</w:t>
            </w:r>
            <w:proofErr w:type="gramEnd"/>
            <w:r w:rsidRPr="00F954F3">
              <w:rPr>
                <w:rFonts w:ascii="標楷體" w:eastAsia="標楷體" w:hAnsi="標楷體" w:hint="eastAsia"/>
                <w:szCs w:val="24"/>
              </w:rPr>
              <w:t>價圈購之對象，如有下列各款之人參與</w:t>
            </w:r>
            <w:proofErr w:type="gramStart"/>
            <w:r w:rsidRPr="00F954F3">
              <w:rPr>
                <w:rFonts w:ascii="標楷體" w:eastAsia="標楷體" w:hAnsi="標楷體" w:hint="eastAsia"/>
                <w:szCs w:val="24"/>
              </w:rPr>
              <w:t>詢</w:t>
            </w:r>
            <w:proofErr w:type="gramEnd"/>
            <w:r w:rsidRPr="00F954F3">
              <w:rPr>
                <w:rFonts w:ascii="標楷體" w:eastAsia="標楷體" w:hAnsi="標楷體" w:hint="eastAsia"/>
                <w:szCs w:val="24"/>
              </w:rPr>
              <w:t>價圈購，應拒絕之，證券承銷商並應取得</w:t>
            </w:r>
            <w:proofErr w:type="gramStart"/>
            <w:r w:rsidRPr="00F954F3">
              <w:rPr>
                <w:rFonts w:ascii="標楷體" w:eastAsia="標楷體" w:hAnsi="標楷體" w:hint="eastAsia"/>
                <w:szCs w:val="24"/>
              </w:rPr>
              <w:t>圈購人出</w:t>
            </w:r>
            <w:proofErr w:type="gramEnd"/>
            <w:r w:rsidRPr="00F954F3">
              <w:rPr>
                <w:rFonts w:ascii="標楷體" w:eastAsia="標楷體" w:hAnsi="標楷體" w:hint="eastAsia"/>
                <w:szCs w:val="24"/>
              </w:rPr>
              <w:t>具之符合</w:t>
            </w:r>
            <w:r w:rsidRPr="00F954F3">
              <w:rPr>
                <w:rFonts w:ascii="標楷體" w:eastAsia="標楷體" w:hAnsi="標楷體" w:cs="新細明體" w:hint="eastAsia"/>
                <w:szCs w:val="24"/>
              </w:rPr>
              <w:t>銷售對象規定之聲明書：</w:t>
            </w:r>
          </w:p>
          <w:p w14:paraId="026628EA" w14:textId="77777777" w:rsidR="002609CA" w:rsidRPr="00F954F3" w:rsidRDefault="002609CA" w:rsidP="002609CA">
            <w:pPr>
              <w:pStyle w:val="HTML"/>
              <w:spacing w:line="340" w:lineRule="exact"/>
              <w:jc w:val="both"/>
              <w:rPr>
                <w:rFonts w:ascii="標楷體" w:eastAsia="標楷體" w:hAnsi="標楷體"/>
              </w:rPr>
            </w:pPr>
            <w:r w:rsidRPr="00F954F3">
              <w:rPr>
                <w:rFonts w:ascii="標楷體" w:eastAsia="標楷體" w:hAnsi="標楷體" w:cs="Times New Roman" w:hint="eastAsia"/>
              </w:rPr>
              <w:t xml:space="preserve"> </w:t>
            </w:r>
            <w:r w:rsidRPr="00F954F3">
              <w:rPr>
                <w:rFonts w:ascii="標楷體" w:eastAsia="標楷體" w:hAnsi="標楷體" w:hint="eastAsia"/>
              </w:rPr>
              <w:t xml:space="preserve"> 一、~十八、略。</w:t>
            </w:r>
          </w:p>
          <w:p w14:paraId="243C4A03"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hint="eastAsia"/>
                <w:color w:val="000000"/>
                <w:szCs w:val="24"/>
              </w:rPr>
              <w:t>前項</w:t>
            </w:r>
            <w:r w:rsidRPr="00F954F3">
              <w:rPr>
                <w:rFonts w:ascii="標楷體" w:eastAsia="標楷體" w:hAnsi="標楷體" w:cs="細明體" w:hint="eastAsia"/>
                <w:kern w:val="0"/>
                <w:szCs w:val="24"/>
              </w:rPr>
              <w:t>所稱合格投資人資格，係指符合以下條件之</w:t>
            </w:r>
            <w:proofErr w:type="gramStart"/>
            <w:r w:rsidRPr="00F954F3">
              <w:rPr>
                <w:rFonts w:ascii="標楷體" w:eastAsia="標楷體" w:hAnsi="標楷體" w:cs="細明體" w:hint="eastAsia"/>
                <w:kern w:val="0"/>
                <w:szCs w:val="24"/>
              </w:rPr>
              <w:t>一</w:t>
            </w:r>
            <w:proofErr w:type="gramEnd"/>
            <w:r w:rsidRPr="00F954F3">
              <w:rPr>
                <w:rFonts w:ascii="標楷體" w:eastAsia="標楷體" w:hAnsi="標楷體" w:cs="細明體" w:hint="eastAsia"/>
                <w:kern w:val="0"/>
                <w:szCs w:val="24"/>
              </w:rPr>
              <w:t>者：</w:t>
            </w:r>
          </w:p>
          <w:p w14:paraId="37F026FD" w14:textId="77777777" w:rsidR="002609CA" w:rsidRPr="00F954F3" w:rsidRDefault="002609CA" w:rsidP="002609CA">
            <w:pPr>
              <w:pStyle w:val="ab"/>
              <w:spacing w:before="60" w:after="60" w:line="360" w:lineRule="exact"/>
              <w:ind w:leftChars="100" w:left="660" w:hangingChars="175" w:hanging="420"/>
              <w:jc w:val="both"/>
              <w:rPr>
                <w:rFonts w:ascii="標楷體" w:eastAsia="標楷體" w:hAnsi="標楷體" w:cs="細明體"/>
                <w:kern w:val="0"/>
                <w:szCs w:val="24"/>
              </w:rPr>
            </w:pPr>
            <w:r w:rsidRPr="00F954F3">
              <w:rPr>
                <w:rFonts w:ascii="標楷體" w:eastAsia="標楷體" w:hAnsi="標楷體" w:cs="細明體" w:hint="eastAsia"/>
                <w:kern w:val="0"/>
                <w:szCs w:val="24"/>
              </w:rPr>
              <w:t>一、</w:t>
            </w:r>
            <w:r w:rsidRPr="00F954F3">
              <w:rPr>
                <w:rFonts w:ascii="標楷體" w:eastAsia="標楷體" w:hAnsi="標楷體" w:cs="細明體" w:hint="eastAsia"/>
                <w:b/>
                <w:bCs/>
                <w:kern w:val="0"/>
                <w:szCs w:val="24"/>
                <w:u w:val="single"/>
              </w:rPr>
              <w:t>符合「境外結構型商品管理規則」第三條第三項所訂之</w:t>
            </w:r>
            <w:r w:rsidRPr="00F954F3">
              <w:rPr>
                <w:rFonts w:ascii="標楷體" w:eastAsia="標楷體" w:hAnsi="標楷體" w:cs="細明體" w:hint="eastAsia"/>
                <w:kern w:val="0"/>
                <w:szCs w:val="24"/>
              </w:rPr>
              <w:t>專業機構投資人</w:t>
            </w:r>
            <w:r w:rsidRPr="00F954F3">
              <w:rPr>
                <w:rFonts w:ascii="標楷體" w:eastAsia="標楷體" w:hAnsi="標楷體" w:cs="細明體" w:hint="eastAsia"/>
                <w:b/>
                <w:bCs/>
                <w:kern w:val="0"/>
                <w:szCs w:val="24"/>
                <w:u w:val="single"/>
              </w:rPr>
              <w:t>、高淨值投資法人或符合一定條件以書面向受託或銷售機構</w:t>
            </w:r>
            <w:r w:rsidRPr="00F954F3">
              <w:rPr>
                <w:rFonts w:ascii="標楷體" w:eastAsia="標楷體" w:hAnsi="標楷體" w:cs="細明體" w:hint="eastAsia"/>
                <w:b/>
                <w:bCs/>
                <w:kern w:val="0"/>
                <w:szCs w:val="24"/>
                <w:u w:val="single"/>
              </w:rPr>
              <w:lastRenderedPageBreak/>
              <w:t>申請為專業投資人之</w:t>
            </w:r>
            <w:r w:rsidRPr="00F954F3">
              <w:rPr>
                <w:rFonts w:ascii="標楷體" w:eastAsia="標楷體" w:hAnsi="標楷體" w:cs="細明體" w:hint="eastAsia"/>
                <w:kern w:val="0"/>
                <w:szCs w:val="24"/>
              </w:rPr>
              <w:t>法人</w:t>
            </w:r>
            <w:r w:rsidRPr="00F954F3">
              <w:rPr>
                <w:rFonts w:ascii="標楷體" w:eastAsia="標楷體" w:hAnsi="標楷體" w:cs="細明體" w:hint="eastAsia"/>
                <w:b/>
                <w:bCs/>
                <w:kern w:val="0"/>
                <w:szCs w:val="24"/>
                <w:u w:val="single"/>
              </w:rPr>
              <w:t>或基金。</w:t>
            </w:r>
          </w:p>
          <w:p w14:paraId="131496D9" w14:textId="77777777" w:rsidR="002609CA" w:rsidRPr="00F954F3" w:rsidRDefault="002609CA" w:rsidP="002609CA">
            <w:pPr>
              <w:pStyle w:val="ab"/>
              <w:spacing w:before="60" w:after="60" w:line="360" w:lineRule="exact"/>
              <w:ind w:leftChars="100" w:left="660" w:hangingChars="175" w:hanging="420"/>
              <w:jc w:val="both"/>
              <w:rPr>
                <w:rFonts w:ascii="標楷體" w:eastAsia="標楷體" w:hAnsi="標楷體" w:cs="細明體"/>
                <w:kern w:val="0"/>
                <w:szCs w:val="24"/>
              </w:rPr>
            </w:pPr>
            <w:r w:rsidRPr="00F954F3">
              <w:rPr>
                <w:rFonts w:ascii="標楷體" w:eastAsia="標楷體" w:hAnsi="標楷體" w:cs="細明體" w:hint="eastAsia"/>
                <w:kern w:val="0"/>
                <w:szCs w:val="24"/>
              </w:rPr>
              <w:t>二、依法設立之創業投資事業。</w:t>
            </w:r>
          </w:p>
          <w:p w14:paraId="17EBBBA1" w14:textId="77777777" w:rsidR="002609CA" w:rsidRPr="00F954F3" w:rsidRDefault="002609CA" w:rsidP="002609CA">
            <w:pPr>
              <w:pStyle w:val="ab"/>
              <w:spacing w:before="60" w:after="60" w:line="360" w:lineRule="exact"/>
              <w:ind w:leftChars="100" w:left="660" w:hangingChars="175" w:hanging="420"/>
              <w:jc w:val="both"/>
              <w:rPr>
                <w:rFonts w:ascii="標楷體" w:eastAsia="標楷體" w:hAnsi="標楷體" w:cs="細明體"/>
                <w:kern w:val="0"/>
                <w:szCs w:val="24"/>
              </w:rPr>
            </w:pPr>
            <w:r w:rsidRPr="00F954F3">
              <w:rPr>
                <w:rFonts w:ascii="標楷體" w:eastAsia="標楷體" w:hAnsi="標楷體" w:cs="細明體" w:hint="eastAsia"/>
                <w:kern w:val="0"/>
                <w:szCs w:val="24"/>
              </w:rPr>
              <w:t>三、具有兩年以上參與證券交易之投資經驗，且符合下列條件之</w:t>
            </w:r>
            <w:proofErr w:type="gramStart"/>
            <w:r w:rsidRPr="00F954F3">
              <w:rPr>
                <w:rFonts w:ascii="標楷體" w:eastAsia="標楷體" w:hAnsi="標楷體" w:cs="細明體" w:hint="eastAsia"/>
                <w:kern w:val="0"/>
                <w:szCs w:val="24"/>
              </w:rPr>
              <w:t>一</w:t>
            </w:r>
            <w:proofErr w:type="gramEnd"/>
            <w:r w:rsidRPr="00F954F3">
              <w:rPr>
                <w:rFonts w:ascii="標楷體" w:eastAsia="標楷體" w:hAnsi="標楷體" w:cs="細明體" w:hint="eastAsia"/>
                <w:kern w:val="0"/>
                <w:szCs w:val="24"/>
              </w:rPr>
              <w:t>之自然人：</w:t>
            </w:r>
          </w:p>
          <w:p w14:paraId="4989DD30" w14:textId="078BE493" w:rsidR="002609CA" w:rsidRPr="00F954F3" w:rsidRDefault="002609CA" w:rsidP="002609CA">
            <w:pPr>
              <w:pStyle w:val="ab"/>
              <w:spacing w:before="60" w:after="60" w:line="360" w:lineRule="exact"/>
              <w:ind w:leftChars="199" w:left="1066" w:hangingChars="245" w:hanging="588"/>
              <w:jc w:val="both"/>
              <w:rPr>
                <w:rFonts w:ascii="標楷體" w:eastAsia="標楷體" w:hAnsi="標楷體" w:cs="細明體"/>
                <w:kern w:val="0"/>
                <w:szCs w:val="24"/>
              </w:rPr>
            </w:pPr>
            <w:r w:rsidRPr="00F954F3">
              <w:rPr>
                <w:rFonts w:ascii="標楷體" w:eastAsia="標楷體" w:hAnsi="標楷體" w:cs="細明體" w:hint="eastAsia"/>
                <w:kern w:val="0"/>
                <w:szCs w:val="24"/>
              </w:rPr>
              <w:t>(</w:t>
            </w:r>
            <w:proofErr w:type="gramStart"/>
            <w:r w:rsidRPr="00F954F3">
              <w:rPr>
                <w:rFonts w:ascii="標楷體" w:eastAsia="標楷體" w:hAnsi="標楷體" w:cs="細明體" w:hint="eastAsia"/>
                <w:kern w:val="0"/>
                <w:szCs w:val="24"/>
              </w:rPr>
              <w:t>一</w:t>
            </w:r>
            <w:proofErr w:type="gramEnd"/>
            <w:r w:rsidRPr="00F954F3">
              <w:rPr>
                <w:rFonts w:ascii="標楷體" w:eastAsia="標楷體" w:hAnsi="標楷體" w:cs="細明體" w:hint="eastAsia"/>
                <w:kern w:val="0"/>
                <w:szCs w:val="24"/>
              </w:rPr>
              <w:t>)新臺幣</w:t>
            </w:r>
            <w:r w:rsidRPr="00F954F3">
              <w:rPr>
                <w:rFonts w:ascii="標楷體" w:eastAsia="標楷體" w:hAnsi="標楷體" w:cs="細明體" w:hint="eastAsia"/>
                <w:b/>
                <w:bCs/>
                <w:kern w:val="0"/>
                <w:szCs w:val="24"/>
                <w:u w:val="single"/>
              </w:rPr>
              <w:t>一千</w:t>
            </w:r>
            <w:r w:rsidRPr="00F954F3">
              <w:rPr>
                <w:rFonts w:ascii="標楷體" w:eastAsia="標楷體" w:hAnsi="標楷體" w:cs="細明體" w:hint="eastAsia"/>
                <w:kern w:val="0"/>
                <w:szCs w:val="24"/>
              </w:rPr>
              <w:t>萬元以上之財力證明。</w:t>
            </w:r>
          </w:p>
          <w:p w14:paraId="48F76223" w14:textId="368EE8F6" w:rsidR="002609CA" w:rsidRPr="00F954F3" w:rsidRDefault="002609CA" w:rsidP="002609CA">
            <w:pPr>
              <w:pStyle w:val="ab"/>
              <w:spacing w:before="60" w:after="60" w:line="360" w:lineRule="exact"/>
              <w:ind w:leftChars="199" w:left="1066" w:hangingChars="245" w:hanging="588"/>
              <w:jc w:val="both"/>
              <w:rPr>
                <w:rFonts w:ascii="標楷體" w:eastAsia="標楷體" w:hAnsi="標楷體" w:cs="細明體"/>
                <w:kern w:val="0"/>
                <w:szCs w:val="24"/>
              </w:rPr>
            </w:pPr>
            <w:r w:rsidRPr="00F954F3">
              <w:rPr>
                <w:rFonts w:ascii="標楷體" w:eastAsia="標楷體" w:hAnsi="標楷體" w:cs="細明體" w:hint="eastAsia"/>
                <w:kern w:val="0"/>
                <w:szCs w:val="24"/>
              </w:rPr>
              <w:t>(二) 最近</w:t>
            </w:r>
            <w:proofErr w:type="gramStart"/>
            <w:r w:rsidRPr="00F954F3">
              <w:rPr>
                <w:rFonts w:ascii="標楷體" w:eastAsia="標楷體" w:hAnsi="標楷體" w:cs="細明體" w:hint="eastAsia"/>
                <w:kern w:val="0"/>
                <w:szCs w:val="24"/>
              </w:rPr>
              <w:t>兩</w:t>
            </w:r>
            <w:proofErr w:type="gramEnd"/>
            <w:r w:rsidRPr="00F954F3">
              <w:rPr>
                <w:rFonts w:ascii="標楷體" w:eastAsia="標楷體" w:hAnsi="標楷體" w:cs="細明體" w:hint="eastAsia"/>
                <w:kern w:val="0"/>
                <w:szCs w:val="24"/>
              </w:rPr>
              <w:t>年度平均所得達新臺幣一百五十萬元。</w:t>
            </w:r>
          </w:p>
          <w:p w14:paraId="557CC18A" w14:textId="4B1812AA"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cs="細明體" w:hint="eastAsia"/>
                <w:kern w:val="0"/>
                <w:szCs w:val="24"/>
              </w:rPr>
              <w:t>證券商辦理已上市、上櫃公司現金增資或募集具股權性質之公司債或金融債或分離型附認股權特別股與分離型附認股權公司債其分離後之認股權，受理</w:t>
            </w:r>
            <w:proofErr w:type="gramStart"/>
            <w:r w:rsidRPr="00F954F3">
              <w:rPr>
                <w:rFonts w:ascii="標楷體" w:eastAsia="標楷體" w:hAnsi="標楷體" w:cs="細明體" w:hint="eastAsia"/>
                <w:kern w:val="0"/>
                <w:szCs w:val="24"/>
              </w:rPr>
              <w:t>詢</w:t>
            </w:r>
            <w:proofErr w:type="gramEnd"/>
            <w:r w:rsidRPr="00F954F3">
              <w:rPr>
                <w:rFonts w:ascii="標楷體" w:eastAsia="標楷體" w:hAnsi="標楷體" w:cs="細明體" w:hint="eastAsia"/>
                <w:kern w:val="0"/>
                <w:szCs w:val="24"/>
              </w:rPr>
              <w:t>價圈購之對象</w:t>
            </w:r>
            <w:proofErr w:type="gramStart"/>
            <w:r w:rsidRPr="00F954F3">
              <w:rPr>
                <w:rFonts w:ascii="標楷體" w:eastAsia="標楷體" w:hAnsi="標楷體" w:cs="細明體" w:hint="eastAsia"/>
                <w:kern w:val="0"/>
                <w:szCs w:val="24"/>
              </w:rPr>
              <w:t>準</w:t>
            </w:r>
            <w:proofErr w:type="gramEnd"/>
            <w:r w:rsidRPr="00F954F3">
              <w:rPr>
                <w:rFonts w:ascii="標楷體" w:eastAsia="標楷體" w:hAnsi="標楷體" w:cs="細明體" w:hint="eastAsia"/>
                <w:kern w:val="0"/>
                <w:szCs w:val="24"/>
              </w:rPr>
              <w:t>用第一項三款至第十五款及第十八款規定。</w:t>
            </w:r>
          </w:p>
          <w:p w14:paraId="2E19A965"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cs="細明體" w:hint="eastAsia"/>
                <w:kern w:val="0"/>
                <w:szCs w:val="24"/>
              </w:rPr>
              <w:t>證券商辦理創新板上市公司前項所訂案件及戰略新</w:t>
            </w:r>
            <w:proofErr w:type="gramStart"/>
            <w:r w:rsidRPr="00F954F3">
              <w:rPr>
                <w:rFonts w:ascii="標楷體" w:eastAsia="標楷體" w:hAnsi="標楷體" w:cs="細明體" w:hint="eastAsia"/>
                <w:kern w:val="0"/>
                <w:szCs w:val="24"/>
              </w:rPr>
              <w:t>板興櫃</w:t>
            </w:r>
            <w:proofErr w:type="gramEnd"/>
            <w:r w:rsidRPr="00F954F3">
              <w:rPr>
                <w:rFonts w:ascii="標楷體" w:eastAsia="標楷體" w:hAnsi="標楷體" w:cs="細明體" w:hint="eastAsia"/>
                <w:kern w:val="0"/>
                <w:szCs w:val="24"/>
              </w:rPr>
              <w:t>公司現金增資案件，受理</w:t>
            </w:r>
            <w:proofErr w:type="gramStart"/>
            <w:r w:rsidRPr="00F954F3">
              <w:rPr>
                <w:rFonts w:ascii="標楷體" w:eastAsia="標楷體" w:hAnsi="標楷體" w:cs="細明體" w:hint="eastAsia"/>
                <w:kern w:val="0"/>
                <w:szCs w:val="24"/>
              </w:rPr>
              <w:t>詢</w:t>
            </w:r>
            <w:proofErr w:type="gramEnd"/>
            <w:r w:rsidRPr="00F954F3">
              <w:rPr>
                <w:rFonts w:ascii="標楷體" w:eastAsia="標楷體" w:hAnsi="標楷體" w:cs="細明體" w:hint="eastAsia"/>
                <w:kern w:val="0"/>
                <w:szCs w:val="24"/>
              </w:rPr>
              <w:t>價圈購之對象</w:t>
            </w:r>
            <w:proofErr w:type="gramStart"/>
            <w:r w:rsidRPr="00F954F3">
              <w:rPr>
                <w:rFonts w:ascii="標楷體" w:eastAsia="標楷體" w:hAnsi="標楷體" w:cs="細明體" w:hint="eastAsia"/>
                <w:kern w:val="0"/>
                <w:szCs w:val="24"/>
              </w:rPr>
              <w:t>準</w:t>
            </w:r>
            <w:proofErr w:type="gramEnd"/>
            <w:r w:rsidRPr="00F954F3">
              <w:rPr>
                <w:rFonts w:ascii="標楷體" w:eastAsia="標楷體" w:hAnsi="標楷體" w:cs="細明體" w:hint="eastAsia"/>
                <w:kern w:val="0"/>
                <w:szCs w:val="24"/>
              </w:rPr>
              <w:t>用第一項第三款至第十五款、第十七款及第十八款規定。</w:t>
            </w:r>
          </w:p>
          <w:p w14:paraId="29844E80"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cs="細明體" w:hint="eastAsia"/>
                <w:kern w:val="0"/>
                <w:szCs w:val="24"/>
              </w:rPr>
              <w:t>臺灣存託憑證再次發行之案件，受理</w:t>
            </w:r>
            <w:proofErr w:type="gramStart"/>
            <w:r w:rsidRPr="00F954F3">
              <w:rPr>
                <w:rFonts w:ascii="標楷體" w:eastAsia="標楷體" w:hAnsi="標楷體" w:cs="細明體" w:hint="eastAsia"/>
                <w:kern w:val="0"/>
                <w:szCs w:val="24"/>
              </w:rPr>
              <w:t>詢</w:t>
            </w:r>
            <w:proofErr w:type="gramEnd"/>
            <w:r w:rsidRPr="00F954F3">
              <w:rPr>
                <w:rFonts w:ascii="標楷體" w:eastAsia="標楷體" w:hAnsi="標楷體" w:cs="細明體" w:hint="eastAsia"/>
                <w:kern w:val="0"/>
                <w:szCs w:val="24"/>
              </w:rPr>
              <w:t>價圈購之對象</w:t>
            </w:r>
            <w:proofErr w:type="gramStart"/>
            <w:r w:rsidRPr="00F954F3">
              <w:rPr>
                <w:rFonts w:ascii="標楷體" w:eastAsia="標楷體" w:hAnsi="標楷體" w:cs="細明體" w:hint="eastAsia"/>
                <w:kern w:val="0"/>
                <w:szCs w:val="24"/>
              </w:rPr>
              <w:t>準</w:t>
            </w:r>
            <w:proofErr w:type="gramEnd"/>
            <w:r w:rsidRPr="00F954F3">
              <w:rPr>
                <w:rFonts w:ascii="標楷體" w:eastAsia="標楷體" w:hAnsi="標楷體" w:cs="細明體" w:hint="eastAsia"/>
                <w:kern w:val="0"/>
                <w:szCs w:val="24"/>
              </w:rPr>
              <w:t>用第一項第三款至第十六款及第十八款規定。</w:t>
            </w:r>
          </w:p>
          <w:p w14:paraId="53C450ED" w14:textId="77777777"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s="細明體"/>
                <w:kern w:val="0"/>
                <w:szCs w:val="24"/>
              </w:rPr>
            </w:pPr>
            <w:r w:rsidRPr="00F954F3">
              <w:rPr>
                <w:rFonts w:ascii="標楷體" w:eastAsia="標楷體" w:hAnsi="標楷體" w:cs="細明體" w:hint="eastAsia"/>
                <w:kern w:val="0"/>
                <w:szCs w:val="24"/>
              </w:rPr>
              <w:t>證券承銷商就配售後未繳款</w:t>
            </w:r>
            <w:proofErr w:type="gramStart"/>
            <w:r w:rsidRPr="00F954F3">
              <w:rPr>
                <w:rFonts w:ascii="標楷體" w:eastAsia="標楷體" w:hAnsi="標楷體" w:cs="細明體" w:hint="eastAsia"/>
                <w:kern w:val="0"/>
                <w:szCs w:val="24"/>
              </w:rPr>
              <w:t>部分另洽特定</w:t>
            </w:r>
            <w:proofErr w:type="gramEnd"/>
            <w:r w:rsidRPr="00F954F3">
              <w:rPr>
                <w:rFonts w:ascii="標楷體" w:eastAsia="標楷體" w:hAnsi="標楷體" w:cs="細明體" w:hint="eastAsia"/>
                <w:kern w:val="0"/>
                <w:szCs w:val="24"/>
              </w:rPr>
              <w:t>人認購之對象，</w:t>
            </w:r>
            <w:proofErr w:type="gramStart"/>
            <w:r w:rsidRPr="00F954F3">
              <w:rPr>
                <w:rFonts w:ascii="標楷體" w:eastAsia="標楷體" w:hAnsi="標楷體" w:cs="細明體" w:hint="eastAsia"/>
                <w:kern w:val="0"/>
                <w:szCs w:val="24"/>
              </w:rPr>
              <w:t>準</w:t>
            </w:r>
            <w:proofErr w:type="gramEnd"/>
            <w:r w:rsidRPr="00F954F3">
              <w:rPr>
                <w:rFonts w:ascii="標楷體" w:eastAsia="標楷體" w:hAnsi="標楷體" w:cs="細明體" w:hint="eastAsia"/>
                <w:kern w:val="0"/>
                <w:szCs w:val="24"/>
              </w:rPr>
              <w:t>用第一項至第五項之規定。</w:t>
            </w:r>
          </w:p>
          <w:p w14:paraId="6A3AF2C4" w14:textId="2D61786E" w:rsidR="002609CA" w:rsidRPr="00F954F3" w:rsidRDefault="002609CA" w:rsidP="002609CA">
            <w:pPr>
              <w:pStyle w:val="ab"/>
              <w:spacing w:before="60" w:after="60" w:line="360" w:lineRule="exact"/>
              <w:ind w:leftChars="100" w:left="240" w:firstLineChars="200" w:firstLine="480"/>
              <w:jc w:val="both"/>
              <w:rPr>
                <w:rFonts w:ascii="標楷體" w:eastAsia="標楷體" w:hAnsi="標楷體"/>
                <w:color w:val="000000"/>
                <w:szCs w:val="24"/>
              </w:rPr>
            </w:pPr>
            <w:r w:rsidRPr="00F954F3">
              <w:rPr>
                <w:rFonts w:ascii="標楷體" w:eastAsia="標楷體" w:hAnsi="標楷體" w:cs="細明體" w:hint="eastAsia"/>
                <w:kern w:val="0"/>
                <w:szCs w:val="24"/>
              </w:rPr>
              <w:lastRenderedPageBreak/>
              <w:t>證券商辦理初次上市、上櫃、股票申請創新板初次上市、創新板上市公司轉列上市</w:t>
            </w:r>
            <w:r w:rsidRPr="00F954F3">
              <w:rPr>
                <w:rFonts w:ascii="標楷體" w:eastAsia="標楷體" w:hAnsi="標楷體" w:hint="eastAsia"/>
                <w:szCs w:val="24"/>
              </w:rPr>
              <w:t>、</w:t>
            </w:r>
            <w:r w:rsidRPr="00F954F3">
              <w:rPr>
                <w:rFonts w:ascii="標楷體" w:eastAsia="標楷體" w:hAnsi="標楷體" w:cs="細明體" w:hint="eastAsia"/>
                <w:kern w:val="0"/>
                <w:szCs w:val="24"/>
              </w:rPr>
              <w:t>上櫃</w:t>
            </w:r>
            <w:r w:rsidRPr="00F954F3">
              <w:rPr>
                <w:rFonts w:ascii="標楷體" w:eastAsia="標楷體" w:hAnsi="標楷體" w:hint="eastAsia"/>
                <w:szCs w:val="24"/>
              </w:rPr>
              <w:t>公司及臺灣存託憑證初次發行之承銷案件，並應取得</w:t>
            </w:r>
            <w:proofErr w:type="gramStart"/>
            <w:r w:rsidRPr="00F954F3">
              <w:rPr>
                <w:rFonts w:ascii="標楷體" w:eastAsia="標楷體" w:hAnsi="標楷體" w:hint="eastAsia"/>
                <w:szCs w:val="24"/>
              </w:rPr>
              <w:t>圈購人出</w:t>
            </w:r>
            <w:proofErr w:type="gramEnd"/>
            <w:r w:rsidRPr="00F954F3">
              <w:rPr>
                <w:rFonts w:ascii="標楷體" w:eastAsia="標楷體" w:hAnsi="標楷體" w:hint="eastAsia"/>
                <w:szCs w:val="24"/>
              </w:rPr>
              <w:t>具同意將圈購資料（包括匯款銀行及帳戶）提供予證交所、櫃買中心建檔，除供證券交易所、櫃買中心及證券主管機關監管及查核使用外將不</w:t>
            </w:r>
            <w:r w:rsidRPr="00F954F3">
              <w:rPr>
                <w:rFonts w:ascii="標楷體" w:eastAsia="標楷體" w:hAnsi="標楷體" w:cs="新細明體" w:hint="eastAsia"/>
                <w:szCs w:val="24"/>
              </w:rPr>
              <w:t>對外公開之聲明書。</w:t>
            </w:r>
          </w:p>
        </w:tc>
        <w:tc>
          <w:tcPr>
            <w:tcW w:w="1974" w:type="dxa"/>
          </w:tcPr>
          <w:p w14:paraId="728041FC" w14:textId="07329580" w:rsidR="002609CA" w:rsidRPr="00F954F3" w:rsidRDefault="002609CA" w:rsidP="002609CA">
            <w:pPr>
              <w:snapToGrid w:val="0"/>
              <w:spacing w:line="400" w:lineRule="atLeast"/>
              <w:ind w:leftChars="-1" w:left="20" w:hangingChars="9" w:hanging="22"/>
              <w:jc w:val="both"/>
              <w:rPr>
                <w:rFonts w:ascii="標楷體" w:eastAsia="標楷體" w:hAnsi="標楷體"/>
                <w:color w:val="000000"/>
                <w:szCs w:val="24"/>
              </w:rPr>
            </w:pPr>
            <w:r w:rsidRPr="00F954F3">
              <w:rPr>
                <w:rFonts w:ascii="標楷體" w:eastAsia="標楷體" w:hAnsi="標楷體" w:hint="eastAsia"/>
                <w:color w:val="000000"/>
                <w:szCs w:val="24"/>
              </w:rPr>
              <w:lastRenderedPageBreak/>
              <w:t>配合證交所及櫃買中心放寬創新板及戰略新板合格投資人定義，</w:t>
            </w:r>
            <w:proofErr w:type="gramStart"/>
            <w:r w:rsidRPr="00F954F3">
              <w:rPr>
                <w:rFonts w:ascii="標楷體" w:eastAsia="標楷體" w:hAnsi="標楷體" w:hint="eastAsia"/>
                <w:color w:val="000000"/>
                <w:szCs w:val="24"/>
              </w:rPr>
              <w:t>爰</w:t>
            </w:r>
            <w:proofErr w:type="gramEnd"/>
            <w:r w:rsidRPr="00F954F3">
              <w:rPr>
                <w:rFonts w:ascii="標楷體" w:eastAsia="標楷體" w:hAnsi="標楷體" w:hint="eastAsia"/>
                <w:color w:val="000000"/>
                <w:szCs w:val="24"/>
              </w:rPr>
              <w:t>修正本條第二項</w:t>
            </w:r>
            <w:r w:rsidR="00D7613E">
              <w:rPr>
                <w:rFonts w:ascii="標楷體" w:eastAsia="標楷體" w:hAnsi="標楷體" w:hint="eastAsia"/>
                <w:color w:val="000000"/>
                <w:szCs w:val="24"/>
              </w:rPr>
              <w:t>第一款及</w:t>
            </w:r>
            <w:r w:rsidRPr="00F954F3">
              <w:rPr>
                <w:rFonts w:ascii="標楷體" w:eastAsia="標楷體" w:hAnsi="標楷體" w:hint="eastAsia"/>
                <w:color w:val="000000"/>
                <w:szCs w:val="24"/>
              </w:rPr>
              <w:t>第三款，</w:t>
            </w:r>
            <w:r w:rsidRPr="00F954F3">
              <w:rPr>
                <w:rFonts w:ascii="標楷體" w:eastAsia="標楷體" w:hAnsi="標楷體" w:cs="細明體" w:hint="eastAsia"/>
                <w:color w:val="000000"/>
                <w:kern w:val="0"/>
                <w:szCs w:val="24"/>
              </w:rPr>
              <w:t>合格投資人之法人資格條件為專業機構投資人或具兩年以上證券交易投資經驗之法人，及自然人財力證明門檻由一仟萬元放寬為五百萬元。</w:t>
            </w:r>
          </w:p>
        </w:tc>
      </w:tr>
    </w:tbl>
    <w:p w14:paraId="14B4D09A" w14:textId="2D830C03" w:rsidR="00525021" w:rsidRPr="00477631" w:rsidRDefault="00525021" w:rsidP="00CF0680">
      <w:pPr>
        <w:snapToGrid w:val="0"/>
        <w:spacing w:line="360" w:lineRule="auto"/>
        <w:rPr>
          <w:rFonts w:ascii="標楷體" w:eastAsia="標楷體" w:hAnsi="標楷體" w:cs="Times New Roman"/>
          <w:color w:val="000000" w:themeColor="text1"/>
          <w:sz w:val="10"/>
          <w:szCs w:val="10"/>
          <w:lang w:eastAsia="zh-HK"/>
        </w:rPr>
      </w:pPr>
    </w:p>
    <w:sectPr w:rsidR="00525021" w:rsidRPr="00477631" w:rsidSect="0046089E">
      <w:footerReference w:type="default" r:id="rId7"/>
      <w:pgSz w:w="11906" w:h="16838"/>
      <w:pgMar w:top="1440" w:right="1800" w:bottom="1440" w:left="180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4362" w14:textId="77777777" w:rsidR="004B3153" w:rsidRDefault="004B3153" w:rsidP="00BB1C31">
      <w:r>
        <w:separator/>
      </w:r>
    </w:p>
  </w:endnote>
  <w:endnote w:type="continuationSeparator" w:id="0">
    <w:p w14:paraId="5BE04D44" w14:textId="77777777" w:rsidR="004B3153" w:rsidRDefault="004B3153" w:rsidP="00BB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059432"/>
      <w:docPartObj>
        <w:docPartGallery w:val="Page Numbers (Bottom of Page)"/>
        <w:docPartUnique/>
      </w:docPartObj>
    </w:sdtPr>
    <w:sdtContent>
      <w:p w14:paraId="7C22DC5F" w14:textId="55143E08" w:rsidR="0046089E" w:rsidRDefault="0046089E">
        <w:pPr>
          <w:pStyle w:val="a7"/>
          <w:jc w:val="center"/>
        </w:pPr>
        <w:r>
          <w:fldChar w:fldCharType="begin"/>
        </w:r>
        <w:r>
          <w:instrText>PAGE   \* MERGEFORMAT</w:instrText>
        </w:r>
        <w:r>
          <w:fldChar w:fldCharType="separate"/>
        </w:r>
        <w:r>
          <w:rPr>
            <w:lang w:val="zh-TW"/>
          </w:rPr>
          <w:t>2</w:t>
        </w:r>
        <w:r>
          <w:fldChar w:fldCharType="end"/>
        </w:r>
      </w:p>
    </w:sdtContent>
  </w:sdt>
  <w:p w14:paraId="7AE4570F" w14:textId="77777777" w:rsidR="00BB1C31" w:rsidRPr="00BB1C31" w:rsidRDefault="00BB1C31">
    <w:pPr>
      <w:pStyle w:val="a7"/>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84AE" w14:textId="77777777" w:rsidR="004B3153" w:rsidRDefault="004B3153" w:rsidP="00BB1C31">
      <w:r>
        <w:separator/>
      </w:r>
    </w:p>
  </w:footnote>
  <w:footnote w:type="continuationSeparator" w:id="0">
    <w:p w14:paraId="757E465D" w14:textId="77777777" w:rsidR="004B3153" w:rsidRDefault="004B3153" w:rsidP="00BB1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3095"/>
    <w:multiLevelType w:val="hybridMultilevel"/>
    <w:tmpl w:val="3CA61878"/>
    <w:lvl w:ilvl="0" w:tplc="32D2FB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8D14DD"/>
    <w:multiLevelType w:val="hybridMultilevel"/>
    <w:tmpl w:val="E0723B24"/>
    <w:lvl w:ilvl="0" w:tplc="1FC8AB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8F0B01"/>
    <w:multiLevelType w:val="hybridMultilevel"/>
    <w:tmpl w:val="468CC70C"/>
    <w:lvl w:ilvl="0" w:tplc="08DAF3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17061315">
    <w:abstractNumId w:val="0"/>
  </w:num>
  <w:num w:numId="2" w16cid:durableId="171796005">
    <w:abstractNumId w:val="1"/>
  </w:num>
  <w:num w:numId="3" w16cid:durableId="83672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BB"/>
    <w:rsid w:val="000740DB"/>
    <w:rsid w:val="00075A4F"/>
    <w:rsid w:val="000807F9"/>
    <w:rsid w:val="000A0367"/>
    <w:rsid w:val="000A05B7"/>
    <w:rsid w:val="000E13FA"/>
    <w:rsid w:val="00105783"/>
    <w:rsid w:val="001447FB"/>
    <w:rsid w:val="001802F9"/>
    <w:rsid w:val="00191267"/>
    <w:rsid w:val="001979EF"/>
    <w:rsid w:val="002550F1"/>
    <w:rsid w:val="0026038B"/>
    <w:rsid w:val="002609CA"/>
    <w:rsid w:val="00280335"/>
    <w:rsid w:val="002976BA"/>
    <w:rsid w:val="00297E55"/>
    <w:rsid w:val="002B06F6"/>
    <w:rsid w:val="002E4A7D"/>
    <w:rsid w:val="002F48FD"/>
    <w:rsid w:val="003A0299"/>
    <w:rsid w:val="003B3EE1"/>
    <w:rsid w:val="003D608D"/>
    <w:rsid w:val="003E742A"/>
    <w:rsid w:val="003F7FD4"/>
    <w:rsid w:val="0040100D"/>
    <w:rsid w:val="0046089E"/>
    <w:rsid w:val="00461DFE"/>
    <w:rsid w:val="0047704F"/>
    <w:rsid w:val="00477631"/>
    <w:rsid w:val="004B3153"/>
    <w:rsid w:val="004D184C"/>
    <w:rsid w:val="004E4672"/>
    <w:rsid w:val="00525021"/>
    <w:rsid w:val="005626C0"/>
    <w:rsid w:val="00584CF2"/>
    <w:rsid w:val="005A5907"/>
    <w:rsid w:val="00614A67"/>
    <w:rsid w:val="00667B26"/>
    <w:rsid w:val="006F24A3"/>
    <w:rsid w:val="00712D58"/>
    <w:rsid w:val="00713231"/>
    <w:rsid w:val="00747351"/>
    <w:rsid w:val="00753FE1"/>
    <w:rsid w:val="007A4137"/>
    <w:rsid w:val="007B2222"/>
    <w:rsid w:val="00824405"/>
    <w:rsid w:val="00835AFD"/>
    <w:rsid w:val="00843147"/>
    <w:rsid w:val="00847090"/>
    <w:rsid w:val="008C208C"/>
    <w:rsid w:val="008C32CD"/>
    <w:rsid w:val="008E7DFD"/>
    <w:rsid w:val="008F6209"/>
    <w:rsid w:val="00923D54"/>
    <w:rsid w:val="00942489"/>
    <w:rsid w:val="00993EF5"/>
    <w:rsid w:val="009C1D56"/>
    <w:rsid w:val="009C4382"/>
    <w:rsid w:val="009D5F9F"/>
    <w:rsid w:val="00A02673"/>
    <w:rsid w:val="00A91956"/>
    <w:rsid w:val="00A94E99"/>
    <w:rsid w:val="00A971BA"/>
    <w:rsid w:val="00AB5D66"/>
    <w:rsid w:val="00AE7D07"/>
    <w:rsid w:val="00B828B6"/>
    <w:rsid w:val="00BB1C31"/>
    <w:rsid w:val="00BD5280"/>
    <w:rsid w:val="00C05AB7"/>
    <w:rsid w:val="00C07A7A"/>
    <w:rsid w:val="00C17046"/>
    <w:rsid w:val="00C20ECF"/>
    <w:rsid w:val="00C51819"/>
    <w:rsid w:val="00C72C91"/>
    <w:rsid w:val="00C90708"/>
    <w:rsid w:val="00CC0796"/>
    <w:rsid w:val="00CC3D67"/>
    <w:rsid w:val="00CF0680"/>
    <w:rsid w:val="00CF6FA5"/>
    <w:rsid w:val="00D14227"/>
    <w:rsid w:val="00D66828"/>
    <w:rsid w:val="00D7613E"/>
    <w:rsid w:val="00DA70AC"/>
    <w:rsid w:val="00DC48D4"/>
    <w:rsid w:val="00DC69EF"/>
    <w:rsid w:val="00DD696C"/>
    <w:rsid w:val="00DF23C4"/>
    <w:rsid w:val="00E11104"/>
    <w:rsid w:val="00E364AE"/>
    <w:rsid w:val="00E62B5E"/>
    <w:rsid w:val="00E7715E"/>
    <w:rsid w:val="00E77340"/>
    <w:rsid w:val="00E827BB"/>
    <w:rsid w:val="00EA2BAA"/>
    <w:rsid w:val="00EB3B14"/>
    <w:rsid w:val="00EC42E0"/>
    <w:rsid w:val="00F954F3"/>
    <w:rsid w:val="00FB7FC2"/>
    <w:rsid w:val="00FC058D"/>
    <w:rsid w:val="00FD03E3"/>
    <w:rsid w:val="00FE6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1B02D"/>
  <w15:chartTrackingRefBased/>
  <w15:docId w15:val="{85DB89E5-2922-4665-B1E2-954509AE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227"/>
    <w:pPr>
      <w:ind w:leftChars="200" w:left="480"/>
    </w:pPr>
  </w:style>
  <w:style w:type="paragraph" w:styleId="HTML">
    <w:name w:val="HTML Preformatted"/>
    <w:basedOn w:val="a"/>
    <w:link w:val="HTML0"/>
    <w:uiPriority w:val="99"/>
    <w:unhideWhenUsed/>
    <w:rsid w:val="00A91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91956"/>
    <w:rPr>
      <w:rFonts w:ascii="細明體" w:eastAsia="細明體" w:hAnsi="細明體" w:cs="細明體"/>
      <w:kern w:val="0"/>
      <w:szCs w:val="24"/>
    </w:rPr>
  </w:style>
  <w:style w:type="paragraph" w:styleId="a5">
    <w:name w:val="header"/>
    <w:basedOn w:val="a"/>
    <w:link w:val="a6"/>
    <w:uiPriority w:val="99"/>
    <w:unhideWhenUsed/>
    <w:rsid w:val="00BB1C31"/>
    <w:pPr>
      <w:tabs>
        <w:tab w:val="center" w:pos="4153"/>
        <w:tab w:val="right" w:pos="8306"/>
      </w:tabs>
      <w:snapToGrid w:val="0"/>
    </w:pPr>
    <w:rPr>
      <w:sz w:val="20"/>
      <w:szCs w:val="20"/>
    </w:rPr>
  </w:style>
  <w:style w:type="character" w:customStyle="1" w:styleId="a6">
    <w:name w:val="頁首 字元"/>
    <w:basedOn w:val="a0"/>
    <w:link w:val="a5"/>
    <w:uiPriority w:val="99"/>
    <w:rsid w:val="00BB1C31"/>
    <w:rPr>
      <w:sz w:val="20"/>
      <w:szCs w:val="20"/>
    </w:rPr>
  </w:style>
  <w:style w:type="paragraph" w:styleId="a7">
    <w:name w:val="footer"/>
    <w:basedOn w:val="a"/>
    <w:link w:val="a8"/>
    <w:uiPriority w:val="99"/>
    <w:unhideWhenUsed/>
    <w:rsid w:val="00BB1C31"/>
    <w:pPr>
      <w:tabs>
        <w:tab w:val="center" w:pos="4153"/>
        <w:tab w:val="right" w:pos="8306"/>
      </w:tabs>
      <w:snapToGrid w:val="0"/>
    </w:pPr>
    <w:rPr>
      <w:sz w:val="20"/>
      <w:szCs w:val="20"/>
    </w:rPr>
  </w:style>
  <w:style w:type="character" w:customStyle="1" w:styleId="a8">
    <w:name w:val="頁尾 字元"/>
    <w:basedOn w:val="a0"/>
    <w:link w:val="a7"/>
    <w:uiPriority w:val="99"/>
    <w:rsid w:val="00BB1C31"/>
    <w:rPr>
      <w:sz w:val="20"/>
      <w:szCs w:val="20"/>
    </w:rPr>
  </w:style>
  <w:style w:type="paragraph" w:styleId="a9">
    <w:name w:val="Balloon Text"/>
    <w:basedOn w:val="a"/>
    <w:link w:val="aa"/>
    <w:uiPriority w:val="99"/>
    <w:semiHidden/>
    <w:unhideWhenUsed/>
    <w:rsid w:val="000A05B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A05B7"/>
    <w:rPr>
      <w:rFonts w:asciiTheme="majorHAnsi" w:eastAsiaTheme="majorEastAsia" w:hAnsiTheme="majorHAnsi" w:cstheme="majorBidi"/>
      <w:sz w:val="18"/>
      <w:szCs w:val="18"/>
    </w:rPr>
  </w:style>
  <w:style w:type="paragraph" w:styleId="ab">
    <w:name w:val="Plain Text"/>
    <w:basedOn w:val="a"/>
    <w:link w:val="ac"/>
    <w:rsid w:val="00CF0680"/>
    <w:rPr>
      <w:rFonts w:ascii="細明體" w:eastAsia="細明體" w:hAnsi="Courier New" w:cs="Times New Roman"/>
      <w:szCs w:val="20"/>
    </w:rPr>
  </w:style>
  <w:style w:type="character" w:customStyle="1" w:styleId="ac">
    <w:name w:val="純文字 字元"/>
    <w:basedOn w:val="a0"/>
    <w:link w:val="ab"/>
    <w:rsid w:val="00CF0680"/>
    <w:rPr>
      <w:rFonts w:ascii="細明體" w:eastAsia="細明體" w:hAnsi="Courier New" w:cs="Times New Roman"/>
      <w:szCs w:val="20"/>
    </w:rPr>
  </w:style>
  <w:style w:type="character" w:styleId="ad">
    <w:name w:val="Hyperlink"/>
    <w:basedOn w:val="a0"/>
    <w:uiPriority w:val="99"/>
    <w:semiHidden/>
    <w:unhideWhenUsed/>
    <w:rsid w:val="00260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6874">
      <w:bodyDiv w:val="1"/>
      <w:marLeft w:val="0"/>
      <w:marRight w:val="0"/>
      <w:marTop w:val="0"/>
      <w:marBottom w:val="0"/>
      <w:divBdr>
        <w:top w:val="none" w:sz="0" w:space="0" w:color="auto"/>
        <w:left w:val="none" w:sz="0" w:space="0" w:color="auto"/>
        <w:bottom w:val="none" w:sz="0" w:space="0" w:color="auto"/>
        <w:right w:val="none" w:sz="0" w:space="0" w:color="auto"/>
      </w:divBdr>
    </w:div>
    <w:div w:id="675956236">
      <w:bodyDiv w:val="1"/>
      <w:marLeft w:val="0"/>
      <w:marRight w:val="0"/>
      <w:marTop w:val="0"/>
      <w:marBottom w:val="0"/>
      <w:divBdr>
        <w:top w:val="none" w:sz="0" w:space="0" w:color="auto"/>
        <w:left w:val="none" w:sz="0" w:space="0" w:color="auto"/>
        <w:bottom w:val="none" w:sz="0" w:space="0" w:color="auto"/>
        <w:right w:val="none" w:sz="0" w:space="0" w:color="auto"/>
      </w:divBdr>
    </w:div>
    <w:div w:id="932081261">
      <w:bodyDiv w:val="1"/>
      <w:marLeft w:val="0"/>
      <w:marRight w:val="0"/>
      <w:marTop w:val="0"/>
      <w:marBottom w:val="0"/>
      <w:divBdr>
        <w:top w:val="none" w:sz="0" w:space="0" w:color="auto"/>
        <w:left w:val="none" w:sz="0" w:space="0" w:color="auto"/>
        <w:bottom w:val="none" w:sz="0" w:space="0" w:color="auto"/>
        <w:right w:val="none" w:sz="0" w:space="0" w:color="auto"/>
      </w:divBdr>
    </w:div>
    <w:div w:id="1279989240">
      <w:bodyDiv w:val="1"/>
      <w:marLeft w:val="0"/>
      <w:marRight w:val="0"/>
      <w:marTop w:val="0"/>
      <w:marBottom w:val="0"/>
      <w:divBdr>
        <w:top w:val="none" w:sz="0" w:space="0" w:color="auto"/>
        <w:left w:val="none" w:sz="0" w:space="0" w:color="auto"/>
        <w:bottom w:val="none" w:sz="0" w:space="0" w:color="auto"/>
        <w:right w:val="none" w:sz="0" w:space="0" w:color="auto"/>
      </w:divBdr>
    </w:div>
    <w:div w:id="1519857302">
      <w:bodyDiv w:val="1"/>
      <w:marLeft w:val="0"/>
      <w:marRight w:val="0"/>
      <w:marTop w:val="0"/>
      <w:marBottom w:val="0"/>
      <w:divBdr>
        <w:top w:val="none" w:sz="0" w:space="0" w:color="auto"/>
        <w:left w:val="none" w:sz="0" w:space="0" w:color="auto"/>
        <w:bottom w:val="none" w:sz="0" w:space="0" w:color="auto"/>
        <w:right w:val="none" w:sz="0" w:space="0" w:color="auto"/>
      </w:divBdr>
    </w:div>
    <w:div w:id="1685791065">
      <w:bodyDiv w:val="1"/>
      <w:marLeft w:val="0"/>
      <w:marRight w:val="0"/>
      <w:marTop w:val="0"/>
      <w:marBottom w:val="0"/>
      <w:divBdr>
        <w:top w:val="none" w:sz="0" w:space="0" w:color="auto"/>
        <w:left w:val="none" w:sz="0" w:space="0" w:color="auto"/>
        <w:bottom w:val="none" w:sz="0" w:space="0" w:color="auto"/>
        <w:right w:val="none" w:sz="0" w:space="0" w:color="auto"/>
      </w:divBdr>
    </w:div>
    <w:div w:id="1798527650">
      <w:bodyDiv w:val="1"/>
      <w:marLeft w:val="0"/>
      <w:marRight w:val="0"/>
      <w:marTop w:val="0"/>
      <w:marBottom w:val="0"/>
      <w:divBdr>
        <w:top w:val="none" w:sz="0" w:space="0" w:color="auto"/>
        <w:left w:val="none" w:sz="0" w:space="0" w:color="auto"/>
        <w:bottom w:val="none" w:sz="0" w:space="0" w:color="auto"/>
        <w:right w:val="none" w:sz="0" w:space="0" w:color="auto"/>
      </w:divBdr>
    </w:div>
    <w:div w:id="1798987818">
      <w:bodyDiv w:val="1"/>
      <w:marLeft w:val="0"/>
      <w:marRight w:val="0"/>
      <w:marTop w:val="0"/>
      <w:marBottom w:val="0"/>
      <w:divBdr>
        <w:top w:val="none" w:sz="0" w:space="0" w:color="auto"/>
        <w:left w:val="none" w:sz="0" w:space="0" w:color="auto"/>
        <w:bottom w:val="none" w:sz="0" w:space="0" w:color="auto"/>
        <w:right w:val="none" w:sz="0" w:space="0" w:color="auto"/>
      </w:divBdr>
    </w:div>
    <w:div w:id="18429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2</cp:revision>
  <cp:lastPrinted>2022-09-27T08:19:00Z</cp:lastPrinted>
  <dcterms:created xsi:type="dcterms:W3CDTF">2022-11-24T01:19:00Z</dcterms:created>
  <dcterms:modified xsi:type="dcterms:W3CDTF">2022-11-24T01:19:00Z</dcterms:modified>
</cp:coreProperties>
</file>