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22" w14:textId="6223F1AC" w:rsidR="00E827BB" w:rsidRPr="001447FB" w:rsidRDefault="00DC69EF" w:rsidP="00DF23C4">
      <w:pPr>
        <w:snapToGrid w:val="0"/>
        <w:spacing w:line="440" w:lineRule="exact"/>
        <w:jc w:val="both"/>
        <w:rPr>
          <w:sz w:val="32"/>
          <w:szCs w:val="32"/>
        </w:rPr>
      </w:pPr>
      <w:r w:rsidRPr="001447FB">
        <w:rPr>
          <w:rFonts w:ascii="標楷體" w:eastAsia="標楷體" w:hAnsi="標楷體"/>
          <w:b/>
          <w:bCs/>
          <w:noProof/>
          <w:sz w:val="32"/>
          <w:szCs w:val="32"/>
        </w:rPr>
        <mc:AlternateContent>
          <mc:Choice Requires="wps">
            <w:drawing>
              <wp:anchor distT="45720" distB="45720" distL="114300" distR="114300" simplePos="0" relativeHeight="251659264" behindDoc="0" locked="0" layoutInCell="1" allowOverlap="1" wp14:anchorId="59BA5F29" wp14:editId="58C65F9D">
                <wp:simplePos x="0" y="0"/>
                <wp:positionH relativeFrom="column">
                  <wp:posOffset>0</wp:posOffset>
                </wp:positionH>
                <wp:positionV relativeFrom="page">
                  <wp:posOffset>502920</wp:posOffset>
                </wp:positionV>
                <wp:extent cx="704850" cy="3429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2900"/>
                        </a:xfrm>
                        <a:prstGeom prst="rect">
                          <a:avLst/>
                        </a:prstGeom>
                        <a:solidFill>
                          <a:srgbClr val="FFFFFF"/>
                        </a:solidFill>
                        <a:ln w="9525">
                          <a:solidFill>
                            <a:srgbClr val="000000"/>
                          </a:solidFill>
                          <a:miter lim="800000"/>
                          <a:headEnd/>
                          <a:tailEnd/>
                        </a:ln>
                      </wps:spPr>
                      <wps:txbx>
                        <w:txbxContent>
                          <w:p w14:paraId="005E1AD1" w14:textId="71E896DA" w:rsidR="00DC69EF" w:rsidRPr="00DC48D4" w:rsidRDefault="00DC69EF" w:rsidP="00DC69EF">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A5F29" id="_x0000_t202" coordsize="21600,21600" o:spt="202" path="m,l,21600r21600,l21600,xe">
                <v:stroke joinstyle="miter"/>
                <v:path gradientshapeok="t" o:connecttype="rect"/>
              </v:shapetype>
              <v:shape id="文字方塊 2" o:spid="_x0000_s1026" type="#_x0000_t202" style="position:absolute;left:0;text-align:left;margin-left:0;margin-top:39.6pt;width:55.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">
                <v:textbox>
                  <w:txbxContent>
                    <w:p w14:paraId="005E1AD1" w14:textId="71E896DA" w:rsidR="00DC69EF" w:rsidRPr="00DC48D4" w:rsidRDefault="00DC69EF" w:rsidP="00DC69EF">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p>
                  </w:txbxContent>
                </v:textbox>
                <w10:wrap type="square" anchory="page"/>
              </v:shape>
            </w:pict>
          </mc:Fallback>
        </mc:AlternateContent>
      </w:r>
      <w:r w:rsidR="003A0299" w:rsidRPr="001447FB">
        <w:rPr>
          <w:rFonts w:ascii="標楷體" w:eastAsia="標楷體" w:hAnsi="標楷體" w:cs="Times New Roman"/>
          <w:b/>
          <w:bCs/>
          <w:color w:val="000000" w:themeColor="text1"/>
          <w:sz w:val="32"/>
          <w:szCs w:val="32"/>
          <w:lang w:eastAsia="zh-HK"/>
        </w:rPr>
        <w:t>中華民國證券商業同業公會</w:t>
      </w:r>
      <w:r w:rsidR="00CF0680" w:rsidRPr="001447FB">
        <w:rPr>
          <w:rFonts w:ascii="標楷體" w:eastAsia="標楷體" w:hAnsi="標楷體" w:cs="Times New Roman" w:hint="eastAsia"/>
          <w:b/>
          <w:bCs/>
          <w:color w:val="000000" w:themeColor="text1"/>
          <w:sz w:val="32"/>
          <w:szCs w:val="32"/>
          <w:lang w:eastAsia="zh-HK"/>
        </w:rPr>
        <w:t>「</w:t>
      </w:r>
      <w:r w:rsidR="003A0299" w:rsidRPr="001447FB">
        <w:rPr>
          <w:rFonts w:ascii="標楷體" w:eastAsia="標楷體" w:hAnsi="標楷體" w:cs="Times New Roman"/>
          <w:b/>
          <w:bCs/>
          <w:color w:val="000000" w:themeColor="text1"/>
          <w:sz w:val="32"/>
          <w:szCs w:val="32"/>
          <w:lang w:eastAsia="zh-HK"/>
        </w:rPr>
        <w:t>證券商承銷或再行銷售有價證券處理辦法</w:t>
      </w:r>
      <w:r w:rsidR="00CF0680" w:rsidRPr="001447FB">
        <w:rPr>
          <w:rFonts w:ascii="標楷體" w:eastAsia="標楷體" w:hAnsi="標楷體" w:cs="Times New Roman" w:hint="eastAsia"/>
          <w:b/>
          <w:bCs/>
          <w:color w:val="000000" w:themeColor="text1"/>
          <w:sz w:val="32"/>
          <w:szCs w:val="32"/>
          <w:lang w:eastAsia="zh-HK"/>
        </w:rPr>
        <w:t>」</w:t>
      </w:r>
      <w:r w:rsidR="001447FB">
        <w:rPr>
          <w:rFonts w:ascii="標楷體" w:eastAsia="標楷體" w:hAnsi="標楷體" w:cs="Times New Roman" w:hint="eastAsia"/>
          <w:b/>
          <w:bCs/>
          <w:color w:val="000000" w:themeColor="text1"/>
          <w:sz w:val="32"/>
          <w:szCs w:val="32"/>
          <w:lang w:eastAsia="zh-HK"/>
        </w:rPr>
        <w:t>第四十一條、第四十三條之一</w:t>
      </w:r>
      <w:r w:rsidR="00CF0680" w:rsidRPr="001447FB">
        <w:rPr>
          <w:rFonts w:ascii="標楷體" w:eastAsia="標楷體" w:hAnsi="標楷體" w:cs="Times New Roman" w:hint="eastAsia"/>
          <w:b/>
          <w:bCs/>
          <w:color w:val="000000" w:themeColor="text1"/>
          <w:sz w:val="32"/>
          <w:szCs w:val="32"/>
          <w:lang w:eastAsia="zh-HK"/>
        </w:rPr>
        <w:t>修正條文對照表</w:t>
      </w:r>
    </w:p>
    <w:tbl>
      <w:tblPr>
        <w:tblStyle w:val="a3"/>
        <w:tblW w:w="8719" w:type="dxa"/>
        <w:tblLook w:val="04A0" w:firstRow="1" w:lastRow="0" w:firstColumn="1" w:lastColumn="0" w:noHBand="0" w:noVBand="1"/>
      </w:tblPr>
      <w:tblGrid>
        <w:gridCol w:w="2906"/>
        <w:gridCol w:w="2906"/>
        <w:gridCol w:w="2907"/>
      </w:tblGrid>
      <w:tr w:rsidR="00753FE1" w:rsidRPr="00753FE1" w14:paraId="1FA9E634" w14:textId="3C9B5B92" w:rsidTr="001447FB">
        <w:trPr>
          <w:trHeight w:val="176"/>
        </w:trPr>
        <w:tc>
          <w:tcPr>
            <w:tcW w:w="2906" w:type="dxa"/>
            <w:vAlign w:val="center"/>
          </w:tcPr>
          <w:p w14:paraId="1D303932" w14:textId="16610420" w:rsidR="00753FE1" w:rsidRPr="00753FE1" w:rsidRDefault="00753FE1" w:rsidP="00753FE1">
            <w:pPr>
              <w:snapToGrid w:val="0"/>
              <w:jc w:val="center"/>
              <w:rPr>
                <w:rFonts w:ascii="標楷體" w:eastAsia="標楷體" w:hAnsi="標楷體"/>
                <w:b/>
                <w:bCs/>
                <w:sz w:val="28"/>
                <w:szCs w:val="28"/>
              </w:rPr>
            </w:pPr>
            <w:r w:rsidRPr="00753FE1">
              <w:rPr>
                <w:rFonts w:ascii="標楷體" w:eastAsia="標楷體" w:hAnsi="標楷體" w:hint="eastAsia"/>
                <w:b/>
                <w:bCs/>
                <w:sz w:val="28"/>
                <w:szCs w:val="28"/>
              </w:rPr>
              <w:t>修正條文</w:t>
            </w:r>
          </w:p>
        </w:tc>
        <w:tc>
          <w:tcPr>
            <w:tcW w:w="2906" w:type="dxa"/>
            <w:vAlign w:val="center"/>
          </w:tcPr>
          <w:p w14:paraId="5E0EE225" w14:textId="53C5378A" w:rsidR="00753FE1" w:rsidRPr="00753FE1" w:rsidRDefault="00753FE1" w:rsidP="00753FE1">
            <w:pPr>
              <w:snapToGrid w:val="0"/>
              <w:jc w:val="center"/>
              <w:rPr>
                <w:rFonts w:ascii="標楷體" w:eastAsia="標楷體" w:hAnsi="標楷體"/>
                <w:b/>
                <w:bCs/>
                <w:sz w:val="28"/>
                <w:szCs w:val="28"/>
              </w:rPr>
            </w:pPr>
            <w:r w:rsidRPr="00753FE1">
              <w:rPr>
                <w:rFonts w:ascii="標楷體" w:eastAsia="標楷體" w:hAnsi="標楷體" w:hint="eastAsia"/>
                <w:b/>
                <w:bCs/>
                <w:sz w:val="28"/>
                <w:szCs w:val="28"/>
              </w:rPr>
              <w:t>現行條文</w:t>
            </w:r>
          </w:p>
        </w:tc>
        <w:tc>
          <w:tcPr>
            <w:tcW w:w="2907" w:type="dxa"/>
            <w:vAlign w:val="center"/>
          </w:tcPr>
          <w:p w14:paraId="2F14C802" w14:textId="157A55FB" w:rsidR="00753FE1" w:rsidRPr="00753FE1" w:rsidRDefault="00753FE1" w:rsidP="00753FE1">
            <w:pPr>
              <w:snapToGrid w:val="0"/>
              <w:jc w:val="center"/>
              <w:rPr>
                <w:rFonts w:ascii="標楷體" w:eastAsia="標楷體" w:hAnsi="標楷體"/>
                <w:b/>
                <w:bCs/>
                <w:sz w:val="28"/>
                <w:szCs w:val="28"/>
              </w:rPr>
            </w:pPr>
            <w:r w:rsidRPr="00753FE1">
              <w:rPr>
                <w:rFonts w:ascii="標楷體" w:eastAsia="標楷體" w:hAnsi="標楷體" w:hint="eastAsia"/>
                <w:b/>
                <w:bCs/>
                <w:sz w:val="28"/>
                <w:szCs w:val="28"/>
              </w:rPr>
              <w:t>說明</w:t>
            </w:r>
          </w:p>
        </w:tc>
      </w:tr>
      <w:tr w:rsidR="00753FE1" w:rsidRPr="00B10447" w14:paraId="24501533" w14:textId="4B49B1A5" w:rsidTr="001447FB">
        <w:tc>
          <w:tcPr>
            <w:tcW w:w="2906" w:type="dxa"/>
          </w:tcPr>
          <w:p w14:paraId="69023BDB" w14:textId="77777777" w:rsidR="00753FE1" w:rsidRPr="00B10447" w:rsidRDefault="00753FE1" w:rsidP="00753FE1">
            <w:pPr>
              <w:pStyle w:val="ab"/>
              <w:spacing w:before="60" w:after="60" w:line="360" w:lineRule="exact"/>
              <w:ind w:left="284" w:hanging="284"/>
              <w:jc w:val="both"/>
              <w:rPr>
                <w:rFonts w:ascii="標楷體" w:eastAsia="標楷體" w:hAnsi="標楷體"/>
                <w:color w:val="000000"/>
                <w:szCs w:val="24"/>
              </w:rPr>
            </w:pPr>
            <w:r w:rsidRPr="00B10447">
              <w:rPr>
                <w:rFonts w:ascii="標楷體" w:eastAsia="標楷體" w:hAnsi="標楷體" w:hint="eastAsia"/>
                <w:color w:val="000000"/>
                <w:szCs w:val="24"/>
              </w:rPr>
              <w:t>第四十一條   依第二十一條、第二十二條及第二十二條之一（依前條辦理之承銷案件除外）且全數以詢價圈購方式辦理之承銷案件，應於訂價及向本公會申報承銷契約後，辦理下列事項：</w:t>
            </w:r>
          </w:p>
          <w:p w14:paraId="271B4427" w14:textId="64E346C1" w:rsidR="00753FE1" w:rsidRPr="00B10447" w:rsidRDefault="00753FE1" w:rsidP="00753FE1">
            <w:pPr>
              <w:pStyle w:val="ab"/>
              <w:spacing w:before="60" w:after="60" w:line="360" w:lineRule="exact"/>
              <w:ind w:leftChars="100" w:left="562" w:hangingChars="134" w:hanging="322"/>
              <w:jc w:val="both"/>
              <w:rPr>
                <w:rFonts w:ascii="標楷體" w:eastAsia="標楷體" w:hAnsi="標楷體"/>
                <w:color w:val="000000"/>
                <w:szCs w:val="24"/>
              </w:rPr>
            </w:pPr>
            <w:r w:rsidRPr="00B10447">
              <w:rPr>
                <w:rFonts w:ascii="標楷體" w:eastAsia="標楷體" w:hAnsi="標楷體" w:hint="eastAsia"/>
                <w:color w:val="000000"/>
                <w:szCs w:val="24"/>
              </w:rPr>
              <w:t>一、~六、略。</w:t>
            </w:r>
          </w:p>
          <w:p w14:paraId="5C12566C" w14:textId="7777777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依第二十二條第六款辦理之承銷案件，免辦理前項第四款、第五款及第六款向證交所或櫃買中心申請上市或上櫃之規定。</w:t>
            </w:r>
          </w:p>
          <w:p w14:paraId="468A474C" w14:textId="7777777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第一項各款所定日期遇星期例假日或金融機關停止營業日得順延一天，其後續日期得併予順延。</w:t>
            </w:r>
          </w:p>
          <w:p w14:paraId="41DE1530" w14:textId="7777777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第一項所述日期如有必要時，得報經本公會核准後變更之。</w:t>
            </w:r>
          </w:p>
          <w:p w14:paraId="7FDF9F76" w14:textId="7D876EB9"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已上市、上櫃公司、股票申請創新板初次上市及創新板 上市公司之特別股案件，除保留由公司員工承購部分外，其餘全數提出承銷且對外公開銷售部分全數辦理詢價圈購配售者，如公司員工承購部分能配合第一項繳款期</w:t>
            </w:r>
            <w:r w:rsidRPr="00B10447">
              <w:rPr>
                <w:rFonts w:ascii="標楷體" w:eastAsia="標楷體" w:hAnsi="標楷體" w:hint="eastAsia"/>
                <w:color w:val="000000"/>
                <w:szCs w:val="24"/>
              </w:rPr>
              <w:lastRenderedPageBreak/>
              <w:t>間繳款者，得適用第一項規定辦理。</w:t>
            </w:r>
          </w:p>
          <w:p w14:paraId="40F56794" w14:textId="1BAA21CD"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依第二十一條、第二十二條第一項第一款至第三款及第五款、第二十二條之一</w:t>
            </w:r>
            <w:r w:rsidRPr="00B10447">
              <w:rPr>
                <w:rFonts w:ascii="標楷體" w:eastAsia="標楷體" w:hAnsi="標楷體" w:hint="eastAsia"/>
                <w:color w:val="000000" w:themeColor="text1"/>
                <w:szCs w:val="24"/>
                <w:u w:val="single"/>
              </w:rPr>
              <w:t>第四款</w:t>
            </w:r>
            <w:r w:rsidR="00105783" w:rsidRPr="00B10447">
              <w:rPr>
                <w:rFonts w:ascii="標楷體" w:eastAsia="標楷體" w:hAnsi="標楷體" w:hint="eastAsia"/>
                <w:color w:val="000000" w:themeColor="text1"/>
                <w:szCs w:val="24"/>
                <w:u w:val="single"/>
              </w:rPr>
              <w:t>及</w:t>
            </w:r>
            <w:r w:rsidRPr="00B10447">
              <w:rPr>
                <w:rFonts w:ascii="標楷體" w:eastAsia="標楷體" w:hAnsi="標楷體" w:hint="eastAsia"/>
                <w:color w:val="000000"/>
                <w:szCs w:val="24"/>
              </w:rPr>
              <w:t>第五款(普通公司債及依前條辦理之案件除外)辦理之承銷案件，</w:t>
            </w:r>
            <w:r w:rsidRPr="00B10447">
              <w:rPr>
                <w:rFonts w:ascii="標楷體" w:eastAsia="標楷體" w:hAnsi="標楷體"/>
                <w:color w:val="000000"/>
                <w:szCs w:val="24"/>
              </w:rPr>
              <w:t>圈購人遞交圈購單時，證券承銷商得向圈購人收取所圈購金額之</w:t>
            </w:r>
            <w:r w:rsidRPr="00B10447">
              <w:rPr>
                <w:rFonts w:ascii="標楷體" w:eastAsia="標楷體" w:hAnsi="標楷體" w:hint="eastAsia"/>
                <w:color w:val="000000"/>
                <w:szCs w:val="24"/>
              </w:rPr>
              <w:t>全部或部分價金為</w:t>
            </w:r>
            <w:r w:rsidRPr="00B10447">
              <w:rPr>
                <w:rFonts w:ascii="標楷體" w:eastAsia="標楷體" w:hAnsi="標楷體"/>
                <w:color w:val="000000"/>
                <w:szCs w:val="24"/>
              </w:rPr>
              <w:t>圈購保證金</w:t>
            </w:r>
            <w:r w:rsidRPr="00B10447">
              <w:rPr>
                <w:rFonts w:ascii="標楷體" w:eastAsia="標楷體" w:hAnsi="標楷體" w:hint="eastAsia"/>
                <w:color w:val="000000"/>
                <w:szCs w:val="24"/>
              </w:rPr>
              <w:t>。</w:t>
            </w:r>
          </w:p>
          <w:p w14:paraId="21938065" w14:textId="0DAC210A"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第一項第二款所稱未獲配售之圈購保證金，係指未獲配售之圈購人所繳圈購保證金，及獲配售圈購人所繳圈購保證金超過所配得有價證券應繳價款部分之保證金。</w:t>
            </w:r>
          </w:p>
          <w:p w14:paraId="32B15E30" w14:textId="60B7FE85"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第一項第二款圈購人繳款應扣除依前項規定予以退款(或不予退款)後賸餘之圈購保證金後為之。認購人不如期履行繳款義務者，證券承銷商就該認購保證金得沒入之，並應依該認購人認購價款自行認購。</w:t>
            </w:r>
          </w:p>
          <w:p w14:paraId="53F110B6" w14:textId="4A22F14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szCs w:val="24"/>
              </w:rPr>
            </w:pPr>
            <w:r w:rsidRPr="00B10447">
              <w:rPr>
                <w:rFonts w:ascii="標楷體" w:eastAsia="標楷體" w:hAnsi="標楷體" w:hint="eastAsia"/>
                <w:color w:val="000000"/>
                <w:szCs w:val="24"/>
              </w:rPr>
              <w:t>證券承銷商依第六項規定於收取圈購保證金時，應依信託方式於受託契約中明訂圈購人違約暨其損害賠償之處</w:t>
            </w:r>
            <w:r w:rsidRPr="00B10447">
              <w:rPr>
                <w:rFonts w:ascii="標楷體" w:eastAsia="標楷體" w:hAnsi="標楷體" w:hint="eastAsia"/>
                <w:color w:val="000000"/>
                <w:szCs w:val="24"/>
              </w:rPr>
              <w:lastRenderedPageBreak/>
              <w:t>理。</w:t>
            </w:r>
          </w:p>
        </w:tc>
        <w:tc>
          <w:tcPr>
            <w:tcW w:w="2906" w:type="dxa"/>
          </w:tcPr>
          <w:p w14:paraId="58D3AE92" w14:textId="77777777" w:rsidR="00753FE1" w:rsidRPr="00B10447" w:rsidRDefault="00753FE1" w:rsidP="00753FE1">
            <w:pPr>
              <w:pStyle w:val="ab"/>
              <w:spacing w:before="60" w:after="60" w:line="360" w:lineRule="exact"/>
              <w:ind w:left="284" w:hanging="284"/>
              <w:jc w:val="both"/>
              <w:rPr>
                <w:rFonts w:ascii="標楷體" w:eastAsia="標楷體" w:hAnsi="標楷體"/>
                <w:color w:val="000000"/>
                <w:szCs w:val="24"/>
              </w:rPr>
            </w:pPr>
            <w:r w:rsidRPr="00B10447">
              <w:rPr>
                <w:rFonts w:ascii="標楷體" w:eastAsia="標楷體" w:hAnsi="標楷體" w:hint="eastAsia"/>
                <w:color w:val="000000"/>
                <w:szCs w:val="24"/>
              </w:rPr>
              <w:lastRenderedPageBreak/>
              <w:t>第四十一條   依第二十一條、第二十二條及第二十二條之一（依前條辦理之承銷案件除外）且全數以詢價圈購方式辦理之承銷案件，應於訂價及向本公會申報承銷契約後，辦理下列事項：</w:t>
            </w:r>
          </w:p>
          <w:p w14:paraId="5A32E218" w14:textId="61C3DC65" w:rsidR="00753FE1" w:rsidRPr="00B10447" w:rsidRDefault="00753FE1" w:rsidP="00753FE1">
            <w:pPr>
              <w:pStyle w:val="ab"/>
              <w:spacing w:before="60" w:after="60" w:line="360" w:lineRule="exact"/>
              <w:ind w:leftChars="100" w:left="562" w:hangingChars="134" w:hanging="322"/>
              <w:jc w:val="both"/>
              <w:rPr>
                <w:rFonts w:ascii="標楷體" w:eastAsia="標楷體" w:hAnsi="標楷體"/>
                <w:color w:val="000000"/>
                <w:szCs w:val="24"/>
              </w:rPr>
            </w:pPr>
            <w:r w:rsidRPr="00B10447">
              <w:rPr>
                <w:rFonts w:ascii="標楷體" w:eastAsia="標楷體" w:hAnsi="標楷體" w:hint="eastAsia"/>
                <w:color w:val="000000"/>
                <w:szCs w:val="24"/>
              </w:rPr>
              <w:t>一、~六、略。</w:t>
            </w:r>
          </w:p>
          <w:p w14:paraId="51B5D757" w14:textId="3E86F35C"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依第二十二條第六款辦理之承銷案件，免辦理前項第四款、第五款及第六款向證交所或櫃買中心申請上市或上櫃之規定。</w:t>
            </w:r>
          </w:p>
          <w:p w14:paraId="481309AF" w14:textId="7777777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第一項各款所定日期遇星期例假日或金融機關停止營業日得順延一天，其後續日期得併予順延。</w:t>
            </w:r>
          </w:p>
          <w:p w14:paraId="1D6759B1" w14:textId="7777777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第一項所述日期如有必要時，得報經本公會核准後變更之。</w:t>
            </w:r>
          </w:p>
          <w:p w14:paraId="20E889FC" w14:textId="7777777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已上市、上櫃公司、股票申請創新板初次上市及創新板 上市公司之特別股案件，除保留由公司員工承購部分外，其餘全數提出承銷且對外公開銷售部分全數辦理詢價圈購配售者，如公司員工承購部分能配合第一項繳款期</w:t>
            </w:r>
            <w:r w:rsidRPr="00B10447">
              <w:rPr>
                <w:rFonts w:ascii="標楷體" w:eastAsia="標楷體" w:hAnsi="標楷體" w:hint="eastAsia"/>
                <w:color w:val="000000"/>
                <w:szCs w:val="24"/>
              </w:rPr>
              <w:lastRenderedPageBreak/>
              <w:t>間繳款者，得適用第一項規定辦理。</w:t>
            </w:r>
          </w:p>
          <w:p w14:paraId="1402423F" w14:textId="7DBA0483"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依第二十一條、第二十二條第一項第一款至第三款及第五款、第二十二條之一第五款(普通公司債及依前條辦理之案件除外)辦理之承銷案件，</w:t>
            </w:r>
            <w:r w:rsidRPr="00B10447">
              <w:rPr>
                <w:rFonts w:ascii="標楷體" w:eastAsia="標楷體" w:hAnsi="標楷體"/>
                <w:color w:val="000000"/>
                <w:szCs w:val="24"/>
              </w:rPr>
              <w:t>圈購人遞交圈購單時，證券承銷商得向圈購人收取所圈購金額之</w:t>
            </w:r>
            <w:r w:rsidRPr="00B10447">
              <w:rPr>
                <w:rFonts w:ascii="標楷體" w:eastAsia="標楷體" w:hAnsi="標楷體" w:hint="eastAsia"/>
                <w:color w:val="000000"/>
                <w:szCs w:val="24"/>
              </w:rPr>
              <w:t>全部或部分價金為</w:t>
            </w:r>
            <w:r w:rsidRPr="00B10447">
              <w:rPr>
                <w:rFonts w:ascii="標楷體" w:eastAsia="標楷體" w:hAnsi="標楷體"/>
                <w:color w:val="000000"/>
                <w:szCs w:val="24"/>
              </w:rPr>
              <w:t>圈購保證金</w:t>
            </w:r>
            <w:r w:rsidRPr="00B10447">
              <w:rPr>
                <w:rFonts w:ascii="標楷體" w:eastAsia="標楷體" w:hAnsi="標楷體" w:hint="eastAsia"/>
                <w:color w:val="000000"/>
                <w:szCs w:val="24"/>
              </w:rPr>
              <w:t>。</w:t>
            </w:r>
          </w:p>
          <w:p w14:paraId="35B4191E" w14:textId="7777777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第一項第二款所稱未獲配售之圈購保證金，係指未獲配售之圈購人所繳圈購保證金，及獲配售圈購人所繳圈購保證金超過所配得有價證券應繳價款部分之保證金。</w:t>
            </w:r>
          </w:p>
          <w:p w14:paraId="59347082" w14:textId="77777777"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hint="eastAsia"/>
                <w:color w:val="000000"/>
                <w:szCs w:val="24"/>
              </w:rPr>
              <w:t>第一項第二款圈購人繳款應扣除依前項規定予以退款(或不予退款)後賸餘之圈購保證金後為之。認購人不如期履行繳款義務者，證券承銷商就該認購保證金得沒入之，並應依該認購人認購價款自行認購。</w:t>
            </w:r>
          </w:p>
          <w:p w14:paraId="621AFC51" w14:textId="4BCD188C" w:rsidR="00753FE1" w:rsidRPr="00B10447" w:rsidRDefault="00753FE1" w:rsidP="00753FE1">
            <w:pPr>
              <w:pStyle w:val="ab"/>
              <w:spacing w:before="60" w:after="60" w:line="360" w:lineRule="exact"/>
              <w:ind w:leftChars="100" w:left="240" w:firstLineChars="200" w:firstLine="480"/>
              <w:jc w:val="both"/>
              <w:rPr>
                <w:rFonts w:ascii="標楷體" w:eastAsia="標楷體" w:hAnsi="標楷體"/>
                <w:szCs w:val="24"/>
              </w:rPr>
            </w:pPr>
            <w:r w:rsidRPr="00B10447">
              <w:rPr>
                <w:rFonts w:ascii="標楷體" w:eastAsia="標楷體" w:hAnsi="標楷體" w:hint="eastAsia"/>
                <w:color w:val="000000"/>
                <w:szCs w:val="24"/>
              </w:rPr>
              <w:t>證券承銷商依第六項規定於收取圈購保證金時，應依信託方式於受託契約中明訂圈購人違約暨其損害賠償之處理。</w:t>
            </w:r>
          </w:p>
        </w:tc>
        <w:tc>
          <w:tcPr>
            <w:tcW w:w="2907" w:type="dxa"/>
          </w:tcPr>
          <w:p w14:paraId="6530D444" w14:textId="200BF794" w:rsidR="00753FE1" w:rsidRPr="00B10447" w:rsidRDefault="00753FE1" w:rsidP="00CF6FA5">
            <w:pPr>
              <w:pStyle w:val="ab"/>
              <w:spacing w:before="60" w:after="60" w:line="360" w:lineRule="exact"/>
              <w:jc w:val="both"/>
              <w:rPr>
                <w:rFonts w:ascii="標楷體" w:eastAsia="標楷體" w:hAnsi="標楷體"/>
                <w:color w:val="000000"/>
                <w:szCs w:val="24"/>
              </w:rPr>
            </w:pPr>
            <w:r w:rsidRPr="00B10447">
              <w:rPr>
                <w:rFonts w:ascii="標楷體" w:eastAsia="標楷體" w:hAnsi="標楷體" w:hint="eastAsia"/>
                <w:color w:val="000000"/>
                <w:szCs w:val="24"/>
              </w:rPr>
              <w:lastRenderedPageBreak/>
              <w:t>修正第六項，</w:t>
            </w:r>
            <w:r w:rsidR="00726405">
              <w:rPr>
                <w:rFonts w:ascii="標楷體" w:eastAsia="標楷體" w:hAnsi="標楷體" w:hint="eastAsia"/>
                <w:color w:val="000000"/>
                <w:szCs w:val="24"/>
              </w:rPr>
              <w:t>明訂</w:t>
            </w:r>
            <w:r w:rsidRPr="00B10447">
              <w:rPr>
                <w:rFonts w:ascii="標楷體" w:eastAsia="標楷體" w:hAnsi="標楷體" w:hint="eastAsia"/>
                <w:bCs/>
                <w:color w:val="000000"/>
                <w:szCs w:val="24"/>
              </w:rPr>
              <w:t>股票申請創新板初次上市案件，證券承銷商得向圈購人收取所圈購金額之全部或部分價金為圈購保證金。</w:t>
            </w:r>
          </w:p>
        </w:tc>
      </w:tr>
      <w:tr w:rsidR="00DA70AC" w:rsidRPr="00B10447" w14:paraId="3D705942" w14:textId="77777777" w:rsidTr="001447FB">
        <w:tc>
          <w:tcPr>
            <w:tcW w:w="2906" w:type="dxa"/>
          </w:tcPr>
          <w:p w14:paraId="3021E658" w14:textId="77777777" w:rsidR="00DA70AC" w:rsidRPr="00B10447" w:rsidRDefault="00DA70AC" w:rsidP="00DA70AC">
            <w:pPr>
              <w:pStyle w:val="ab"/>
              <w:spacing w:before="60" w:after="60" w:line="360" w:lineRule="exact"/>
              <w:ind w:left="284" w:hanging="284"/>
              <w:jc w:val="both"/>
              <w:rPr>
                <w:rFonts w:ascii="標楷體" w:eastAsia="標楷體" w:hAnsi="標楷體" w:cs="新細明體"/>
                <w:szCs w:val="24"/>
              </w:rPr>
            </w:pPr>
            <w:r w:rsidRPr="00B10447">
              <w:rPr>
                <w:rFonts w:ascii="標楷體" w:eastAsia="標楷體" w:hAnsi="標楷體" w:hint="eastAsia"/>
                <w:szCs w:val="24"/>
              </w:rPr>
              <w:lastRenderedPageBreak/>
              <w:t>第四十三條之一  證券承銷商受理詢價圈購之對象，除準用第三十五條之規定外，初次上市、上櫃、股票申請創新板初次上市、創新板上市公司轉列上市、上櫃公司及臺灣存託憑證初次發行之承銷案件，受理詢價圈購之對象，如有下列各款之人參與詢價圈購，應拒絕之，證券承銷商並應取得圈購人出具之符合</w:t>
            </w:r>
            <w:r w:rsidRPr="00B10447">
              <w:rPr>
                <w:rFonts w:ascii="標楷體" w:eastAsia="標楷體" w:hAnsi="標楷體" w:cs="新細明體" w:hint="eastAsia"/>
                <w:szCs w:val="24"/>
              </w:rPr>
              <w:t>銷售對象規定之聲明書：</w:t>
            </w:r>
          </w:p>
          <w:p w14:paraId="1F8E800F" w14:textId="7413BB45" w:rsidR="00DA70AC" w:rsidRPr="00B10447" w:rsidRDefault="00DA70AC" w:rsidP="00477631">
            <w:pPr>
              <w:pStyle w:val="HTML"/>
              <w:spacing w:line="340" w:lineRule="exact"/>
              <w:jc w:val="both"/>
              <w:rPr>
                <w:rFonts w:ascii="標楷體" w:eastAsia="標楷體" w:hAnsi="標楷體"/>
              </w:rPr>
            </w:pPr>
            <w:r w:rsidRPr="00B10447">
              <w:rPr>
                <w:rFonts w:ascii="標楷體" w:eastAsia="標楷體" w:hAnsi="標楷體" w:cs="Times New Roman" w:hint="eastAsia"/>
              </w:rPr>
              <w:t xml:space="preserve">  </w:t>
            </w:r>
            <w:r w:rsidRPr="00B10447">
              <w:rPr>
                <w:rFonts w:ascii="標楷體" w:eastAsia="標楷體" w:hAnsi="標楷體" w:hint="eastAsia"/>
              </w:rPr>
              <w:t>一、~十八、略。</w:t>
            </w:r>
          </w:p>
          <w:p w14:paraId="72522E3A" w14:textId="77777777" w:rsidR="00DA70AC" w:rsidRPr="00B10447" w:rsidRDefault="00DA70AC" w:rsidP="00DA70AC">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hint="eastAsia"/>
                <w:color w:val="000000"/>
                <w:szCs w:val="24"/>
              </w:rPr>
              <w:t>前項</w:t>
            </w:r>
            <w:r w:rsidRPr="00B10447">
              <w:rPr>
                <w:rFonts w:ascii="標楷體" w:eastAsia="標楷體" w:hAnsi="標楷體" w:cs="細明體" w:hint="eastAsia"/>
                <w:kern w:val="0"/>
                <w:szCs w:val="24"/>
              </w:rPr>
              <w:t>所稱合格投資人資格，係指符合以下條件之一者：</w:t>
            </w:r>
          </w:p>
          <w:p w14:paraId="55C4615A" w14:textId="77777777" w:rsidR="00DA70AC" w:rsidRPr="00B10447" w:rsidRDefault="00DA70AC" w:rsidP="00DA70AC">
            <w:pPr>
              <w:pStyle w:val="ab"/>
              <w:spacing w:before="60" w:after="60" w:line="360" w:lineRule="exact"/>
              <w:ind w:leftChars="100" w:left="660" w:hangingChars="175" w:hanging="420"/>
              <w:jc w:val="both"/>
              <w:rPr>
                <w:rFonts w:ascii="標楷體" w:eastAsia="標楷體" w:hAnsi="標楷體" w:cs="細明體"/>
                <w:kern w:val="0"/>
                <w:szCs w:val="24"/>
              </w:rPr>
            </w:pPr>
            <w:r w:rsidRPr="00B10447">
              <w:rPr>
                <w:rFonts w:ascii="標楷體" w:eastAsia="標楷體" w:hAnsi="標楷體" w:cs="細明體" w:hint="eastAsia"/>
                <w:kern w:val="0"/>
                <w:szCs w:val="24"/>
              </w:rPr>
              <w:t>一、符合「境外結構型商品管理規則」第三條第三項所訂之專業機構投資人、高淨值投資法人或符合一定條件以書面向受託或銷售機構申請為專業投資人之法人或基金。</w:t>
            </w:r>
          </w:p>
          <w:p w14:paraId="69D7A451" w14:textId="77777777" w:rsidR="00DA70AC" w:rsidRPr="00B10447" w:rsidRDefault="00DA70AC" w:rsidP="00DA70AC">
            <w:pPr>
              <w:pStyle w:val="ab"/>
              <w:spacing w:before="60" w:after="60" w:line="360" w:lineRule="exact"/>
              <w:ind w:leftChars="100" w:left="660" w:hangingChars="175" w:hanging="420"/>
              <w:jc w:val="both"/>
              <w:rPr>
                <w:rFonts w:ascii="標楷體" w:eastAsia="標楷體" w:hAnsi="標楷體" w:cs="細明體"/>
                <w:kern w:val="0"/>
                <w:szCs w:val="24"/>
              </w:rPr>
            </w:pPr>
            <w:r w:rsidRPr="00B10447">
              <w:rPr>
                <w:rFonts w:ascii="標楷體" w:eastAsia="標楷體" w:hAnsi="標楷體" w:cs="細明體" w:hint="eastAsia"/>
                <w:kern w:val="0"/>
                <w:szCs w:val="24"/>
              </w:rPr>
              <w:t>二、依法設立之創業投資事業。</w:t>
            </w:r>
          </w:p>
          <w:p w14:paraId="10C7A37A" w14:textId="77777777" w:rsidR="00DA70AC" w:rsidRPr="00B10447" w:rsidRDefault="00DA70AC" w:rsidP="00DA70AC">
            <w:pPr>
              <w:pStyle w:val="ab"/>
              <w:spacing w:before="60" w:after="60" w:line="360" w:lineRule="exact"/>
              <w:ind w:leftChars="100" w:left="660" w:hangingChars="175" w:hanging="420"/>
              <w:jc w:val="both"/>
              <w:rPr>
                <w:rFonts w:ascii="標楷體" w:eastAsia="標楷體" w:hAnsi="標楷體" w:cs="細明體"/>
                <w:kern w:val="0"/>
                <w:szCs w:val="24"/>
              </w:rPr>
            </w:pPr>
            <w:r w:rsidRPr="00B10447">
              <w:rPr>
                <w:rFonts w:ascii="標楷體" w:eastAsia="標楷體" w:hAnsi="標楷體" w:cs="細明體" w:hint="eastAsia"/>
                <w:kern w:val="0"/>
                <w:szCs w:val="24"/>
              </w:rPr>
              <w:t>三、具有兩年以上參與證券交易之投資經驗，且符合下列條件之一之自然人：</w:t>
            </w:r>
          </w:p>
          <w:p w14:paraId="55D72FF3" w14:textId="770E4A09" w:rsidR="00DA70AC" w:rsidRPr="00B10447" w:rsidRDefault="00477631" w:rsidP="00477631">
            <w:pPr>
              <w:pStyle w:val="ab"/>
              <w:spacing w:before="60" w:after="60" w:line="360" w:lineRule="exact"/>
              <w:ind w:leftChars="199" w:left="1066" w:hangingChars="245" w:hanging="588"/>
              <w:jc w:val="both"/>
              <w:rPr>
                <w:rFonts w:ascii="標楷體" w:eastAsia="標楷體" w:hAnsi="標楷體" w:cs="細明體"/>
                <w:kern w:val="0"/>
                <w:szCs w:val="24"/>
              </w:rPr>
            </w:pPr>
            <w:r w:rsidRPr="00B10447">
              <w:rPr>
                <w:rFonts w:ascii="標楷體" w:eastAsia="標楷體" w:hAnsi="標楷體" w:cs="細明體" w:hint="eastAsia"/>
                <w:kern w:val="0"/>
                <w:szCs w:val="24"/>
              </w:rPr>
              <w:t>(</w:t>
            </w:r>
            <w:r w:rsidR="00DA70AC" w:rsidRPr="00B10447">
              <w:rPr>
                <w:rFonts w:ascii="標楷體" w:eastAsia="標楷體" w:hAnsi="標楷體" w:cs="細明體" w:hint="eastAsia"/>
                <w:kern w:val="0"/>
                <w:szCs w:val="24"/>
              </w:rPr>
              <w:t>一</w:t>
            </w:r>
            <w:r w:rsidRPr="00B10447">
              <w:rPr>
                <w:rFonts w:ascii="標楷體" w:eastAsia="標楷體" w:hAnsi="標楷體" w:cs="細明體" w:hint="eastAsia"/>
                <w:kern w:val="0"/>
                <w:szCs w:val="24"/>
              </w:rPr>
              <w:t>)</w:t>
            </w:r>
            <w:r w:rsidR="00DA70AC" w:rsidRPr="00B10447">
              <w:rPr>
                <w:rFonts w:ascii="標楷體" w:eastAsia="標楷體" w:hAnsi="標楷體" w:cs="細明體" w:hint="eastAsia"/>
                <w:kern w:val="0"/>
                <w:szCs w:val="24"/>
                <w:u w:val="single"/>
              </w:rPr>
              <w:t>新臺幣</w:t>
            </w:r>
            <w:r w:rsidR="00DA70AC" w:rsidRPr="00B10447">
              <w:rPr>
                <w:rFonts w:ascii="標楷體" w:eastAsia="標楷體" w:hAnsi="標楷體" w:cs="細明體" w:hint="eastAsia"/>
                <w:kern w:val="0"/>
                <w:szCs w:val="24"/>
              </w:rPr>
              <w:t>一千萬元</w:t>
            </w:r>
            <w:r w:rsidR="00DA70AC" w:rsidRPr="00B10447">
              <w:rPr>
                <w:rFonts w:ascii="標楷體" w:eastAsia="標楷體" w:hAnsi="標楷體" w:cs="細明體" w:hint="eastAsia"/>
                <w:kern w:val="0"/>
                <w:szCs w:val="24"/>
                <w:u w:val="single"/>
              </w:rPr>
              <w:t>以上之財力證</w:t>
            </w:r>
            <w:r w:rsidR="00DA70AC" w:rsidRPr="00B10447">
              <w:rPr>
                <w:rFonts w:ascii="標楷體" w:eastAsia="標楷體" w:hAnsi="標楷體" w:cs="細明體" w:hint="eastAsia"/>
                <w:kern w:val="0"/>
                <w:szCs w:val="24"/>
                <w:u w:val="single"/>
              </w:rPr>
              <w:lastRenderedPageBreak/>
              <w:t>明。</w:t>
            </w:r>
          </w:p>
          <w:p w14:paraId="200C5334" w14:textId="606E41A1" w:rsidR="00DA70AC" w:rsidRPr="00B10447" w:rsidRDefault="00477631" w:rsidP="00477631">
            <w:pPr>
              <w:pStyle w:val="ab"/>
              <w:spacing w:before="60" w:after="60" w:line="360" w:lineRule="exact"/>
              <w:ind w:leftChars="199" w:left="1066" w:hangingChars="245" w:hanging="588"/>
              <w:jc w:val="both"/>
              <w:rPr>
                <w:rFonts w:ascii="標楷體" w:eastAsia="標楷體" w:hAnsi="標楷體" w:cs="細明體"/>
                <w:kern w:val="0"/>
                <w:szCs w:val="24"/>
              </w:rPr>
            </w:pPr>
            <w:r w:rsidRPr="00B10447">
              <w:rPr>
                <w:rFonts w:ascii="標楷體" w:eastAsia="標楷體" w:hAnsi="標楷體" w:cs="細明體" w:hint="eastAsia"/>
                <w:kern w:val="0"/>
                <w:szCs w:val="24"/>
              </w:rPr>
              <w:t>(</w:t>
            </w:r>
            <w:r w:rsidR="00DA70AC" w:rsidRPr="00B10447">
              <w:rPr>
                <w:rFonts w:ascii="標楷體" w:eastAsia="標楷體" w:hAnsi="標楷體" w:cs="細明體" w:hint="eastAsia"/>
                <w:kern w:val="0"/>
                <w:szCs w:val="24"/>
              </w:rPr>
              <w:t>二</w:t>
            </w:r>
            <w:r w:rsidRPr="00B10447">
              <w:rPr>
                <w:rFonts w:ascii="標楷體" w:eastAsia="標楷體" w:hAnsi="標楷體" w:cs="細明體" w:hint="eastAsia"/>
                <w:kern w:val="0"/>
                <w:szCs w:val="24"/>
              </w:rPr>
              <w:t>)</w:t>
            </w:r>
            <w:r w:rsidR="00DA70AC" w:rsidRPr="00B10447">
              <w:rPr>
                <w:rFonts w:ascii="標楷體" w:eastAsia="標楷體" w:hAnsi="標楷體" w:cs="細明體" w:hint="eastAsia"/>
                <w:kern w:val="0"/>
                <w:szCs w:val="24"/>
              </w:rPr>
              <w:t>最近兩年度平均所得達</w:t>
            </w:r>
            <w:r w:rsidR="00DA70AC" w:rsidRPr="00B10447">
              <w:rPr>
                <w:rFonts w:ascii="標楷體" w:eastAsia="標楷體" w:hAnsi="標楷體" w:cs="細明體" w:hint="eastAsia"/>
                <w:kern w:val="0"/>
                <w:szCs w:val="24"/>
                <w:u w:val="single"/>
              </w:rPr>
              <w:t>新臺幣</w:t>
            </w:r>
            <w:r w:rsidR="00DA70AC" w:rsidRPr="00B10447">
              <w:rPr>
                <w:rFonts w:ascii="標楷體" w:eastAsia="標楷體" w:hAnsi="標楷體" w:cs="細明體" w:hint="eastAsia"/>
                <w:kern w:val="0"/>
                <w:szCs w:val="24"/>
              </w:rPr>
              <w:t>一百五十萬元。</w:t>
            </w:r>
          </w:p>
          <w:p w14:paraId="13E0B1E2" w14:textId="6B3C0677" w:rsidR="00DA70AC" w:rsidRPr="00B10447" w:rsidRDefault="00DA70AC" w:rsidP="00DA70AC">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cs="細明體" w:hint="eastAsia"/>
                <w:kern w:val="0"/>
                <w:szCs w:val="24"/>
              </w:rPr>
              <w:t>證券商辦理已上市、上櫃公司現金增資或募集具股權性質之公司債或金融債或分離型附認股權特別股與分離型附認股權公司債其分離後之認股權，受理詢價圈購之對象準用第一項三款至第十五款及第十八款規定。</w:t>
            </w:r>
          </w:p>
          <w:p w14:paraId="2E14E339" w14:textId="77777777" w:rsidR="00DA70AC" w:rsidRPr="00B10447" w:rsidRDefault="00DA70AC" w:rsidP="00DA70AC">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cs="細明體" w:hint="eastAsia"/>
                <w:kern w:val="0"/>
                <w:szCs w:val="24"/>
              </w:rPr>
              <w:t>證券商辦理創新板上市公司前項所訂案件及戰略新板興櫃公司現金增資案件，受理詢價圈購之對象準用第一項第三款至第十五款、第十七款及第十八款規定。</w:t>
            </w:r>
          </w:p>
          <w:p w14:paraId="725DDD6B" w14:textId="77777777" w:rsidR="00DA70AC" w:rsidRPr="00B10447" w:rsidRDefault="00DA70AC" w:rsidP="00DA70AC">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cs="細明體" w:hint="eastAsia"/>
                <w:kern w:val="0"/>
                <w:szCs w:val="24"/>
              </w:rPr>
              <w:t>臺灣存託憑證再次發行之案件，受理詢價圈購之對象準用第一項第三款至第十六款及第十八款規定。</w:t>
            </w:r>
          </w:p>
          <w:p w14:paraId="1604384D" w14:textId="1FC08A65" w:rsidR="00DA70AC" w:rsidRPr="00B10447" w:rsidRDefault="00DA70AC" w:rsidP="00DA70AC">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cs="細明體" w:hint="eastAsia"/>
                <w:kern w:val="0"/>
                <w:szCs w:val="24"/>
              </w:rPr>
              <w:t>證券承銷商就配售後未繳款部分另洽特定人認購之對象，準用第一項至第五項之規定。</w:t>
            </w:r>
          </w:p>
          <w:p w14:paraId="0574BB1D" w14:textId="0E5DEBA6" w:rsidR="00DA70AC" w:rsidRPr="00B10447" w:rsidRDefault="00DA70AC" w:rsidP="00DA70AC">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cs="細明體" w:hint="eastAsia"/>
                <w:kern w:val="0"/>
                <w:szCs w:val="24"/>
              </w:rPr>
              <w:t>證券商辦理初次上市、上櫃、股票申請創新板初次上市、創新板上市公司轉列上市</w:t>
            </w:r>
            <w:r w:rsidRPr="00B10447">
              <w:rPr>
                <w:rFonts w:ascii="標楷體" w:eastAsia="標楷體" w:hAnsi="標楷體" w:hint="eastAsia"/>
                <w:szCs w:val="24"/>
              </w:rPr>
              <w:t>、</w:t>
            </w:r>
            <w:r w:rsidRPr="00B10447">
              <w:rPr>
                <w:rFonts w:ascii="標楷體" w:eastAsia="標楷體" w:hAnsi="標楷體" w:cs="細明體" w:hint="eastAsia"/>
                <w:kern w:val="0"/>
                <w:szCs w:val="24"/>
              </w:rPr>
              <w:t>上櫃</w:t>
            </w:r>
            <w:r w:rsidRPr="00B10447">
              <w:rPr>
                <w:rFonts w:ascii="標楷體" w:eastAsia="標楷體" w:hAnsi="標楷體" w:hint="eastAsia"/>
                <w:szCs w:val="24"/>
              </w:rPr>
              <w:t>公司及臺灣存託憑證初次發行之承銷案件，並</w:t>
            </w:r>
            <w:r w:rsidRPr="00B10447">
              <w:rPr>
                <w:rFonts w:ascii="標楷體" w:eastAsia="標楷體" w:hAnsi="標楷體" w:hint="eastAsia"/>
                <w:szCs w:val="24"/>
              </w:rPr>
              <w:lastRenderedPageBreak/>
              <w:t>應取得圈購人出具同意將圈購資料（包括匯款銀行及帳戶）提供予證交所、櫃買中心建檔，除供證券交易所、櫃買中心及證券主管機關監管及查核使用外將不</w:t>
            </w:r>
            <w:r w:rsidRPr="00B10447">
              <w:rPr>
                <w:rFonts w:ascii="標楷體" w:eastAsia="標楷體" w:hAnsi="標楷體" w:cs="新細明體" w:hint="eastAsia"/>
                <w:szCs w:val="24"/>
              </w:rPr>
              <w:t>對外公開之聲明書。</w:t>
            </w:r>
          </w:p>
        </w:tc>
        <w:tc>
          <w:tcPr>
            <w:tcW w:w="2906" w:type="dxa"/>
          </w:tcPr>
          <w:p w14:paraId="4700BD2C" w14:textId="77777777" w:rsidR="00824405" w:rsidRPr="00B10447" w:rsidRDefault="00824405" w:rsidP="00824405">
            <w:pPr>
              <w:pStyle w:val="ab"/>
              <w:spacing w:before="60" w:after="60" w:line="360" w:lineRule="exact"/>
              <w:ind w:left="284" w:hanging="284"/>
              <w:jc w:val="both"/>
              <w:rPr>
                <w:rFonts w:ascii="標楷體" w:eastAsia="標楷體" w:hAnsi="標楷體" w:cs="新細明體"/>
                <w:szCs w:val="24"/>
              </w:rPr>
            </w:pPr>
            <w:r w:rsidRPr="00B10447">
              <w:rPr>
                <w:rFonts w:ascii="標楷體" w:eastAsia="標楷體" w:hAnsi="標楷體" w:hint="eastAsia"/>
                <w:szCs w:val="24"/>
              </w:rPr>
              <w:lastRenderedPageBreak/>
              <w:t>第四十三條之一  證券承銷商受理詢價圈購之對象，除準用第三十五條之規定外，初次上市、上櫃、股票申請創新板初次上市、創新板上市公司轉列上市、上櫃公司及臺灣存託憑證初次發行之承銷案件，受理詢價圈購之對象，如有下列各款之人參與詢價圈購，應拒絕之，證券承銷商並應取得圈購人出具之符合</w:t>
            </w:r>
            <w:r w:rsidRPr="00B10447">
              <w:rPr>
                <w:rFonts w:ascii="標楷體" w:eastAsia="標楷體" w:hAnsi="標楷體" w:cs="新細明體" w:hint="eastAsia"/>
                <w:szCs w:val="24"/>
              </w:rPr>
              <w:t>銷售對象規定之聲明書：</w:t>
            </w:r>
          </w:p>
          <w:p w14:paraId="026628EA" w14:textId="77777777" w:rsidR="00824405" w:rsidRPr="00B10447" w:rsidRDefault="00824405" w:rsidP="00477631">
            <w:pPr>
              <w:pStyle w:val="HTML"/>
              <w:spacing w:line="340" w:lineRule="exact"/>
              <w:jc w:val="both"/>
              <w:rPr>
                <w:rFonts w:ascii="標楷體" w:eastAsia="標楷體" w:hAnsi="標楷體"/>
              </w:rPr>
            </w:pPr>
            <w:r w:rsidRPr="00B10447">
              <w:rPr>
                <w:rFonts w:ascii="標楷體" w:eastAsia="標楷體" w:hAnsi="標楷體" w:cs="Times New Roman" w:hint="eastAsia"/>
              </w:rPr>
              <w:t xml:space="preserve"> </w:t>
            </w:r>
            <w:r w:rsidRPr="00B10447">
              <w:rPr>
                <w:rFonts w:ascii="標楷體" w:eastAsia="標楷體" w:hAnsi="標楷體" w:hint="eastAsia"/>
              </w:rPr>
              <w:t xml:space="preserve"> 一、~十八、略。</w:t>
            </w:r>
          </w:p>
          <w:p w14:paraId="243C4A03" w14:textId="77777777" w:rsidR="00824405" w:rsidRPr="00B10447" w:rsidRDefault="00824405" w:rsidP="00824405">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hint="eastAsia"/>
                <w:color w:val="000000"/>
                <w:szCs w:val="24"/>
              </w:rPr>
              <w:t>前項</w:t>
            </w:r>
            <w:r w:rsidRPr="00B10447">
              <w:rPr>
                <w:rFonts w:ascii="標楷體" w:eastAsia="標楷體" w:hAnsi="標楷體" w:cs="細明體" w:hint="eastAsia"/>
                <w:kern w:val="0"/>
                <w:szCs w:val="24"/>
              </w:rPr>
              <w:t>所稱合格投資人資格，係指符合以下條件之一者：</w:t>
            </w:r>
          </w:p>
          <w:p w14:paraId="37F026FD" w14:textId="77777777" w:rsidR="00824405" w:rsidRPr="00B10447" w:rsidRDefault="00824405" w:rsidP="00824405">
            <w:pPr>
              <w:pStyle w:val="ab"/>
              <w:spacing w:before="60" w:after="60" w:line="360" w:lineRule="exact"/>
              <w:ind w:leftChars="100" w:left="660" w:hangingChars="175" w:hanging="420"/>
              <w:jc w:val="both"/>
              <w:rPr>
                <w:rFonts w:ascii="標楷體" w:eastAsia="標楷體" w:hAnsi="標楷體" w:cs="細明體"/>
                <w:kern w:val="0"/>
                <w:szCs w:val="24"/>
              </w:rPr>
            </w:pPr>
            <w:r w:rsidRPr="00B10447">
              <w:rPr>
                <w:rFonts w:ascii="標楷體" w:eastAsia="標楷體" w:hAnsi="標楷體" w:cs="細明體" w:hint="eastAsia"/>
                <w:kern w:val="0"/>
                <w:szCs w:val="24"/>
              </w:rPr>
              <w:t>一、符合「境外結構型商品管理規則」第三條第三項所訂之專業機構投資人、高淨值投資法人或符合一定條件以書面向受託或銷售機構申請為專業投資人之法人或基金。</w:t>
            </w:r>
          </w:p>
          <w:p w14:paraId="131496D9" w14:textId="77777777" w:rsidR="00824405" w:rsidRPr="00B10447" w:rsidRDefault="00824405" w:rsidP="00824405">
            <w:pPr>
              <w:pStyle w:val="ab"/>
              <w:spacing w:before="60" w:after="60" w:line="360" w:lineRule="exact"/>
              <w:ind w:leftChars="100" w:left="660" w:hangingChars="175" w:hanging="420"/>
              <w:jc w:val="both"/>
              <w:rPr>
                <w:rFonts w:ascii="標楷體" w:eastAsia="標楷體" w:hAnsi="標楷體" w:cs="細明體"/>
                <w:kern w:val="0"/>
                <w:szCs w:val="24"/>
              </w:rPr>
            </w:pPr>
            <w:r w:rsidRPr="00B10447">
              <w:rPr>
                <w:rFonts w:ascii="標楷體" w:eastAsia="標楷體" w:hAnsi="標楷體" w:cs="細明體" w:hint="eastAsia"/>
                <w:kern w:val="0"/>
                <w:szCs w:val="24"/>
              </w:rPr>
              <w:t>二、依法設立之創業投資事業。</w:t>
            </w:r>
          </w:p>
          <w:p w14:paraId="17EBBBA1" w14:textId="77777777" w:rsidR="00824405" w:rsidRPr="00B10447" w:rsidRDefault="00824405" w:rsidP="00824405">
            <w:pPr>
              <w:pStyle w:val="ab"/>
              <w:spacing w:before="60" w:after="60" w:line="360" w:lineRule="exact"/>
              <w:ind w:leftChars="100" w:left="660" w:hangingChars="175" w:hanging="420"/>
              <w:jc w:val="both"/>
              <w:rPr>
                <w:rFonts w:ascii="標楷體" w:eastAsia="標楷體" w:hAnsi="標楷體" w:cs="細明體"/>
                <w:kern w:val="0"/>
                <w:szCs w:val="24"/>
              </w:rPr>
            </w:pPr>
            <w:r w:rsidRPr="00B10447">
              <w:rPr>
                <w:rFonts w:ascii="標楷體" w:eastAsia="標楷體" w:hAnsi="標楷體" w:cs="細明體" w:hint="eastAsia"/>
                <w:kern w:val="0"/>
                <w:szCs w:val="24"/>
              </w:rPr>
              <w:t>三、具有兩年以上參與證券交易之投資經驗，且符合下列條件之一之自然人：</w:t>
            </w:r>
          </w:p>
          <w:p w14:paraId="4989DD30" w14:textId="448D5769" w:rsidR="00824405" w:rsidRPr="00B10447" w:rsidRDefault="00477631" w:rsidP="00477631">
            <w:pPr>
              <w:pStyle w:val="ab"/>
              <w:spacing w:before="60" w:after="60" w:line="360" w:lineRule="exact"/>
              <w:ind w:leftChars="199" w:left="1066" w:hangingChars="245" w:hanging="588"/>
              <w:jc w:val="both"/>
              <w:rPr>
                <w:rFonts w:ascii="標楷體" w:eastAsia="標楷體" w:hAnsi="標楷體" w:cs="細明體"/>
                <w:kern w:val="0"/>
                <w:szCs w:val="24"/>
              </w:rPr>
            </w:pPr>
            <w:r w:rsidRPr="00B10447">
              <w:rPr>
                <w:rFonts w:ascii="標楷體" w:eastAsia="標楷體" w:hAnsi="標楷體" w:cs="細明體" w:hint="eastAsia"/>
                <w:kern w:val="0"/>
                <w:szCs w:val="24"/>
              </w:rPr>
              <w:t>(一)</w:t>
            </w:r>
            <w:r w:rsidR="00CF6FA5" w:rsidRPr="00B10447">
              <w:rPr>
                <w:rFonts w:ascii="標楷體" w:eastAsia="標楷體" w:hAnsi="標楷體" w:cs="細明體" w:hint="eastAsia"/>
                <w:kern w:val="0"/>
                <w:szCs w:val="24"/>
                <w:u w:val="single"/>
              </w:rPr>
              <w:t>淨資產達</w:t>
            </w:r>
            <w:r w:rsidR="00CF6FA5" w:rsidRPr="00B10447">
              <w:rPr>
                <w:rFonts w:ascii="標楷體" w:eastAsia="標楷體" w:hAnsi="標楷體" w:cs="細明體" w:hint="eastAsia"/>
                <w:kern w:val="0"/>
                <w:szCs w:val="24"/>
              </w:rPr>
              <w:t>一千萬元。</w:t>
            </w:r>
          </w:p>
          <w:p w14:paraId="48F76223" w14:textId="25B77604" w:rsidR="00824405" w:rsidRPr="00B10447" w:rsidRDefault="00477631" w:rsidP="00477631">
            <w:pPr>
              <w:pStyle w:val="ab"/>
              <w:spacing w:before="60" w:after="60" w:line="360" w:lineRule="exact"/>
              <w:ind w:leftChars="199" w:left="1066" w:hangingChars="245" w:hanging="588"/>
              <w:jc w:val="both"/>
              <w:rPr>
                <w:rFonts w:ascii="標楷體" w:eastAsia="標楷體" w:hAnsi="標楷體" w:cs="細明體"/>
                <w:kern w:val="0"/>
                <w:szCs w:val="24"/>
              </w:rPr>
            </w:pPr>
            <w:r w:rsidRPr="00B10447">
              <w:rPr>
                <w:rFonts w:ascii="標楷體" w:eastAsia="標楷體" w:hAnsi="標楷體" w:cs="細明體" w:hint="eastAsia"/>
                <w:kern w:val="0"/>
                <w:szCs w:val="24"/>
              </w:rPr>
              <w:lastRenderedPageBreak/>
              <w:t>(二)</w:t>
            </w:r>
            <w:r w:rsidR="00CF6FA5" w:rsidRPr="00B10447">
              <w:rPr>
                <w:rFonts w:ascii="標楷體" w:eastAsia="標楷體" w:hAnsi="標楷體" w:cs="細明體" w:hint="eastAsia"/>
                <w:kern w:val="0"/>
                <w:szCs w:val="24"/>
              </w:rPr>
              <w:t>最近兩年度平均所得達一百五十萬元。</w:t>
            </w:r>
          </w:p>
          <w:p w14:paraId="557CC18A" w14:textId="4B1812AA" w:rsidR="00824405" w:rsidRPr="00B10447" w:rsidRDefault="00824405" w:rsidP="00824405">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cs="細明體" w:hint="eastAsia"/>
                <w:kern w:val="0"/>
                <w:szCs w:val="24"/>
              </w:rPr>
              <w:t>證券商辦理已上市、上櫃公司現金增資或募集具股權性質之公司債或金融債或分離型附認股權特別股與分離型附認股權公司債其分離後之認股權，受理詢價圈購之對象準用第一項三款至第十五款及第十八款規定。</w:t>
            </w:r>
          </w:p>
          <w:p w14:paraId="2E19A965" w14:textId="77777777" w:rsidR="00824405" w:rsidRPr="00B10447" w:rsidRDefault="00824405" w:rsidP="00824405">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cs="細明體" w:hint="eastAsia"/>
                <w:kern w:val="0"/>
                <w:szCs w:val="24"/>
              </w:rPr>
              <w:t>證券商辦理創新板上市公司前項所訂案件及戰略新板興櫃公司現金增資案件，受理詢價圈購之對象準用第一項第三款至第十五款、第十七款及第十八款規定。</w:t>
            </w:r>
          </w:p>
          <w:p w14:paraId="29844E80" w14:textId="77777777" w:rsidR="00824405" w:rsidRPr="00B10447" w:rsidRDefault="00824405" w:rsidP="00824405">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cs="細明體" w:hint="eastAsia"/>
                <w:kern w:val="0"/>
                <w:szCs w:val="24"/>
              </w:rPr>
              <w:t>臺灣存託憑證再次發行之案件，受理詢價圈購之對象準用第一項第三款至第十六款及第十八款規定。</w:t>
            </w:r>
          </w:p>
          <w:p w14:paraId="53C450ED" w14:textId="77777777" w:rsidR="00824405" w:rsidRPr="00B10447" w:rsidRDefault="00824405" w:rsidP="00824405">
            <w:pPr>
              <w:pStyle w:val="ab"/>
              <w:spacing w:before="60" w:after="60" w:line="360" w:lineRule="exact"/>
              <w:ind w:leftChars="100" w:left="240" w:firstLineChars="200" w:firstLine="480"/>
              <w:jc w:val="both"/>
              <w:rPr>
                <w:rFonts w:ascii="標楷體" w:eastAsia="標楷體" w:hAnsi="標楷體" w:cs="細明體"/>
                <w:kern w:val="0"/>
                <w:szCs w:val="24"/>
              </w:rPr>
            </w:pPr>
            <w:r w:rsidRPr="00B10447">
              <w:rPr>
                <w:rFonts w:ascii="標楷體" w:eastAsia="標楷體" w:hAnsi="標楷體" w:cs="細明體" w:hint="eastAsia"/>
                <w:kern w:val="0"/>
                <w:szCs w:val="24"/>
              </w:rPr>
              <w:t>證券承銷商就配售後未繳款部分另洽特定人認購之對象，準用第一項至第五項之規定。</w:t>
            </w:r>
          </w:p>
          <w:p w14:paraId="6A3AF2C4" w14:textId="2D61786E" w:rsidR="00DA70AC" w:rsidRPr="00B10447" w:rsidRDefault="00824405" w:rsidP="001447FB">
            <w:pPr>
              <w:pStyle w:val="ab"/>
              <w:spacing w:before="60" w:after="60" w:line="360" w:lineRule="exact"/>
              <w:ind w:leftChars="100" w:left="240" w:firstLineChars="200" w:firstLine="480"/>
              <w:jc w:val="both"/>
              <w:rPr>
                <w:rFonts w:ascii="標楷體" w:eastAsia="標楷體" w:hAnsi="標楷體"/>
                <w:color w:val="000000"/>
                <w:szCs w:val="24"/>
              </w:rPr>
            </w:pPr>
            <w:r w:rsidRPr="00B10447">
              <w:rPr>
                <w:rFonts w:ascii="標楷體" w:eastAsia="標楷體" w:hAnsi="標楷體" w:cs="細明體" w:hint="eastAsia"/>
                <w:kern w:val="0"/>
                <w:szCs w:val="24"/>
              </w:rPr>
              <w:t>證券商辦理初次上市、上櫃、股票申請創新板初次上市、創新板上市公司轉列上市</w:t>
            </w:r>
            <w:r w:rsidRPr="00B10447">
              <w:rPr>
                <w:rFonts w:ascii="標楷體" w:eastAsia="標楷體" w:hAnsi="標楷體" w:hint="eastAsia"/>
                <w:szCs w:val="24"/>
              </w:rPr>
              <w:t>、</w:t>
            </w:r>
            <w:r w:rsidRPr="00B10447">
              <w:rPr>
                <w:rFonts w:ascii="標楷體" w:eastAsia="標楷體" w:hAnsi="標楷體" w:cs="細明體" w:hint="eastAsia"/>
                <w:kern w:val="0"/>
                <w:szCs w:val="24"/>
              </w:rPr>
              <w:t>上櫃</w:t>
            </w:r>
            <w:r w:rsidRPr="00B10447">
              <w:rPr>
                <w:rFonts w:ascii="標楷體" w:eastAsia="標楷體" w:hAnsi="標楷體" w:hint="eastAsia"/>
                <w:szCs w:val="24"/>
              </w:rPr>
              <w:t>公司及臺灣存託憑證初次發行之承銷案件，並應取得圈購人出具同意</w:t>
            </w:r>
            <w:r w:rsidRPr="00B10447">
              <w:rPr>
                <w:rFonts w:ascii="標楷體" w:eastAsia="標楷體" w:hAnsi="標楷體" w:hint="eastAsia"/>
                <w:szCs w:val="24"/>
              </w:rPr>
              <w:lastRenderedPageBreak/>
              <w:t>將圈購資料（包括匯款銀行及帳戶）提供予證交所、櫃買中心建檔，除供證券交易所、櫃買中心及證券主管機關監管及查核使用外將不</w:t>
            </w:r>
            <w:r w:rsidRPr="00B10447">
              <w:rPr>
                <w:rFonts w:ascii="標楷體" w:eastAsia="標楷體" w:hAnsi="標楷體" w:cs="新細明體" w:hint="eastAsia"/>
                <w:szCs w:val="24"/>
              </w:rPr>
              <w:t>對外公開之聲明書。</w:t>
            </w:r>
          </w:p>
        </w:tc>
        <w:tc>
          <w:tcPr>
            <w:tcW w:w="2907" w:type="dxa"/>
          </w:tcPr>
          <w:p w14:paraId="728041FC" w14:textId="79BE2D09" w:rsidR="00DA70AC" w:rsidRPr="00B10447" w:rsidRDefault="00726405" w:rsidP="00CF6FA5">
            <w:pPr>
              <w:snapToGrid w:val="0"/>
              <w:spacing w:line="400" w:lineRule="atLeast"/>
              <w:ind w:leftChars="-1" w:left="20" w:hangingChars="9" w:hanging="22"/>
              <w:jc w:val="both"/>
              <w:rPr>
                <w:rFonts w:ascii="標楷體" w:eastAsia="標楷體" w:hAnsi="標楷體"/>
                <w:color w:val="000000"/>
                <w:szCs w:val="24"/>
              </w:rPr>
            </w:pPr>
            <w:r w:rsidRPr="00B10447">
              <w:rPr>
                <w:rFonts w:ascii="標楷體" w:eastAsia="標楷體" w:hAnsi="標楷體" w:cs="細明體" w:hint="eastAsia"/>
                <w:color w:val="000000"/>
                <w:kern w:val="0"/>
                <w:szCs w:val="24"/>
              </w:rPr>
              <w:lastRenderedPageBreak/>
              <w:t>考量投資人適格標準之一致性及證明文件檢核之難易度，</w:t>
            </w:r>
            <w:r w:rsidRPr="00B10447">
              <w:rPr>
                <w:rFonts w:ascii="標楷體" w:eastAsia="標楷體" w:hAnsi="標楷體" w:hint="eastAsia"/>
                <w:color w:val="000000"/>
                <w:szCs w:val="24"/>
              </w:rPr>
              <w:t>配合</w:t>
            </w:r>
            <w:r>
              <w:rPr>
                <w:rFonts w:ascii="標楷體" w:eastAsia="標楷體" w:hAnsi="標楷體" w:hint="eastAsia"/>
                <w:color w:val="000000"/>
                <w:szCs w:val="24"/>
              </w:rPr>
              <w:t>一百十一</w:t>
            </w:r>
            <w:r w:rsidRPr="00B10447">
              <w:rPr>
                <w:rFonts w:ascii="標楷體" w:eastAsia="標楷體" w:hAnsi="標楷體" w:hint="eastAsia"/>
                <w:color w:val="000000"/>
                <w:szCs w:val="24"/>
              </w:rPr>
              <w:t>年</w:t>
            </w:r>
            <w:r>
              <w:rPr>
                <w:rFonts w:ascii="標楷體" w:eastAsia="標楷體" w:hAnsi="標楷體" w:hint="eastAsia"/>
                <w:color w:val="000000"/>
                <w:szCs w:val="24"/>
              </w:rPr>
              <w:t>一</w:t>
            </w:r>
            <w:r w:rsidRPr="00B10447">
              <w:rPr>
                <w:rFonts w:ascii="標楷體" w:eastAsia="標楷體" w:hAnsi="標楷體" w:hint="eastAsia"/>
                <w:color w:val="000000"/>
                <w:szCs w:val="24"/>
              </w:rPr>
              <w:t>月</w:t>
            </w:r>
            <w:r>
              <w:rPr>
                <w:rFonts w:ascii="標楷體" w:eastAsia="標楷體" w:hAnsi="標楷體" w:hint="eastAsia"/>
                <w:color w:val="000000"/>
                <w:szCs w:val="24"/>
              </w:rPr>
              <w:t>二十七</w:t>
            </w:r>
            <w:r w:rsidRPr="00B10447">
              <w:rPr>
                <w:rFonts w:ascii="標楷體" w:eastAsia="標楷體" w:hAnsi="標楷體" w:hint="eastAsia"/>
                <w:color w:val="000000"/>
                <w:szCs w:val="24"/>
              </w:rPr>
              <w:t>日證交所營業細則第七十九條之二第二項及</w:t>
            </w:r>
            <w:r>
              <w:rPr>
                <w:rFonts w:ascii="標楷體" w:eastAsia="標楷體" w:hAnsi="標楷體" w:hint="eastAsia"/>
                <w:color w:val="000000"/>
                <w:szCs w:val="24"/>
              </w:rPr>
              <w:t>一百十一</w:t>
            </w:r>
            <w:r w:rsidRPr="00B10447">
              <w:rPr>
                <w:rFonts w:ascii="標楷體" w:eastAsia="標楷體" w:hAnsi="標楷體" w:hint="eastAsia"/>
                <w:color w:val="000000"/>
                <w:szCs w:val="24"/>
              </w:rPr>
              <w:t>年</w:t>
            </w:r>
            <w:r>
              <w:rPr>
                <w:rFonts w:ascii="標楷體" w:eastAsia="標楷體" w:hAnsi="標楷體" w:hint="eastAsia"/>
                <w:color w:val="000000"/>
                <w:szCs w:val="24"/>
              </w:rPr>
              <w:t>一</w:t>
            </w:r>
            <w:r w:rsidRPr="00B10447">
              <w:rPr>
                <w:rFonts w:ascii="標楷體" w:eastAsia="標楷體" w:hAnsi="標楷體" w:hint="eastAsia"/>
                <w:color w:val="000000"/>
                <w:szCs w:val="24"/>
              </w:rPr>
              <w:t>月</w:t>
            </w:r>
            <w:r>
              <w:rPr>
                <w:rFonts w:ascii="標楷體" w:eastAsia="標楷體" w:hAnsi="標楷體" w:hint="eastAsia"/>
                <w:color w:val="000000"/>
                <w:szCs w:val="24"/>
              </w:rPr>
              <w:t>二十八</w:t>
            </w:r>
            <w:r w:rsidRPr="00B10447">
              <w:rPr>
                <w:rFonts w:ascii="標楷體" w:eastAsia="標楷體" w:hAnsi="標楷體" w:hint="eastAsia"/>
                <w:color w:val="000000"/>
                <w:szCs w:val="24"/>
              </w:rPr>
              <w:t>日櫃買中心興櫃股票</w:t>
            </w:r>
            <w:r w:rsidRPr="00B10447">
              <w:rPr>
                <w:rFonts w:ascii="標楷體" w:eastAsia="標楷體" w:hAnsi="標楷體"/>
                <w:color w:val="000000"/>
                <w:szCs w:val="24"/>
              </w:rPr>
              <w:t>買賣辦法</w:t>
            </w:r>
            <w:r w:rsidRPr="00B10447">
              <w:rPr>
                <w:rFonts w:ascii="標楷體" w:eastAsia="標楷體" w:hAnsi="標楷體" w:hint="eastAsia"/>
                <w:color w:val="000000"/>
                <w:szCs w:val="24"/>
              </w:rPr>
              <w:t>第五十一條第二項修正規定，修正本條第二項第三款，</w:t>
            </w:r>
            <w:r w:rsidRPr="00B10447">
              <w:rPr>
                <w:rFonts w:ascii="標楷體" w:eastAsia="標楷體" w:hAnsi="標楷體" w:cs="細明體" w:hint="eastAsia"/>
                <w:color w:val="000000"/>
                <w:kern w:val="0"/>
                <w:szCs w:val="24"/>
              </w:rPr>
              <w:t>放寬合格投資人在自然人資產認定之限制，將自然人淨資產達一千萬元之條件，改</w:t>
            </w:r>
            <w:r>
              <w:rPr>
                <w:rFonts w:ascii="標楷體" w:eastAsia="標楷體" w:hAnsi="標楷體" w:cs="細明體" w:hint="eastAsia"/>
                <w:color w:val="000000"/>
                <w:kern w:val="0"/>
                <w:szCs w:val="24"/>
              </w:rPr>
              <w:t>為</w:t>
            </w:r>
            <w:r w:rsidRPr="00B10447">
              <w:rPr>
                <w:rFonts w:ascii="標楷體" w:eastAsia="標楷體" w:hAnsi="標楷體" w:cs="細明體" w:hint="eastAsia"/>
                <w:color w:val="000000"/>
                <w:kern w:val="0"/>
                <w:szCs w:val="24"/>
              </w:rPr>
              <w:t>財力證明認定。</w:t>
            </w:r>
          </w:p>
        </w:tc>
      </w:tr>
    </w:tbl>
    <w:p w14:paraId="14B4D09A" w14:textId="2D830C03" w:rsidR="00525021" w:rsidRPr="00477631" w:rsidRDefault="00525021" w:rsidP="00CF0680">
      <w:pPr>
        <w:snapToGrid w:val="0"/>
        <w:spacing w:line="360" w:lineRule="auto"/>
        <w:rPr>
          <w:rFonts w:ascii="標楷體" w:eastAsia="標楷體" w:hAnsi="標楷體" w:cs="Times New Roman"/>
          <w:color w:val="000000" w:themeColor="text1"/>
          <w:sz w:val="10"/>
          <w:szCs w:val="10"/>
          <w:lang w:eastAsia="zh-HK"/>
        </w:rPr>
      </w:pPr>
    </w:p>
    <w:sectPr w:rsidR="00525021" w:rsidRPr="00477631" w:rsidSect="00B10447">
      <w:footerReference w:type="default" r:id="rId7"/>
      <w:pgSz w:w="11906" w:h="16838"/>
      <w:pgMar w:top="1440" w:right="1800" w:bottom="1440" w:left="180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3CD0" w14:textId="77777777" w:rsidR="00910F72" w:rsidRDefault="00910F72" w:rsidP="00BB1C31">
      <w:r>
        <w:separator/>
      </w:r>
    </w:p>
  </w:endnote>
  <w:endnote w:type="continuationSeparator" w:id="0">
    <w:p w14:paraId="2983555A" w14:textId="77777777" w:rsidR="00910F72" w:rsidRDefault="00910F72" w:rsidP="00BB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865688"/>
      <w:docPartObj>
        <w:docPartGallery w:val="Page Numbers (Bottom of Page)"/>
        <w:docPartUnique/>
      </w:docPartObj>
    </w:sdtPr>
    <w:sdtEndPr>
      <w:rPr>
        <w:sz w:val="24"/>
        <w:szCs w:val="24"/>
      </w:rPr>
    </w:sdtEndPr>
    <w:sdtContent>
      <w:p w14:paraId="189BDF97" w14:textId="77CA3E7C" w:rsidR="00BB1C31" w:rsidRPr="00BB1C31" w:rsidRDefault="00BB1C31">
        <w:pPr>
          <w:pStyle w:val="a7"/>
          <w:jc w:val="center"/>
          <w:rPr>
            <w:sz w:val="24"/>
            <w:szCs w:val="24"/>
          </w:rPr>
        </w:pPr>
        <w:r w:rsidRPr="00BB1C31">
          <w:rPr>
            <w:sz w:val="24"/>
            <w:szCs w:val="24"/>
          </w:rPr>
          <w:fldChar w:fldCharType="begin"/>
        </w:r>
        <w:r w:rsidRPr="00BB1C31">
          <w:rPr>
            <w:sz w:val="24"/>
            <w:szCs w:val="24"/>
          </w:rPr>
          <w:instrText>PAGE   \* MERGEFORMAT</w:instrText>
        </w:r>
        <w:r w:rsidRPr="00BB1C31">
          <w:rPr>
            <w:sz w:val="24"/>
            <w:szCs w:val="24"/>
          </w:rPr>
          <w:fldChar w:fldCharType="separate"/>
        </w:r>
        <w:r w:rsidR="009C4382" w:rsidRPr="009C4382">
          <w:rPr>
            <w:noProof/>
            <w:sz w:val="24"/>
            <w:szCs w:val="24"/>
            <w:lang w:val="zh-TW"/>
          </w:rPr>
          <w:t>2</w:t>
        </w:r>
        <w:r w:rsidRPr="00BB1C31">
          <w:rPr>
            <w:sz w:val="24"/>
            <w:szCs w:val="24"/>
          </w:rPr>
          <w:fldChar w:fldCharType="end"/>
        </w:r>
      </w:p>
    </w:sdtContent>
  </w:sdt>
  <w:p w14:paraId="7AE4570F" w14:textId="77777777" w:rsidR="00BB1C31" w:rsidRPr="00BB1C31" w:rsidRDefault="00BB1C31">
    <w:pPr>
      <w:pStyle w:val="a7"/>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6183" w14:textId="77777777" w:rsidR="00910F72" w:rsidRDefault="00910F72" w:rsidP="00BB1C31">
      <w:r>
        <w:separator/>
      </w:r>
    </w:p>
  </w:footnote>
  <w:footnote w:type="continuationSeparator" w:id="0">
    <w:p w14:paraId="5798958A" w14:textId="77777777" w:rsidR="00910F72" w:rsidRDefault="00910F72" w:rsidP="00BB1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3095"/>
    <w:multiLevelType w:val="hybridMultilevel"/>
    <w:tmpl w:val="3CA61878"/>
    <w:lvl w:ilvl="0" w:tplc="32D2FB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8D14DD"/>
    <w:multiLevelType w:val="hybridMultilevel"/>
    <w:tmpl w:val="E0723B24"/>
    <w:lvl w:ilvl="0" w:tplc="1FC8AB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8F0B01"/>
    <w:multiLevelType w:val="hybridMultilevel"/>
    <w:tmpl w:val="468CC70C"/>
    <w:lvl w:ilvl="0" w:tplc="08DAF3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17061315">
    <w:abstractNumId w:val="0"/>
  </w:num>
  <w:num w:numId="2" w16cid:durableId="171796005">
    <w:abstractNumId w:val="1"/>
  </w:num>
  <w:num w:numId="3" w16cid:durableId="83672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BB"/>
    <w:rsid w:val="000740DB"/>
    <w:rsid w:val="000807F9"/>
    <w:rsid w:val="000A0367"/>
    <w:rsid w:val="000A05B7"/>
    <w:rsid w:val="000E13FA"/>
    <w:rsid w:val="00105783"/>
    <w:rsid w:val="001447FB"/>
    <w:rsid w:val="00150DEF"/>
    <w:rsid w:val="001802F9"/>
    <w:rsid w:val="001979EF"/>
    <w:rsid w:val="002550F1"/>
    <w:rsid w:val="00280335"/>
    <w:rsid w:val="002976BA"/>
    <w:rsid w:val="00297E55"/>
    <w:rsid w:val="002E4A7D"/>
    <w:rsid w:val="002F48FD"/>
    <w:rsid w:val="003A0299"/>
    <w:rsid w:val="003B3EE1"/>
    <w:rsid w:val="003F7FD4"/>
    <w:rsid w:val="0040100D"/>
    <w:rsid w:val="0047704F"/>
    <w:rsid w:val="00477631"/>
    <w:rsid w:val="00525021"/>
    <w:rsid w:val="005A5907"/>
    <w:rsid w:val="00667B26"/>
    <w:rsid w:val="006F24A3"/>
    <w:rsid w:val="00713231"/>
    <w:rsid w:val="00726405"/>
    <w:rsid w:val="00753FE1"/>
    <w:rsid w:val="007A4137"/>
    <w:rsid w:val="007B2222"/>
    <w:rsid w:val="00824405"/>
    <w:rsid w:val="00835AFD"/>
    <w:rsid w:val="00843147"/>
    <w:rsid w:val="00847090"/>
    <w:rsid w:val="008C208C"/>
    <w:rsid w:val="008F6209"/>
    <w:rsid w:val="00910F72"/>
    <w:rsid w:val="00923D54"/>
    <w:rsid w:val="00942489"/>
    <w:rsid w:val="00993EF5"/>
    <w:rsid w:val="009C4382"/>
    <w:rsid w:val="009D5F9F"/>
    <w:rsid w:val="00A02673"/>
    <w:rsid w:val="00A91956"/>
    <w:rsid w:val="00AB5D66"/>
    <w:rsid w:val="00AE7D07"/>
    <w:rsid w:val="00B10447"/>
    <w:rsid w:val="00B828B6"/>
    <w:rsid w:val="00BB1C31"/>
    <w:rsid w:val="00BD5280"/>
    <w:rsid w:val="00C05AB7"/>
    <w:rsid w:val="00C07A7A"/>
    <w:rsid w:val="00C20ECF"/>
    <w:rsid w:val="00C51819"/>
    <w:rsid w:val="00CC0796"/>
    <w:rsid w:val="00CC3D67"/>
    <w:rsid w:val="00CF0680"/>
    <w:rsid w:val="00CF6FA5"/>
    <w:rsid w:val="00D14227"/>
    <w:rsid w:val="00D66828"/>
    <w:rsid w:val="00DA70AC"/>
    <w:rsid w:val="00DC48D4"/>
    <w:rsid w:val="00DC69EF"/>
    <w:rsid w:val="00DD696C"/>
    <w:rsid w:val="00DF23C4"/>
    <w:rsid w:val="00E11104"/>
    <w:rsid w:val="00E364AE"/>
    <w:rsid w:val="00E508FC"/>
    <w:rsid w:val="00E62B5E"/>
    <w:rsid w:val="00E7715E"/>
    <w:rsid w:val="00E77340"/>
    <w:rsid w:val="00E827BB"/>
    <w:rsid w:val="00EB3B14"/>
    <w:rsid w:val="00FB7F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1B02D"/>
  <w15:chartTrackingRefBased/>
  <w15:docId w15:val="{85DB89E5-2922-4665-B1E2-954509AE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227"/>
    <w:pPr>
      <w:ind w:leftChars="200" w:left="480"/>
    </w:pPr>
  </w:style>
  <w:style w:type="paragraph" w:styleId="HTML">
    <w:name w:val="HTML Preformatted"/>
    <w:basedOn w:val="a"/>
    <w:link w:val="HTML0"/>
    <w:uiPriority w:val="99"/>
    <w:unhideWhenUsed/>
    <w:rsid w:val="00A91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91956"/>
    <w:rPr>
      <w:rFonts w:ascii="細明體" w:eastAsia="細明體" w:hAnsi="細明體" w:cs="細明體"/>
      <w:kern w:val="0"/>
      <w:szCs w:val="24"/>
    </w:rPr>
  </w:style>
  <w:style w:type="paragraph" w:styleId="a5">
    <w:name w:val="header"/>
    <w:basedOn w:val="a"/>
    <w:link w:val="a6"/>
    <w:uiPriority w:val="99"/>
    <w:unhideWhenUsed/>
    <w:rsid w:val="00BB1C31"/>
    <w:pPr>
      <w:tabs>
        <w:tab w:val="center" w:pos="4153"/>
        <w:tab w:val="right" w:pos="8306"/>
      </w:tabs>
      <w:snapToGrid w:val="0"/>
    </w:pPr>
    <w:rPr>
      <w:sz w:val="20"/>
      <w:szCs w:val="20"/>
    </w:rPr>
  </w:style>
  <w:style w:type="character" w:customStyle="1" w:styleId="a6">
    <w:name w:val="頁首 字元"/>
    <w:basedOn w:val="a0"/>
    <w:link w:val="a5"/>
    <w:uiPriority w:val="99"/>
    <w:rsid w:val="00BB1C31"/>
    <w:rPr>
      <w:sz w:val="20"/>
      <w:szCs w:val="20"/>
    </w:rPr>
  </w:style>
  <w:style w:type="paragraph" w:styleId="a7">
    <w:name w:val="footer"/>
    <w:basedOn w:val="a"/>
    <w:link w:val="a8"/>
    <w:uiPriority w:val="99"/>
    <w:unhideWhenUsed/>
    <w:rsid w:val="00BB1C31"/>
    <w:pPr>
      <w:tabs>
        <w:tab w:val="center" w:pos="4153"/>
        <w:tab w:val="right" w:pos="8306"/>
      </w:tabs>
      <w:snapToGrid w:val="0"/>
    </w:pPr>
    <w:rPr>
      <w:sz w:val="20"/>
      <w:szCs w:val="20"/>
    </w:rPr>
  </w:style>
  <w:style w:type="character" w:customStyle="1" w:styleId="a8">
    <w:name w:val="頁尾 字元"/>
    <w:basedOn w:val="a0"/>
    <w:link w:val="a7"/>
    <w:uiPriority w:val="99"/>
    <w:rsid w:val="00BB1C31"/>
    <w:rPr>
      <w:sz w:val="20"/>
      <w:szCs w:val="20"/>
    </w:rPr>
  </w:style>
  <w:style w:type="paragraph" w:styleId="a9">
    <w:name w:val="Balloon Text"/>
    <w:basedOn w:val="a"/>
    <w:link w:val="aa"/>
    <w:uiPriority w:val="99"/>
    <w:semiHidden/>
    <w:unhideWhenUsed/>
    <w:rsid w:val="000A05B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A05B7"/>
    <w:rPr>
      <w:rFonts w:asciiTheme="majorHAnsi" w:eastAsiaTheme="majorEastAsia" w:hAnsiTheme="majorHAnsi" w:cstheme="majorBidi"/>
      <w:sz w:val="18"/>
      <w:szCs w:val="18"/>
    </w:rPr>
  </w:style>
  <w:style w:type="paragraph" w:styleId="ab">
    <w:name w:val="Plain Text"/>
    <w:basedOn w:val="a"/>
    <w:link w:val="ac"/>
    <w:rsid w:val="00CF0680"/>
    <w:rPr>
      <w:rFonts w:ascii="細明體" w:eastAsia="細明體" w:hAnsi="Courier New" w:cs="Times New Roman"/>
      <w:szCs w:val="20"/>
    </w:rPr>
  </w:style>
  <w:style w:type="character" w:customStyle="1" w:styleId="ac">
    <w:name w:val="純文字 字元"/>
    <w:basedOn w:val="a0"/>
    <w:link w:val="ab"/>
    <w:rsid w:val="00CF0680"/>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6874">
      <w:bodyDiv w:val="1"/>
      <w:marLeft w:val="0"/>
      <w:marRight w:val="0"/>
      <w:marTop w:val="0"/>
      <w:marBottom w:val="0"/>
      <w:divBdr>
        <w:top w:val="none" w:sz="0" w:space="0" w:color="auto"/>
        <w:left w:val="none" w:sz="0" w:space="0" w:color="auto"/>
        <w:bottom w:val="none" w:sz="0" w:space="0" w:color="auto"/>
        <w:right w:val="none" w:sz="0" w:space="0" w:color="auto"/>
      </w:divBdr>
    </w:div>
    <w:div w:id="675956236">
      <w:bodyDiv w:val="1"/>
      <w:marLeft w:val="0"/>
      <w:marRight w:val="0"/>
      <w:marTop w:val="0"/>
      <w:marBottom w:val="0"/>
      <w:divBdr>
        <w:top w:val="none" w:sz="0" w:space="0" w:color="auto"/>
        <w:left w:val="none" w:sz="0" w:space="0" w:color="auto"/>
        <w:bottom w:val="none" w:sz="0" w:space="0" w:color="auto"/>
        <w:right w:val="none" w:sz="0" w:space="0" w:color="auto"/>
      </w:divBdr>
    </w:div>
    <w:div w:id="932081261">
      <w:bodyDiv w:val="1"/>
      <w:marLeft w:val="0"/>
      <w:marRight w:val="0"/>
      <w:marTop w:val="0"/>
      <w:marBottom w:val="0"/>
      <w:divBdr>
        <w:top w:val="none" w:sz="0" w:space="0" w:color="auto"/>
        <w:left w:val="none" w:sz="0" w:space="0" w:color="auto"/>
        <w:bottom w:val="none" w:sz="0" w:space="0" w:color="auto"/>
        <w:right w:val="none" w:sz="0" w:space="0" w:color="auto"/>
      </w:divBdr>
    </w:div>
    <w:div w:id="1279989240">
      <w:bodyDiv w:val="1"/>
      <w:marLeft w:val="0"/>
      <w:marRight w:val="0"/>
      <w:marTop w:val="0"/>
      <w:marBottom w:val="0"/>
      <w:divBdr>
        <w:top w:val="none" w:sz="0" w:space="0" w:color="auto"/>
        <w:left w:val="none" w:sz="0" w:space="0" w:color="auto"/>
        <w:bottom w:val="none" w:sz="0" w:space="0" w:color="auto"/>
        <w:right w:val="none" w:sz="0" w:space="0" w:color="auto"/>
      </w:divBdr>
    </w:div>
    <w:div w:id="1519857302">
      <w:bodyDiv w:val="1"/>
      <w:marLeft w:val="0"/>
      <w:marRight w:val="0"/>
      <w:marTop w:val="0"/>
      <w:marBottom w:val="0"/>
      <w:divBdr>
        <w:top w:val="none" w:sz="0" w:space="0" w:color="auto"/>
        <w:left w:val="none" w:sz="0" w:space="0" w:color="auto"/>
        <w:bottom w:val="none" w:sz="0" w:space="0" w:color="auto"/>
        <w:right w:val="none" w:sz="0" w:space="0" w:color="auto"/>
      </w:divBdr>
    </w:div>
    <w:div w:id="1798527650">
      <w:bodyDiv w:val="1"/>
      <w:marLeft w:val="0"/>
      <w:marRight w:val="0"/>
      <w:marTop w:val="0"/>
      <w:marBottom w:val="0"/>
      <w:divBdr>
        <w:top w:val="none" w:sz="0" w:space="0" w:color="auto"/>
        <w:left w:val="none" w:sz="0" w:space="0" w:color="auto"/>
        <w:bottom w:val="none" w:sz="0" w:space="0" w:color="auto"/>
        <w:right w:val="none" w:sz="0" w:space="0" w:color="auto"/>
      </w:divBdr>
    </w:div>
    <w:div w:id="1798987818">
      <w:bodyDiv w:val="1"/>
      <w:marLeft w:val="0"/>
      <w:marRight w:val="0"/>
      <w:marTop w:val="0"/>
      <w:marBottom w:val="0"/>
      <w:divBdr>
        <w:top w:val="none" w:sz="0" w:space="0" w:color="auto"/>
        <w:left w:val="none" w:sz="0" w:space="0" w:color="auto"/>
        <w:bottom w:val="none" w:sz="0" w:space="0" w:color="auto"/>
        <w:right w:val="none" w:sz="0" w:space="0" w:color="auto"/>
      </w:divBdr>
    </w:div>
    <w:div w:id="18429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3</cp:revision>
  <cp:lastPrinted>2022-03-16T06:31:00Z</cp:lastPrinted>
  <dcterms:created xsi:type="dcterms:W3CDTF">2022-06-01T11:10:00Z</dcterms:created>
  <dcterms:modified xsi:type="dcterms:W3CDTF">2022-06-01T11:11:00Z</dcterms:modified>
</cp:coreProperties>
</file>