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6F" w:rsidRPr="000C5451" w:rsidRDefault="00D62D6F" w:rsidP="00163F81">
      <w:pPr>
        <w:ind w:firstLineChars="50" w:firstLine="160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bookmarkStart w:id="0" w:name="_GoBack"/>
      <w:bookmarkEnd w:id="0"/>
      <w:r w:rsidRPr="000C5451">
        <w:rPr>
          <w:rFonts w:ascii="標楷體" w:eastAsia="標楷體" w:hAnsi="標楷體" w:cs="DFKaiShu-SB-Estd-BF" w:hint="eastAsia"/>
          <w:kern w:val="0"/>
          <w:sz w:val="32"/>
          <w:szCs w:val="32"/>
        </w:rPr>
        <w:t>第</w:t>
      </w:r>
      <w:r w:rsidR="00CC525C">
        <w:rPr>
          <w:rFonts w:ascii="標楷體" w:eastAsia="標楷體" w:hAnsi="標楷體" w:cs="DFKaiShu-SB-Estd-BF" w:hint="eastAsia"/>
          <w:kern w:val="0"/>
          <w:sz w:val="32"/>
          <w:szCs w:val="32"/>
        </w:rPr>
        <w:t>三</w:t>
      </w:r>
      <w:r w:rsidRPr="000C5451">
        <w:rPr>
          <w:rFonts w:ascii="標楷體" w:eastAsia="標楷體" w:hAnsi="標楷體" w:cs="DFKaiShu-SB-Estd-BF" w:hint="eastAsia"/>
          <w:kern w:val="0"/>
          <w:sz w:val="32"/>
          <w:szCs w:val="32"/>
        </w:rPr>
        <w:t>次「</w:t>
      </w:r>
      <w:r w:rsidR="00826243">
        <w:rPr>
          <w:rFonts w:ascii="標楷體" w:eastAsia="標楷體" w:hAnsi="標楷體" w:cs="DFKaiShu-SB-Estd-BF" w:hint="eastAsia"/>
          <w:kern w:val="0"/>
          <w:sz w:val="32"/>
          <w:szCs w:val="32"/>
        </w:rPr>
        <w:t>國際證券業務分公司</w:t>
      </w:r>
      <w:r w:rsidRPr="000C5451">
        <w:rPr>
          <w:rFonts w:ascii="標楷體" w:eastAsia="標楷體" w:hAnsi="標楷體" w:cs="DFKaiShu-SB-Estd-BF" w:hint="eastAsia"/>
          <w:kern w:val="0"/>
          <w:sz w:val="32"/>
          <w:szCs w:val="32"/>
        </w:rPr>
        <w:t>會計制度範本」修訂總說明</w:t>
      </w:r>
    </w:p>
    <w:p w:rsidR="00D62D6F" w:rsidRPr="000C5451" w:rsidRDefault="00826243" w:rsidP="00600C1C">
      <w:pPr>
        <w:pStyle w:val="ac"/>
        <w:rPr>
          <w:snapToGrid w:val="0"/>
          <w:color w:val="000000"/>
        </w:rPr>
      </w:pPr>
      <w:r>
        <w:rPr>
          <w:rFonts w:hint="eastAsia"/>
          <w:sz w:val="23"/>
          <w:szCs w:val="23"/>
        </w:rPr>
        <w:t>國際證券業務分公司</w:t>
      </w:r>
      <w:r w:rsidR="00B86C4F" w:rsidRPr="000C5451">
        <w:rPr>
          <w:rFonts w:ascii="標楷體" w:hAnsi="標楷體" w:hint="eastAsia"/>
          <w:color w:val="000000"/>
        </w:rPr>
        <w:t>會計制度範本自</w:t>
      </w:r>
      <w:r>
        <w:rPr>
          <w:rFonts w:hint="eastAsia"/>
          <w:snapToGrid w:val="0"/>
          <w:color w:val="000000"/>
        </w:rPr>
        <w:t>一○三</w:t>
      </w:r>
      <w:r w:rsidR="00B86C4F" w:rsidRPr="000C5451">
        <w:rPr>
          <w:rFonts w:ascii="標楷體" w:hAnsi="標楷體" w:hint="eastAsia"/>
          <w:color w:val="000000"/>
        </w:rPr>
        <w:t>年</w:t>
      </w:r>
      <w:r>
        <w:rPr>
          <w:rFonts w:ascii="標楷體" w:hAnsi="標楷體" w:hint="eastAsia"/>
          <w:color w:val="000000"/>
        </w:rPr>
        <w:t>九</w:t>
      </w:r>
      <w:r w:rsidR="00B86C4F" w:rsidRPr="000C5451">
        <w:rPr>
          <w:rFonts w:ascii="標楷體" w:hAnsi="標楷體" w:hint="eastAsia"/>
          <w:color w:val="000000"/>
        </w:rPr>
        <w:t>月公布，為</w:t>
      </w:r>
      <w:r w:rsidR="00B86C4F" w:rsidRPr="000C5451">
        <w:rPr>
          <w:rFonts w:hint="eastAsia"/>
          <w:snapToGrid w:val="0"/>
          <w:color w:val="000000"/>
        </w:rPr>
        <w:t>配合</w:t>
      </w:r>
      <w:r w:rsidR="00CC525C" w:rsidRPr="00915239">
        <w:rPr>
          <w:rFonts w:hint="eastAsia"/>
        </w:rPr>
        <w:t>國際財務報導準則第九號「金融工具」、國際財務報導準則第十五號「客戶合約之收入」等公報規定修訂</w:t>
      </w:r>
      <w:r w:rsidR="00B86C4F" w:rsidRPr="000C5451">
        <w:rPr>
          <w:rFonts w:ascii="標楷體" w:hAnsi="標楷體" w:hint="eastAsia"/>
          <w:color w:val="000000"/>
        </w:rPr>
        <w:t>，</w:t>
      </w:r>
      <w:proofErr w:type="gramStart"/>
      <w:r w:rsidR="00B86C4F" w:rsidRPr="000C5451">
        <w:rPr>
          <w:rFonts w:ascii="標楷體" w:hAnsi="標楷體" w:hint="eastAsia"/>
          <w:color w:val="000000"/>
        </w:rPr>
        <w:t>冀藉本</w:t>
      </w:r>
      <w:proofErr w:type="gramEnd"/>
      <w:r w:rsidR="00B86C4F" w:rsidRPr="000C5451">
        <w:rPr>
          <w:rFonts w:ascii="標楷體" w:hAnsi="標楷體" w:hint="eastAsia"/>
          <w:color w:val="000000"/>
        </w:rPr>
        <w:t>次修改，使</w:t>
      </w:r>
      <w:r>
        <w:rPr>
          <w:rFonts w:hint="eastAsia"/>
          <w:snapToGrid w:val="0"/>
          <w:color w:val="000000"/>
        </w:rPr>
        <w:t>國際證券業務分公司</w:t>
      </w:r>
      <w:r w:rsidR="00B86C4F" w:rsidRPr="000C5451">
        <w:rPr>
          <w:rFonts w:ascii="標楷體" w:hAnsi="標楷體" w:hint="eastAsia"/>
          <w:color w:val="000000"/>
        </w:rPr>
        <w:t>相關業務之會計處理有一適切之規範遵循。</w:t>
      </w:r>
    </w:p>
    <w:p w:rsidR="00163F81" w:rsidRPr="000C5451" w:rsidRDefault="00D62D6F" w:rsidP="00163F81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0C5451">
        <w:rPr>
          <w:rFonts w:ascii="標楷體" w:eastAsia="標楷體" w:hAnsi="標楷體" w:hint="eastAsia"/>
          <w:color w:val="000000"/>
          <w:szCs w:val="24"/>
        </w:rPr>
        <w:t>修正內容依據之法令及相關規定如下：</w:t>
      </w:r>
    </w:p>
    <w:p w:rsidR="00CC525C" w:rsidRPr="00EF08F3" w:rsidRDefault="00CC525C" w:rsidP="00CC525C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color w:val="000000"/>
          <w:szCs w:val="24"/>
        </w:rPr>
      </w:pPr>
      <w:r w:rsidRPr="00EF08F3">
        <w:rPr>
          <w:rFonts w:ascii="Times New Roman" w:eastAsia="標楷體" w:hAnsi="Times New Roman"/>
          <w:snapToGrid w:val="0"/>
        </w:rPr>
        <w:t>依</w:t>
      </w:r>
      <w:r w:rsidRPr="00EF08F3">
        <w:rPr>
          <w:rFonts w:ascii="Times New Roman" w:eastAsia="標楷體" w:hAnsi="Times New Roman"/>
          <w:snapToGrid w:val="0"/>
        </w:rPr>
        <w:t>106</w:t>
      </w:r>
      <w:r w:rsidRPr="00EF08F3">
        <w:rPr>
          <w:rFonts w:ascii="Times New Roman" w:eastAsia="標楷體" w:hAnsi="Times New Roman"/>
          <w:snapToGrid w:val="0"/>
        </w:rPr>
        <w:t>年</w:t>
      </w:r>
      <w:r w:rsidRPr="00EF08F3">
        <w:rPr>
          <w:rFonts w:ascii="Times New Roman" w:eastAsia="標楷體" w:hAnsi="Times New Roman"/>
          <w:snapToGrid w:val="0"/>
        </w:rPr>
        <w:t>9</w:t>
      </w:r>
      <w:r w:rsidRPr="00EF08F3">
        <w:rPr>
          <w:rFonts w:ascii="Times New Roman" w:eastAsia="標楷體" w:hAnsi="Times New Roman"/>
          <w:snapToGrid w:val="0"/>
        </w:rPr>
        <w:t>月公告</w:t>
      </w:r>
      <w:r w:rsidRPr="00EF08F3">
        <w:rPr>
          <w:rFonts w:ascii="Times New Roman" w:eastAsia="標楷體" w:hAnsi="Times New Roman"/>
          <w:snapToGrid w:val="0"/>
        </w:rPr>
        <w:t>-</w:t>
      </w:r>
      <w:r w:rsidRPr="00EF08F3">
        <w:rPr>
          <w:rFonts w:ascii="Times New Roman" w:eastAsia="標楷體" w:hAnsi="Times New Roman"/>
          <w:snapToGrid w:val="0"/>
        </w:rPr>
        <w:t>自</w:t>
      </w:r>
      <w:r w:rsidRPr="00EF08F3">
        <w:rPr>
          <w:rFonts w:ascii="Times New Roman" w:eastAsia="標楷體" w:hAnsi="Times New Roman"/>
          <w:snapToGrid w:val="0"/>
        </w:rPr>
        <w:t>107</w:t>
      </w:r>
      <w:r w:rsidRPr="00EF08F3">
        <w:rPr>
          <w:rFonts w:ascii="Times New Roman" w:eastAsia="標楷體" w:hAnsi="Times New Roman"/>
          <w:snapToGrid w:val="0"/>
        </w:rPr>
        <w:t>年</w:t>
      </w:r>
      <w:r w:rsidRPr="00EF08F3">
        <w:rPr>
          <w:rFonts w:ascii="Times New Roman" w:eastAsia="標楷體" w:hAnsi="Times New Roman"/>
          <w:snapToGrid w:val="0"/>
        </w:rPr>
        <w:t>1</w:t>
      </w:r>
      <w:r w:rsidRPr="00EF08F3">
        <w:rPr>
          <w:rFonts w:ascii="Times New Roman" w:eastAsia="標楷體" w:hAnsi="Times New Roman"/>
          <w:snapToGrid w:val="0"/>
        </w:rPr>
        <w:t>月開始適用之證券商月計表修正</w:t>
      </w:r>
      <w:r w:rsidRPr="00EF08F3">
        <w:rPr>
          <w:rFonts w:ascii="Times New Roman" w:eastAsia="標楷體" w:hAnsi="Times New Roman"/>
          <w:bCs/>
          <w:color w:val="000000"/>
          <w:szCs w:val="24"/>
        </w:rPr>
        <w:t>會計項目及會計處理。</w:t>
      </w:r>
    </w:p>
    <w:p w:rsidR="00CC525C" w:rsidRPr="00EF08F3" w:rsidRDefault="00CC525C" w:rsidP="00CC525C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bCs/>
          <w:color w:val="000000"/>
          <w:szCs w:val="24"/>
        </w:rPr>
      </w:pPr>
      <w:r w:rsidRPr="00EF08F3">
        <w:rPr>
          <w:rFonts w:ascii="標楷體" w:eastAsia="標楷體" w:hAnsi="標楷體" w:hint="eastAsia"/>
        </w:rPr>
        <w:t>國際財務報導準則第九號「金融工具」</w:t>
      </w:r>
      <w:r w:rsidRPr="00EF08F3">
        <w:rPr>
          <w:rFonts w:ascii="標楷體" w:eastAsia="標楷體" w:hAnsi="標楷體" w:hint="eastAsia"/>
          <w:bCs/>
          <w:color w:val="000000"/>
          <w:szCs w:val="24"/>
        </w:rPr>
        <w:t>修正</w:t>
      </w:r>
      <w:r w:rsidRPr="00EF08F3">
        <w:rPr>
          <w:rFonts w:ascii="標楷體" w:eastAsia="標楷體" w:hAnsi="標楷體"/>
          <w:bCs/>
          <w:color w:val="000000"/>
          <w:szCs w:val="24"/>
        </w:rPr>
        <w:t>會計處理</w:t>
      </w:r>
      <w:r w:rsidRPr="00EF08F3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D62D6F" w:rsidRPr="000C5451" w:rsidRDefault="00CC525C" w:rsidP="00CC525C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bCs/>
          <w:color w:val="000000"/>
          <w:szCs w:val="24"/>
        </w:rPr>
      </w:pPr>
      <w:r w:rsidRPr="00EF08F3">
        <w:rPr>
          <w:rFonts w:ascii="標楷體" w:eastAsia="標楷體" w:hAnsi="標楷體" w:hint="eastAsia"/>
        </w:rPr>
        <w:t>國際財務報導準則第十五號「客戶合約之收入」</w:t>
      </w:r>
      <w:r w:rsidRPr="00EF08F3">
        <w:rPr>
          <w:rFonts w:ascii="標楷體" w:eastAsia="標楷體" w:hAnsi="標楷體" w:hint="eastAsia"/>
          <w:bCs/>
          <w:color w:val="000000"/>
          <w:szCs w:val="24"/>
        </w:rPr>
        <w:t>修正</w:t>
      </w:r>
      <w:r w:rsidRPr="00EF08F3">
        <w:rPr>
          <w:rFonts w:ascii="標楷體" w:eastAsia="標楷體" w:hAnsi="標楷體"/>
          <w:bCs/>
          <w:color w:val="000000"/>
          <w:szCs w:val="24"/>
        </w:rPr>
        <w:t>會計處理</w:t>
      </w:r>
      <w:r w:rsidRPr="00EF08F3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1C0A7C" w:rsidRPr="000C5451" w:rsidRDefault="001C0A7C" w:rsidP="001C0A7C">
      <w:pPr>
        <w:pStyle w:val="a3"/>
        <w:ind w:leftChars="0"/>
        <w:rPr>
          <w:rFonts w:ascii="標楷體" w:eastAsia="標楷體" w:hAnsi="標楷體"/>
          <w:color w:val="000000"/>
          <w:szCs w:val="24"/>
        </w:rPr>
      </w:pPr>
    </w:p>
    <w:p w:rsidR="00D62D6F" w:rsidRPr="000C5451" w:rsidRDefault="00D62D6F" w:rsidP="00B427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5451">
        <w:rPr>
          <w:rFonts w:ascii="標楷體" w:eastAsia="標楷體" w:hAnsi="標楷體" w:hint="eastAsia"/>
          <w:szCs w:val="24"/>
        </w:rPr>
        <w:t>總說明</w:t>
      </w:r>
    </w:p>
    <w:p w:rsidR="006E1FFD" w:rsidRPr="000C5451" w:rsidRDefault="00CC525C" w:rsidP="006E1FFD">
      <w:pPr>
        <w:pStyle w:val="a3"/>
        <w:ind w:leftChars="0" w:left="1065"/>
        <w:rPr>
          <w:rFonts w:ascii="標楷體" w:eastAsia="標楷體" w:hAnsi="標楷體"/>
        </w:rPr>
      </w:pPr>
      <w:r w:rsidRPr="00EF08F3">
        <w:rPr>
          <w:rFonts w:ascii="標楷體" w:eastAsia="標楷體" w:hAnsi="標楷體" w:hint="eastAsia"/>
          <w:snapToGrid w:val="0"/>
          <w:color w:val="000000"/>
        </w:rPr>
        <w:t>配合</w:t>
      </w:r>
      <w:r w:rsidRPr="00EF08F3">
        <w:rPr>
          <w:rFonts w:ascii="標楷體" w:eastAsia="標楷體" w:hAnsi="標楷體" w:hint="eastAsia"/>
        </w:rPr>
        <w:t>國際財務報導準則第九號「金融工具」、國際財務報導準則第十五號「客戶合約之收入」等公報規定修訂</w:t>
      </w:r>
      <w:r w:rsidRPr="00EF08F3">
        <w:rPr>
          <w:rFonts w:ascii="標楷體" w:eastAsia="標楷體" w:hAnsi="標楷體" w:hint="eastAsia"/>
          <w:snapToGrid w:val="0"/>
          <w:color w:val="000000"/>
        </w:rPr>
        <w:t>予以</w:t>
      </w:r>
      <w:r w:rsidRPr="00EF08F3">
        <w:rPr>
          <w:rFonts w:ascii="標楷體" w:eastAsia="標楷體" w:hAnsi="標楷體" w:hint="eastAsia"/>
          <w:color w:val="000000"/>
        </w:rPr>
        <w:t>修改</w:t>
      </w:r>
      <w:r w:rsidRPr="000C5451">
        <w:rPr>
          <w:rFonts w:eastAsia="標楷體" w:hint="eastAsia"/>
          <w:color w:val="000000"/>
        </w:rPr>
        <w:t>。</w:t>
      </w:r>
    </w:p>
    <w:p w:rsidR="00D62D6F" w:rsidRPr="000C5451" w:rsidRDefault="00D62D6F" w:rsidP="00B427AB">
      <w:pPr>
        <w:pStyle w:val="a3"/>
        <w:ind w:leftChars="0" w:left="1065"/>
        <w:rPr>
          <w:rFonts w:ascii="標楷體" w:eastAsia="標楷體" w:hAnsi="標楷體"/>
        </w:rPr>
      </w:pPr>
    </w:p>
    <w:p w:rsidR="00D62D6F" w:rsidRPr="000C5451" w:rsidRDefault="00D62D6F" w:rsidP="00B427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5451">
        <w:rPr>
          <w:rFonts w:ascii="標楷體" w:eastAsia="標楷體" w:hAnsi="標楷體" w:hint="eastAsia"/>
          <w:szCs w:val="24"/>
        </w:rPr>
        <w:t>會計項目</w:t>
      </w:r>
    </w:p>
    <w:p w:rsidR="00CC525C" w:rsidRPr="000C5451" w:rsidRDefault="00CC525C" w:rsidP="00CC525C">
      <w:pPr>
        <w:pStyle w:val="a3"/>
        <w:ind w:leftChars="0" w:left="1065"/>
        <w:rPr>
          <w:rFonts w:ascii="標楷體" w:eastAsia="標楷體" w:hAnsi="標楷體"/>
          <w:szCs w:val="24"/>
        </w:rPr>
      </w:pPr>
      <w:r w:rsidRPr="00EF08F3">
        <w:rPr>
          <w:rFonts w:ascii="Times New Roman" w:eastAsia="標楷體" w:hAnsi="Times New Roman"/>
          <w:snapToGrid w:val="0"/>
        </w:rPr>
        <w:t>依</w:t>
      </w:r>
      <w:r w:rsidRPr="00EF08F3">
        <w:rPr>
          <w:rFonts w:ascii="Times New Roman" w:eastAsia="標楷體" w:hAnsi="Times New Roman"/>
          <w:snapToGrid w:val="0"/>
        </w:rPr>
        <w:t>106</w:t>
      </w:r>
      <w:r w:rsidRPr="00EF08F3">
        <w:rPr>
          <w:rFonts w:ascii="Times New Roman" w:eastAsia="標楷體" w:hAnsi="Times New Roman"/>
          <w:snapToGrid w:val="0"/>
        </w:rPr>
        <w:t>年</w:t>
      </w:r>
      <w:r w:rsidRPr="00EF08F3">
        <w:rPr>
          <w:rFonts w:ascii="Times New Roman" w:eastAsia="標楷體" w:hAnsi="Times New Roman"/>
          <w:snapToGrid w:val="0"/>
        </w:rPr>
        <w:t>9</w:t>
      </w:r>
      <w:r w:rsidRPr="00EF08F3">
        <w:rPr>
          <w:rFonts w:ascii="Times New Roman" w:eastAsia="標楷體" w:hAnsi="Times New Roman"/>
          <w:snapToGrid w:val="0"/>
        </w:rPr>
        <w:t>月公告</w:t>
      </w:r>
      <w:r w:rsidRPr="00EF08F3">
        <w:rPr>
          <w:rFonts w:ascii="Times New Roman" w:eastAsia="標楷體" w:hAnsi="Times New Roman"/>
          <w:snapToGrid w:val="0"/>
        </w:rPr>
        <w:t>-</w:t>
      </w:r>
      <w:r w:rsidRPr="00EF08F3">
        <w:rPr>
          <w:rFonts w:ascii="Times New Roman" w:eastAsia="標楷體" w:hAnsi="Times New Roman"/>
          <w:snapToGrid w:val="0"/>
        </w:rPr>
        <w:t>自</w:t>
      </w:r>
      <w:r w:rsidRPr="00EF08F3">
        <w:rPr>
          <w:rFonts w:ascii="Times New Roman" w:eastAsia="標楷體" w:hAnsi="Times New Roman"/>
          <w:snapToGrid w:val="0"/>
        </w:rPr>
        <w:t>107</w:t>
      </w:r>
      <w:r w:rsidRPr="00EF08F3">
        <w:rPr>
          <w:rFonts w:ascii="Times New Roman" w:eastAsia="標楷體" w:hAnsi="Times New Roman"/>
          <w:snapToGrid w:val="0"/>
        </w:rPr>
        <w:t>年</w:t>
      </w:r>
      <w:r w:rsidRPr="00EF08F3">
        <w:rPr>
          <w:rFonts w:ascii="Times New Roman" w:eastAsia="標楷體" w:hAnsi="Times New Roman"/>
          <w:snapToGrid w:val="0"/>
        </w:rPr>
        <w:t>1</w:t>
      </w:r>
      <w:r w:rsidRPr="00EF08F3">
        <w:rPr>
          <w:rFonts w:ascii="Times New Roman" w:eastAsia="標楷體" w:hAnsi="Times New Roman"/>
          <w:snapToGrid w:val="0"/>
        </w:rPr>
        <w:t>月開始適用之證券商月計表</w:t>
      </w:r>
      <w:r w:rsidRPr="000C5451">
        <w:rPr>
          <w:rFonts w:ascii="標楷體" w:eastAsia="標楷體" w:hAnsi="標楷體" w:hint="eastAsia"/>
          <w:bCs/>
          <w:color w:val="000000"/>
          <w:szCs w:val="24"/>
        </w:rPr>
        <w:t>格式修正</w:t>
      </w:r>
      <w:r w:rsidRPr="000C5451">
        <w:rPr>
          <w:rFonts w:ascii="標楷體" w:eastAsia="標楷體" w:hAnsi="標楷體"/>
          <w:bCs/>
          <w:color w:val="000000"/>
          <w:szCs w:val="24"/>
        </w:rPr>
        <w:t>會計項目</w:t>
      </w:r>
      <w:r w:rsidRPr="000C5451">
        <w:rPr>
          <w:rFonts w:ascii="新細明體" w:hAnsi="新細明體" w:hint="eastAsia"/>
          <w:bCs/>
          <w:color w:val="000000"/>
          <w:szCs w:val="24"/>
        </w:rPr>
        <w:t>、</w:t>
      </w:r>
      <w:r w:rsidRPr="000C5451">
        <w:rPr>
          <w:rFonts w:ascii="標楷體" w:eastAsia="標楷體" w:hAnsi="標楷體" w:hint="eastAsia"/>
          <w:bCs/>
          <w:color w:val="000000"/>
          <w:szCs w:val="24"/>
        </w:rPr>
        <w:t>編號及說明</w:t>
      </w:r>
      <w:r w:rsidRPr="000C5451">
        <w:rPr>
          <w:rFonts w:ascii="標楷體" w:eastAsia="標楷體" w:hAnsi="標楷體" w:hint="eastAsia"/>
          <w:szCs w:val="24"/>
        </w:rPr>
        <w:t>。</w:t>
      </w:r>
    </w:p>
    <w:p w:rsidR="000954FB" w:rsidRPr="000C5451" w:rsidRDefault="00CC525C" w:rsidP="00CC525C">
      <w:pPr>
        <w:pStyle w:val="a3"/>
        <w:numPr>
          <w:ilvl w:val="0"/>
          <w:numId w:val="9"/>
        </w:numPr>
        <w:tabs>
          <w:tab w:val="clear" w:pos="340"/>
          <w:tab w:val="num" w:pos="1405"/>
        </w:tabs>
        <w:ind w:leftChars="0" w:left="1405"/>
        <w:rPr>
          <w:rFonts w:ascii="Times New Roman" w:eastAsia="標楷體" w:hAnsi="Times New Roman"/>
          <w:color w:val="000000"/>
          <w:szCs w:val="24"/>
        </w:rPr>
      </w:pPr>
      <w:r w:rsidRPr="000C5451">
        <w:rPr>
          <w:rFonts w:ascii="標楷體" w:eastAsia="標楷體" w:hAnsi="標楷體" w:hint="eastAsia"/>
          <w:snapToGrid w:val="0"/>
          <w:color w:val="000000"/>
        </w:rPr>
        <w:t>會計項目因應適用</w:t>
      </w:r>
      <w:r w:rsidRPr="00EF08F3">
        <w:rPr>
          <w:rFonts w:ascii="標楷體" w:eastAsia="標楷體" w:hAnsi="標楷體" w:hint="eastAsia"/>
        </w:rPr>
        <w:t>國際財務報導準則第九號「金融工具」、國際財務報導準則第十五號「客戶合約之收入」等公報規定</w:t>
      </w:r>
      <w:r w:rsidRPr="000C5451">
        <w:rPr>
          <w:rFonts w:ascii="Times New Roman" w:eastAsia="標楷體" w:hAnsi="Times New Roman" w:hint="eastAsia"/>
          <w:snapToGrid w:val="0"/>
          <w:color w:val="000000"/>
        </w:rPr>
        <w:t>而予以修</w:t>
      </w:r>
      <w:r>
        <w:rPr>
          <w:rFonts w:ascii="Times New Roman" w:eastAsia="標楷體" w:hAnsi="Times New Roman" w:hint="eastAsia"/>
          <w:snapToGrid w:val="0"/>
          <w:color w:val="000000"/>
        </w:rPr>
        <w:t>訂</w:t>
      </w:r>
      <w:r w:rsidRPr="000C5451">
        <w:rPr>
          <w:rFonts w:ascii="Times New Roman" w:eastAsia="標楷體" w:hAnsi="Times New Roman" w:hint="eastAsia"/>
          <w:snapToGrid w:val="0"/>
          <w:color w:val="000000"/>
        </w:rPr>
        <w:t>。</w:t>
      </w:r>
    </w:p>
    <w:p w:rsidR="000954FB" w:rsidRPr="000C5451" w:rsidRDefault="000954FB" w:rsidP="000954FB">
      <w:pPr>
        <w:ind w:left="1065"/>
        <w:rPr>
          <w:rFonts w:ascii="Times New Roman" w:eastAsia="標楷體" w:hAnsi="標楷體"/>
          <w:color w:val="000000"/>
          <w:szCs w:val="24"/>
        </w:rPr>
      </w:pPr>
    </w:p>
    <w:p w:rsidR="00D62D6F" w:rsidRPr="000C5451" w:rsidRDefault="00D62D6F" w:rsidP="00B427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5451">
        <w:rPr>
          <w:rFonts w:ascii="標楷體" w:eastAsia="標楷體" w:hAnsi="標楷體" w:hint="eastAsia"/>
          <w:szCs w:val="24"/>
        </w:rPr>
        <w:t>會計憑證</w:t>
      </w:r>
    </w:p>
    <w:p w:rsidR="00D62D6F" w:rsidRPr="000C5451" w:rsidRDefault="006E1FFD" w:rsidP="00115A32">
      <w:pPr>
        <w:pStyle w:val="a3"/>
        <w:ind w:leftChars="0" w:left="1065"/>
        <w:rPr>
          <w:rFonts w:eastAsia="標楷體"/>
          <w:color w:val="000000"/>
        </w:rPr>
      </w:pPr>
      <w:r w:rsidRPr="000C5451">
        <w:rPr>
          <w:rFonts w:eastAsia="標楷體" w:hint="eastAsia"/>
          <w:color w:val="000000"/>
        </w:rPr>
        <w:t>未</w:t>
      </w:r>
      <w:r w:rsidR="00D62D6F" w:rsidRPr="000C5451">
        <w:rPr>
          <w:rFonts w:eastAsia="標楷體" w:hint="eastAsia"/>
          <w:color w:val="000000"/>
        </w:rPr>
        <w:t>修改。</w:t>
      </w:r>
    </w:p>
    <w:p w:rsidR="000954FB" w:rsidRPr="000C5451" w:rsidRDefault="000954FB" w:rsidP="00115A32">
      <w:pPr>
        <w:pStyle w:val="a3"/>
        <w:ind w:leftChars="0" w:left="1065"/>
        <w:rPr>
          <w:rFonts w:ascii="標楷體" w:eastAsia="標楷體" w:hAnsi="標楷體"/>
        </w:rPr>
      </w:pPr>
    </w:p>
    <w:p w:rsidR="00D62D6F" w:rsidRPr="000C5451" w:rsidRDefault="00D62D6F" w:rsidP="00B427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5451">
        <w:rPr>
          <w:rFonts w:ascii="標楷體" w:eastAsia="標楷體" w:hAnsi="標楷體" w:hint="eastAsia"/>
          <w:szCs w:val="24"/>
        </w:rPr>
        <w:t>會計簿籍</w:t>
      </w:r>
    </w:p>
    <w:p w:rsidR="00D62D6F" w:rsidRPr="000C5451" w:rsidRDefault="006E1FFD" w:rsidP="00115A32">
      <w:pPr>
        <w:pStyle w:val="a3"/>
        <w:ind w:leftChars="0" w:left="1065"/>
        <w:rPr>
          <w:rFonts w:eastAsia="標楷體"/>
          <w:color w:val="000000"/>
        </w:rPr>
      </w:pPr>
      <w:r w:rsidRPr="000C5451">
        <w:rPr>
          <w:rFonts w:ascii="標楷體" w:eastAsia="標楷體" w:hAnsi="標楷體" w:hint="eastAsia"/>
          <w:szCs w:val="24"/>
        </w:rPr>
        <w:t>未</w:t>
      </w:r>
      <w:r w:rsidR="00D62D6F" w:rsidRPr="000C5451">
        <w:rPr>
          <w:rFonts w:eastAsia="標楷體" w:hint="eastAsia"/>
          <w:color w:val="000000"/>
        </w:rPr>
        <w:t>修改。</w:t>
      </w:r>
    </w:p>
    <w:p w:rsidR="000954FB" w:rsidRPr="000C5451" w:rsidRDefault="000954FB" w:rsidP="00115A32">
      <w:pPr>
        <w:pStyle w:val="a3"/>
        <w:ind w:leftChars="0" w:left="1065"/>
        <w:rPr>
          <w:rFonts w:ascii="標楷體" w:eastAsia="標楷體" w:hAnsi="標楷體"/>
        </w:rPr>
      </w:pPr>
    </w:p>
    <w:p w:rsidR="00D62D6F" w:rsidRPr="000C5451" w:rsidRDefault="00D62D6F" w:rsidP="00B427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5451">
        <w:rPr>
          <w:rFonts w:ascii="標楷體" w:eastAsia="標楷體" w:hAnsi="標楷體" w:hint="eastAsia"/>
          <w:szCs w:val="24"/>
        </w:rPr>
        <w:t>會計報告</w:t>
      </w:r>
    </w:p>
    <w:p w:rsidR="00D62D6F" w:rsidRPr="00A700C4" w:rsidRDefault="00A700C4" w:rsidP="00CE3FDF">
      <w:pPr>
        <w:pStyle w:val="a3"/>
        <w:ind w:leftChars="0" w:left="1065"/>
        <w:jc w:val="both"/>
        <w:rPr>
          <w:rFonts w:ascii="標楷體" w:eastAsia="標楷體" w:hAnsi="標楷體"/>
        </w:rPr>
      </w:pPr>
      <w:r w:rsidRPr="00A700C4">
        <w:rPr>
          <w:rFonts w:ascii="標楷體" w:eastAsia="標楷體" w:hAnsi="標楷體" w:hint="eastAsia"/>
        </w:rPr>
        <w:t>依據</w:t>
      </w:r>
      <w:bookmarkStart w:id="1" w:name="1060818"/>
      <w:bookmarkEnd w:id="1"/>
      <w:r w:rsidRPr="00A700C4">
        <w:rPr>
          <w:rFonts w:ascii="Times New Roman" w:eastAsia="標楷體" w:hAnsi="Times New Roman"/>
          <w:snapToGrid w:val="0"/>
        </w:rPr>
        <w:t>106</w:t>
      </w:r>
      <w:r w:rsidRPr="00A700C4">
        <w:rPr>
          <w:rFonts w:ascii="標楷體" w:eastAsia="標楷體" w:hAnsi="標楷體" w:hint="eastAsia"/>
        </w:rPr>
        <w:t>年</w:t>
      </w:r>
      <w:r w:rsidRPr="00A700C4">
        <w:rPr>
          <w:rFonts w:ascii="Times New Roman" w:eastAsia="標楷體" w:hAnsi="Times New Roman"/>
          <w:snapToGrid w:val="0"/>
        </w:rPr>
        <w:t>08</w:t>
      </w:r>
      <w:r w:rsidRPr="00A700C4">
        <w:rPr>
          <w:rFonts w:ascii="標楷體" w:eastAsia="標楷體" w:hAnsi="標楷體" w:hint="eastAsia"/>
        </w:rPr>
        <w:t>月</w:t>
      </w:r>
      <w:r w:rsidRPr="00A700C4">
        <w:rPr>
          <w:rFonts w:ascii="Times New Roman" w:eastAsia="標楷體" w:hAnsi="Times New Roman"/>
          <w:snapToGrid w:val="0"/>
        </w:rPr>
        <w:t>18</w:t>
      </w:r>
      <w:r w:rsidRPr="00A700C4">
        <w:rPr>
          <w:rFonts w:ascii="標楷體" w:eastAsia="標楷體" w:hAnsi="標楷體" w:hint="eastAsia"/>
        </w:rPr>
        <w:t>日修正之國際證券業務分公司管理辦法第</w:t>
      </w:r>
      <w:r w:rsidRPr="00A700C4">
        <w:rPr>
          <w:rFonts w:ascii="標楷體" w:eastAsia="標楷體" w:hAnsi="標楷體"/>
        </w:rPr>
        <w:t>5</w:t>
      </w:r>
      <w:r w:rsidRPr="00A700C4">
        <w:rPr>
          <w:rFonts w:ascii="標楷體" w:eastAsia="標楷體" w:hAnsi="標楷體" w:hint="eastAsia"/>
        </w:rPr>
        <w:t>條規定修訂</w:t>
      </w:r>
      <w:r>
        <w:rPr>
          <w:rFonts w:ascii="標楷體" w:eastAsia="標楷體" w:hAnsi="標楷體" w:hint="eastAsia"/>
        </w:rPr>
        <w:t>。</w:t>
      </w:r>
    </w:p>
    <w:p w:rsidR="000954FB" w:rsidRPr="000C5451" w:rsidRDefault="000954FB" w:rsidP="00CE3FDF">
      <w:pPr>
        <w:pStyle w:val="a3"/>
        <w:ind w:leftChars="0" w:left="1065"/>
        <w:jc w:val="both"/>
        <w:rPr>
          <w:rFonts w:ascii="Times New Roman" w:eastAsia="標楷體" w:hAnsi="Times New Roman"/>
          <w:color w:val="000000"/>
          <w:szCs w:val="24"/>
        </w:rPr>
      </w:pPr>
    </w:p>
    <w:p w:rsidR="00D62D6F" w:rsidRPr="000C5451" w:rsidRDefault="00D62D6F" w:rsidP="00B427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5451">
        <w:rPr>
          <w:rFonts w:ascii="標楷體" w:eastAsia="標楷體" w:hAnsi="標楷體" w:hint="eastAsia"/>
          <w:szCs w:val="24"/>
        </w:rPr>
        <w:t>會計事務處理準則</w:t>
      </w:r>
    </w:p>
    <w:p w:rsidR="00D62D6F" w:rsidRPr="00CC525C" w:rsidRDefault="00CC525C" w:rsidP="000954FB">
      <w:pPr>
        <w:pStyle w:val="a3"/>
        <w:ind w:leftChars="0" w:left="1065"/>
        <w:rPr>
          <w:rFonts w:eastAsia="標楷體"/>
          <w:color w:val="000000"/>
        </w:rPr>
      </w:pPr>
      <w:r w:rsidRPr="000C5451">
        <w:rPr>
          <w:rFonts w:ascii="標楷體" w:eastAsia="標楷體" w:hAnsi="標楷體" w:hint="eastAsia"/>
          <w:szCs w:val="24"/>
        </w:rPr>
        <w:t>依</w:t>
      </w:r>
      <w:r w:rsidRPr="000C5451">
        <w:rPr>
          <w:rFonts w:ascii="Times New Roman" w:eastAsia="標楷體" w:hAnsi="標楷體" w:hint="eastAsia"/>
          <w:color w:val="000000"/>
          <w:szCs w:val="24"/>
        </w:rPr>
        <w:t>證券商財務報告編製準則</w:t>
      </w:r>
      <w:r w:rsidRPr="000C5451">
        <w:rPr>
          <w:rFonts w:ascii="標楷體" w:eastAsia="標楷體" w:hAnsi="標楷體" w:hint="eastAsia"/>
          <w:szCs w:val="24"/>
        </w:rPr>
        <w:t>、</w:t>
      </w:r>
      <w:r w:rsidRPr="00EF08F3">
        <w:rPr>
          <w:rFonts w:ascii="標楷體" w:eastAsia="標楷體" w:hAnsi="標楷體" w:hint="eastAsia"/>
        </w:rPr>
        <w:t>國際財務報導準則第九號「金融工具」、國際財務報導準則第十五號「客戶合約之收入」等公報</w:t>
      </w:r>
      <w:r w:rsidRPr="000C5451">
        <w:rPr>
          <w:rFonts w:ascii="標楷體" w:eastAsia="標楷體" w:hAnsi="標楷體" w:hint="eastAsia"/>
          <w:szCs w:val="24"/>
        </w:rPr>
        <w:t>修改相關規定</w:t>
      </w:r>
      <w:r w:rsidR="00D62D6F" w:rsidRPr="000C5451">
        <w:rPr>
          <w:rFonts w:eastAsia="標楷體" w:hint="eastAsia"/>
          <w:color w:val="000000"/>
        </w:rPr>
        <w:t>。</w:t>
      </w:r>
    </w:p>
    <w:p w:rsidR="000954FB" w:rsidRPr="000C5451" w:rsidRDefault="000954FB" w:rsidP="000954FB">
      <w:pPr>
        <w:pStyle w:val="a3"/>
        <w:ind w:leftChars="0" w:left="1065"/>
        <w:rPr>
          <w:rFonts w:ascii="標楷體" w:eastAsia="標楷體" w:hAnsi="標楷體"/>
          <w:szCs w:val="24"/>
        </w:rPr>
      </w:pPr>
    </w:p>
    <w:p w:rsidR="00D62D6F" w:rsidRPr="000C5451" w:rsidRDefault="00D62D6F" w:rsidP="00B427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5451">
        <w:rPr>
          <w:rFonts w:ascii="標楷體" w:eastAsia="標楷體" w:hAnsi="標楷體" w:hint="eastAsia"/>
          <w:szCs w:val="24"/>
        </w:rPr>
        <w:t>會計事務處理程序</w:t>
      </w:r>
    </w:p>
    <w:p w:rsidR="000C5451" w:rsidRPr="00E1776D" w:rsidRDefault="00CC525C" w:rsidP="00CC525C">
      <w:pPr>
        <w:pStyle w:val="a3"/>
        <w:ind w:leftChars="0" w:left="1065"/>
        <w:rPr>
          <w:rFonts w:ascii="Times New Roman" w:eastAsia="標楷體" w:hAnsi="標楷體"/>
          <w:color w:val="000000"/>
          <w:szCs w:val="24"/>
        </w:rPr>
      </w:pPr>
      <w:r w:rsidRPr="000C5451">
        <w:rPr>
          <w:rFonts w:ascii="標楷體" w:eastAsia="標楷體" w:hAnsi="標楷體" w:hint="eastAsia"/>
          <w:szCs w:val="24"/>
        </w:rPr>
        <w:t>依</w:t>
      </w:r>
      <w:r w:rsidRPr="000C5451">
        <w:rPr>
          <w:rFonts w:ascii="Times New Roman" w:eastAsia="標楷體" w:hAnsi="標楷體" w:hint="eastAsia"/>
          <w:color w:val="000000"/>
          <w:szCs w:val="24"/>
        </w:rPr>
        <w:t>證券商財務報告編製準則</w:t>
      </w:r>
      <w:r w:rsidRPr="000C5451">
        <w:rPr>
          <w:rFonts w:ascii="標楷體" w:eastAsia="標楷體" w:hAnsi="標楷體" w:hint="eastAsia"/>
          <w:szCs w:val="24"/>
        </w:rPr>
        <w:t>、</w:t>
      </w:r>
      <w:r w:rsidRPr="00EF08F3">
        <w:rPr>
          <w:rFonts w:ascii="標楷體" w:eastAsia="標楷體" w:hAnsi="標楷體" w:hint="eastAsia"/>
        </w:rPr>
        <w:t>國際財務報導準則第九號「金融工具」、</w:t>
      </w:r>
      <w:r w:rsidRPr="00EF08F3">
        <w:rPr>
          <w:rFonts w:ascii="標楷體" w:eastAsia="標楷體" w:hAnsi="標楷體" w:hint="eastAsia"/>
        </w:rPr>
        <w:lastRenderedPageBreak/>
        <w:t>國際財務報導準則第十五號「客戶合約之收入」等公報</w:t>
      </w:r>
      <w:r w:rsidRPr="000C5451">
        <w:rPr>
          <w:rFonts w:ascii="標楷體" w:eastAsia="標楷體" w:hAnsi="標楷體" w:hint="eastAsia"/>
          <w:szCs w:val="24"/>
        </w:rPr>
        <w:t>修改相關規定</w:t>
      </w:r>
      <w:r w:rsidR="000C5451" w:rsidRPr="00E1776D">
        <w:rPr>
          <w:rFonts w:ascii="Times New Roman" w:eastAsia="標楷體" w:hAnsi="標楷體" w:hint="eastAsia"/>
          <w:color w:val="000000"/>
          <w:szCs w:val="24"/>
        </w:rPr>
        <w:t>。</w:t>
      </w:r>
    </w:p>
    <w:p w:rsidR="00D62D6F" w:rsidRPr="000C5451" w:rsidRDefault="00D62D6F" w:rsidP="00D2252E">
      <w:pPr>
        <w:spacing w:line="240" w:lineRule="atLeast"/>
        <w:rPr>
          <w:rFonts w:ascii="Times New Roman" w:eastAsia="標楷體" w:hAnsi="Times New Roman"/>
          <w:color w:val="000000"/>
          <w:szCs w:val="24"/>
        </w:rPr>
      </w:pPr>
    </w:p>
    <w:p w:rsidR="00D62D6F" w:rsidRPr="000C5451" w:rsidRDefault="00D62D6F" w:rsidP="00B427A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5451">
        <w:rPr>
          <w:rFonts w:ascii="標楷體" w:eastAsia="標楷體" w:hAnsi="標楷體" w:hint="eastAsia"/>
          <w:szCs w:val="24"/>
        </w:rPr>
        <w:t>內部會計控制</w:t>
      </w:r>
    </w:p>
    <w:p w:rsidR="00D62D6F" w:rsidRPr="000C5451" w:rsidRDefault="00E1776D" w:rsidP="00402B2B">
      <w:pPr>
        <w:pStyle w:val="a3"/>
        <w:ind w:leftChars="0" w:left="1065"/>
        <w:rPr>
          <w:rFonts w:eastAsia="標楷體"/>
          <w:color w:val="000000"/>
        </w:rPr>
      </w:pPr>
      <w:r>
        <w:rPr>
          <w:rFonts w:ascii="標楷體" w:eastAsia="標楷體" w:hAnsi="標楷體" w:hint="eastAsia"/>
          <w:szCs w:val="24"/>
        </w:rPr>
        <w:t>未修改</w:t>
      </w:r>
      <w:r w:rsidR="00D62D6F" w:rsidRPr="000C5451">
        <w:rPr>
          <w:rFonts w:eastAsia="標楷體" w:hint="eastAsia"/>
          <w:color w:val="000000"/>
        </w:rPr>
        <w:t>。</w:t>
      </w:r>
    </w:p>
    <w:p w:rsidR="009A4556" w:rsidRPr="000C5451" w:rsidRDefault="009A4556" w:rsidP="00402B2B">
      <w:pPr>
        <w:pStyle w:val="a3"/>
        <w:ind w:leftChars="0" w:left="1065"/>
        <w:rPr>
          <w:rFonts w:ascii="標楷體" w:eastAsia="標楷體" w:hAnsi="標楷體"/>
        </w:rPr>
      </w:pPr>
    </w:p>
    <w:p w:rsidR="00656CFE" w:rsidRPr="00826243" w:rsidRDefault="00826243" w:rsidP="00826243">
      <w:pPr>
        <w:pStyle w:val="Default"/>
        <w:numPr>
          <w:ilvl w:val="0"/>
          <w:numId w:val="1"/>
        </w:numPr>
        <w:spacing w:after="120"/>
        <w:rPr>
          <w:rFonts w:ascii="標楷體" w:eastAsia="標楷體" w:hAnsi="標楷體"/>
        </w:rPr>
      </w:pPr>
      <w:r w:rsidRPr="00826243">
        <w:rPr>
          <w:rFonts w:ascii="標楷體" w:eastAsia="標楷體" w:hAnsi="標楷體" w:hint="eastAsia"/>
        </w:rPr>
        <w:t>會計師查核</w:t>
      </w:r>
      <w:r w:rsidRPr="00826243">
        <w:rPr>
          <w:rFonts w:ascii="標楷體" w:eastAsia="標楷體" w:hAnsi="標楷體"/>
        </w:rPr>
        <w:t>/</w:t>
      </w:r>
      <w:r w:rsidRPr="00826243">
        <w:rPr>
          <w:rFonts w:ascii="標楷體" w:eastAsia="標楷體" w:hAnsi="標楷體" w:hint="eastAsia"/>
        </w:rPr>
        <w:t>核閱之資產負債表及綜合損益表</w:t>
      </w:r>
    </w:p>
    <w:p w:rsidR="00E1776D" w:rsidRPr="00E1776D" w:rsidRDefault="00E1776D" w:rsidP="00E1776D">
      <w:pPr>
        <w:pStyle w:val="a3"/>
        <w:ind w:leftChars="0" w:left="1065"/>
        <w:jc w:val="both"/>
        <w:rPr>
          <w:rFonts w:eastAsia="標楷體"/>
          <w:color w:val="000000"/>
        </w:rPr>
      </w:pPr>
      <w:r w:rsidRPr="00E1776D">
        <w:rPr>
          <w:rFonts w:ascii="標楷體" w:eastAsia="標楷體" w:hAnsi="標楷體" w:hint="eastAsia"/>
          <w:szCs w:val="24"/>
        </w:rPr>
        <w:t>依</w:t>
      </w:r>
      <w:r w:rsidR="00CC525C" w:rsidRPr="00EF08F3">
        <w:rPr>
          <w:rFonts w:ascii="Times New Roman" w:eastAsia="標楷體" w:hAnsi="Times New Roman"/>
          <w:snapToGrid w:val="0"/>
        </w:rPr>
        <w:t>106</w:t>
      </w:r>
      <w:r w:rsidR="00CC525C" w:rsidRPr="00EF08F3">
        <w:rPr>
          <w:rFonts w:ascii="Times New Roman" w:eastAsia="標楷體" w:hAnsi="Times New Roman"/>
          <w:snapToGrid w:val="0"/>
        </w:rPr>
        <w:t>年</w:t>
      </w:r>
      <w:r w:rsidR="00CC525C" w:rsidRPr="00EF08F3">
        <w:rPr>
          <w:rFonts w:ascii="Times New Roman" w:eastAsia="標楷體" w:hAnsi="Times New Roman"/>
          <w:snapToGrid w:val="0"/>
        </w:rPr>
        <w:t>9</w:t>
      </w:r>
      <w:r w:rsidR="00CC525C" w:rsidRPr="00EF08F3">
        <w:rPr>
          <w:rFonts w:ascii="Times New Roman" w:eastAsia="標楷體" w:hAnsi="Times New Roman"/>
          <w:snapToGrid w:val="0"/>
        </w:rPr>
        <w:t>月</w:t>
      </w:r>
      <w:r w:rsidRPr="00E1776D">
        <w:rPr>
          <w:rFonts w:ascii="Times New Roman" w:eastAsia="標楷體" w:hAnsi="Times New Roman"/>
          <w:bCs/>
          <w:color w:val="000000"/>
          <w:szCs w:val="24"/>
        </w:rPr>
        <w:t>公</w:t>
      </w:r>
      <w:r w:rsidRPr="00E1776D">
        <w:rPr>
          <w:rFonts w:ascii="標楷體" w:eastAsia="標楷體" w:hAnsi="標楷體" w:hint="eastAsia"/>
          <w:bCs/>
          <w:color w:val="000000"/>
          <w:szCs w:val="24"/>
        </w:rPr>
        <w:t>告之證券商月計表格式修正之</w:t>
      </w:r>
      <w:r w:rsidRPr="00E1776D">
        <w:rPr>
          <w:rFonts w:ascii="標楷體" w:eastAsia="標楷體" w:hAnsi="標楷體"/>
          <w:bCs/>
          <w:color w:val="000000"/>
          <w:szCs w:val="24"/>
        </w:rPr>
        <w:t>會計項目</w:t>
      </w:r>
      <w:r w:rsidRPr="00E1776D">
        <w:rPr>
          <w:rFonts w:ascii="標楷體" w:eastAsia="標楷體" w:hAnsi="標楷體" w:hint="eastAsia"/>
          <w:bCs/>
          <w:color w:val="000000"/>
          <w:szCs w:val="24"/>
        </w:rPr>
        <w:t>予以</w:t>
      </w:r>
      <w:r w:rsidRPr="00E1776D">
        <w:rPr>
          <w:rFonts w:ascii="Times New Roman" w:eastAsia="標楷體" w:hAnsi="標楷體" w:hint="eastAsia"/>
          <w:color w:val="000000"/>
          <w:szCs w:val="24"/>
        </w:rPr>
        <w:t>修</w:t>
      </w:r>
      <w:r w:rsidRPr="00E1776D">
        <w:rPr>
          <w:rFonts w:ascii="標楷體" w:eastAsia="標楷體" w:hAnsi="標楷體" w:hint="eastAsia"/>
          <w:szCs w:val="24"/>
        </w:rPr>
        <w:t>訂財務</w:t>
      </w:r>
      <w:r w:rsidRPr="00E1776D">
        <w:rPr>
          <w:rFonts w:ascii="Times New Roman" w:eastAsia="標楷體" w:hAnsi="標楷體" w:hint="eastAsia"/>
          <w:color w:val="000000"/>
          <w:szCs w:val="24"/>
        </w:rPr>
        <w:t>報表內容</w:t>
      </w:r>
      <w:r w:rsidRPr="00E1776D">
        <w:rPr>
          <w:rFonts w:eastAsia="標楷體" w:hint="eastAsia"/>
          <w:color w:val="000000"/>
        </w:rPr>
        <w:t>。</w:t>
      </w:r>
    </w:p>
    <w:p w:rsidR="00656CFE" w:rsidRPr="00E1776D" w:rsidRDefault="00656CFE" w:rsidP="00656CFE">
      <w:pPr>
        <w:pStyle w:val="a3"/>
        <w:ind w:leftChars="0" w:left="1065"/>
        <w:rPr>
          <w:rFonts w:ascii="標楷體" w:eastAsia="標楷體" w:hAnsi="標楷體"/>
          <w:color w:val="000000"/>
          <w:szCs w:val="24"/>
        </w:rPr>
      </w:pPr>
    </w:p>
    <w:p w:rsidR="00D62D6F" w:rsidRPr="00656CFE" w:rsidRDefault="00D62D6F" w:rsidP="000C4B80">
      <w:pPr>
        <w:rPr>
          <w:rFonts w:ascii="標楷體" w:eastAsia="標楷體" w:hAnsi="標楷體"/>
          <w:szCs w:val="24"/>
        </w:rPr>
      </w:pPr>
    </w:p>
    <w:sectPr w:rsidR="00D62D6F" w:rsidRPr="00656CFE" w:rsidSect="0024106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B6E" w:rsidRDefault="00A77B6E" w:rsidP="00FF7FF5">
      <w:r>
        <w:separator/>
      </w:r>
    </w:p>
  </w:endnote>
  <w:endnote w:type="continuationSeparator" w:id="0">
    <w:p w:rsidR="00A77B6E" w:rsidRDefault="00A77B6E" w:rsidP="00FF7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..j....">
    <w:altName w:val="..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6F" w:rsidRDefault="00043029">
    <w:pPr>
      <w:pStyle w:val="a7"/>
      <w:jc w:val="right"/>
    </w:pPr>
    <w:r w:rsidRPr="00043029">
      <w:fldChar w:fldCharType="begin"/>
    </w:r>
    <w:r w:rsidR="001C202A">
      <w:instrText xml:space="preserve"> PAGE   \* MERGEFORMAT </w:instrText>
    </w:r>
    <w:r w:rsidRPr="00043029">
      <w:fldChar w:fldCharType="separate"/>
    </w:r>
    <w:r w:rsidR="004007A0" w:rsidRPr="004007A0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62D6F" w:rsidRDefault="00D62D6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B6E" w:rsidRDefault="00A77B6E" w:rsidP="00FF7FF5">
      <w:r>
        <w:separator/>
      </w:r>
    </w:p>
  </w:footnote>
  <w:footnote w:type="continuationSeparator" w:id="0">
    <w:p w:rsidR="00A77B6E" w:rsidRDefault="00A77B6E" w:rsidP="00FF7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08A5"/>
    <w:multiLevelType w:val="hybridMultilevel"/>
    <w:tmpl w:val="5B7E7E70"/>
    <w:lvl w:ilvl="0" w:tplc="0A5CE1FC">
      <w:start w:val="1"/>
      <w:numFmt w:val="taiwaneseCountingThousand"/>
      <w:lvlText w:val="第%1章"/>
      <w:lvlJc w:val="left"/>
      <w:pPr>
        <w:ind w:left="1065" w:hanging="10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4E16630"/>
    <w:multiLevelType w:val="hybridMultilevel"/>
    <w:tmpl w:val="47C8123E"/>
    <w:lvl w:ilvl="0" w:tplc="B7721798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F63635A"/>
    <w:multiLevelType w:val="hybridMultilevel"/>
    <w:tmpl w:val="F9CA7D1C"/>
    <w:lvl w:ilvl="0" w:tplc="0B78653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  <w:rPr>
        <w:rFonts w:cs="Times New Roman"/>
      </w:rPr>
    </w:lvl>
  </w:abstractNum>
  <w:abstractNum w:abstractNumId="3">
    <w:nsid w:val="263E421C"/>
    <w:multiLevelType w:val="hybridMultilevel"/>
    <w:tmpl w:val="F9CA7D1C"/>
    <w:lvl w:ilvl="0" w:tplc="0B78653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  <w:rPr>
        <w:rFonts w:cs="Times New Roman"/>
      </w:rPr>
    </w:lvl>
  </w:abstractNum>
  <w:abstractNum w:abstractNumId="4">
    <w:nsid w:val="289E740C"/>
    <w:multiLevelType w:val="hybridMultilevel"/>
    <w:tmpl w:val="8220A1A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F9A5A30"/>
    <w:multiLevelType w:val="hybridMultilevel"/>
    <w:tmpl w:val="52A04002"/>
    <w:lvl w:ilvl="0" w:tplc="0409000F">
      <w:start w:val="1"/>
      <w:numFmt w:val="decimal"/>
      <w:lvlText w:val="%1."/>
      <w:lvlJc w:val="left"/>
      <w:pPr>
        <w:ind w:left="154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  <w:rPr>
        <w:rFonts w:cs="Times New Roman"/>
      </w:rPr>
    </w:lvl>
  </w:abstractNum>
  <w:abstractNum w:abstractNumId="6">
    <w:nsid w:val="304F7571"/>
    <w:multiLevelType w:val="hybridMultilevel"/>
    <w:tmpl w:val="7DB028A8"/>
    <w:lvl w:ilvl="0" w:tplc="24D8FF5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D570351"/>
    <w:multiLevelType w:val="singleLevel"/>
    <w:tmpl w:val="90F6C95C"/>
    <w:lvl w:ilvl="0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</w:rPr>
    </w:lvl>
  </w:abstractNum>
  <w:abstractNum w:abstractNumId="8">
    <w:nsid w:val="44496C4C"/>
    <w:multiLevelType w:val="hybridMultilevel"/>
    <w:tmpl w:val="CCCC3A68"/>
    <w:lvl w:ilvl="0" w:tplc="12966FFC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65AA6D09"/>
    <w:multiLevelType w:val="hybridMultilevel"/>
    <w:tmpl w:val="F9CA7D1C"/>
    <w:lvl w:ilvl="0" w:tplc="0B78653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  <w:rPr>
        <w:rFonts w:cs="Times New Roman"/>
      </w:rPr>
    </w:lvl>
  </w:abstractNum>
  <w:abstractNum w:abstractNumId="10">
    <w:nsid w:val="69535624"/>
    <w:multiLevelType w:val="hybridMultilevel"/>
    <w:tmpl w:val="B1406B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71017EBB"/>
    <w:multiLevelType w:val="hybridMultilevel"/>
    <w:tmpl w:val="5F64DEA6"/>
    <w:lvl w:ilvl="0" w:tplc="220C7B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7A1B20A0"/>
    <w:multiLevelType w:val="hybridMultilevel"/>
    <w:tmpl w:val="13F2B0DC"/>
    <w:lvl w:ilvl="0" w:tplc="30688B78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12"/>
  </w:num>
  <w:num w:numId="7">
    <w:abstractNumId w:val="4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7AB"/>
    <w:rsid w:val="00031C1B"/>
    <w:rsid w:val="00036104"/>
    <w:rsid w:val="00043029"/>
    <w:rsid w:val="000668B3"/>
    <w:rsid w:val="000954FB"/>
    <w:rsid w:val="000B7AE1"/>
    <w:rsid w:val="000C4B80"/>
    <w:rsid w:val="000C5451"/>
    <w:rsid w:val="000D5D51"/>
    <w:rsid w:val="000D6F8B"/>
    <w:rsid w:val="00115A32"/>
    <w:rsid w:val="00133F1C"/>
    <w:rsid w:val="0013456F"/>
    <w:rsid w:val="0014654A"/>
    <w:rsid w:val="00146CBC"/>
    <w:rsid w:val="00147347"/>
    <w:rsid w:val="00152604"/>
    <w:rsid w:val="00163F81"/>
    <w:rsid w:val="001B0210"/>
    <w:rsid w:val="001C0A7C"/>
    <w:rsid w:val="001C202A"/>
    <w:rsid w:val="001D6F63"/>
    <w:rsid w:val="002145F0"/>
    <w:rsid w:val="0024106C"/>
    <w:rsid w:val="00247593"/>
    <w:rsid w:val="00263499"/>
    <w:rsid w:val="002923BE"/>
    <w:rsid w:val="002948BA"/>
    <w:rsid w:val="002A7F83"/>
    <w:rsid w:val="002F317B"/>
    <w:rsid w:val="0031055D"/>
    <w:rsid w:val="00393266"/>
    <w:rsid w:val="003A7B61"/>
    <w:rsid w:val="003C53A4"/>
    <w:rsid w:val="003D18E0"/>
    <w:rsid w:val="003E15D8"/>
    <w:rsid w:val="003E605F"/>
    <w:rsid w:val="004007A0"/>
    <w:rsid w:val="00402B2B"/>
    <w:rsid w:val="0042110A"/>
    <w:rsid w:val="00445F9B"/>
    <w:rsid w:val="0046684A"/>
    <w:rsid w:val="004A5352"/>
    <w:rsid w:val="004B08A4"/>
    <w:rsid w:val="004B4E83"/>
    <w:rsid w:val="004D7F36"/>
    <w:rsid w:val="004E67D5"/>
    <w:rsid w:val="005129F8"/>
    <w:rsid w:val="005132F1"/>
    <w:rsid w:val="00530F06"/>
    <w:rsid w:val="00531D70"/>
    <w:rsid w:val="00531E2A"/>
    <w:rsid w:val="005423FA"/>
    <w:rsid w:val="00581DD2"/>
    <w:rsid w:val="0059139A"/>
    <w:rsid w:val="005D7FB4"/>
    <w:rsid w:val="005F5A27"/>
    <w:rsid w:val="00600C1C"/>
    <w:rsid w:val="00617B2F"/>
    <w:rsid w:val="00633707"/>
    <w:rsid w:val="006479B9"/>
    <w:rsid w:val="00656CFE"/>
    <w:rsid w:val="00681B83"/>
    <w:rsid w:val="00687DF4"/>
    <w:rsid w:val="006B2264"/>
    <w:rsid w:val="006B2B40"/>
    <w:rsid w:val="006D4EF5"/>
    <w:rsid w:val="006E0DA2"/>
    <w:rsid w:val="006E1FFD"/>
    <w:rsid w:val="006E6352"/>
    <w:rsid w:val="006E770F"/>
    <w:rsid w:val="007007C1"/>
    <w:rsid w:val="007219BC"/>
    <w:rsid w:val="00734EB1"/>
    <w:rsid w:val="0074062C"/>
    <w:rsid w:val="00756A0B"/>
    <w:rsid w:val="00771D0E"/>
    <w:rsid w:val="00785CC0"/>
    <w:rsid w:val="007C37B7"/>
    <w:rsid w:val="007C50A9"/>
    <w:rsid w:val="007D13A3"/>
    <w:rsid w:val="007D442B"/>
    <w:rsid w:val="007F56A4"/>
    <w:rsid w:val="00826189"/>
    <w:rsid w:val="00826243"/>
    <w:rsid w:val="00851BE6"/>
    <w:rsid w:val="00854CF3"/>
    <w:rsid w:val="00862326"/>
    <w:rsid w:val="00865AB7"/>
    <w:rsid w:val="008B2915"/>
    <w:rsid w:val="008C3CA3"/>
    <w:rsid w:val="008D16B1"/>
    <w:rsid w:val="008E1561"/>
    <w:rsid w:val="008E4366"/>
    <w:rsid w:val="008E6874"/>
    <w:rsid w:val="008F77E3"/>
    <w:rsid w:val="00902CF5"/>
    <w:rsid w:val="00911E5A"/>
    <w:rsid w:val="009349CB"/>
    <w:rsid w:val="00940438"/>
    <w:rsid w:val="00962665"/>
    <w:rsid w:val="00995406"/>
    <w:rsid w:val="009A2F5D"/>
    <w:rsid w:val="009A4556"/>
    <w:rsid w:val="009B7804"/>
    <w:rsid w:val="009C038B"/>
    <w:rsid w:val="009F63C2"/>
    <w:rsid w:val="00A02486"/>
    <w:rsid w:val="00A10CB4"/>
    <w:rsid w:val="00A1773C"/>
    <w:rsid w:val="00A2033F"/>
    <w:rsid w:val="00A336F6"/>
    <w:rsid w:val="00A63402"/>
    <w:rsid w:val="00A700C4"/>
    <w:rsid w:val="00A71FD2"/>
    <w:rsid w:val="00A77B6E"/>
    <w:rsid w:val="00AA445A"/>
    <w:rsid w:val="00AD085C"/>
    <w:rsid w:val="00AE39C3"/>
    <w:rsid w:val="00B1047B"/>
    <w:rsid w:val="00B156FA"/>
    <w:rsid w:val="00B26161"/>
    <w:rsid w:val="00B427AB"/>
    <w:rsid w:val="00B55CD2"/>
    <w:rsid w:val="00B573CD"/>
    <w:rsid w:val="00B813CD"/>
    <w:rsid w:val="00B86C4F"/>
    <w:rsid w:val="00BB5B5D"/>
    <w:rsid w:val="00BB6E85"/>
    <w:rsid w:val="00BC17B1"/>
    <w:rsid w:val="00BF6CBE"/>
    <w:rsid w:val="00C04777"/>
    <w:rsid w:val="00C502C9"/>
    <w:rsid w:val="00C51BCC"/>
    <w:rsid w:val="00C52D4D"/>
    <w:rsid w:val="00C56BFF"/>
    <w:rsid w:val="00C66D48"/>
    <w:rsid w:val="00C76FC4"/>
    <w:rsid w:val="00C8797E"/>
    <w:rsid w:val="00CA3FD9"/>
    <w:rsid w:val="00CC525C"/>
    <w:rsid w:val="00CE2306"/>
    <w:rsid w:val="00CE3FDF"/>
    <w:rsid w:val="00D05C9B"/>
    <w:rsid w:val="00D16B71"/>
    <w:rsid w:val="00D17913"/>
    <w:rsid w:val="00D2252E"/>
    <w:rsid w:val="00D523D0"/>
    <w:rsid w:val="00D62D6F"/>
    <w:rsid w:val="00D93D7A"/>
    <w:rsid w:val="00D97BB9"/>
    <w:rsid w:val="00DA0ACC"/>
    <w:rsid w:val="00DA0C78"/>
    <w:rsid w:val="00DC4371"/>
    <w:rsid w:val="00DD7873"/>
    <w:rsid w:val="00DF471D"/>
    <w:rsid w:val="00E13624"/>
    <w:rsid w:val="00E1716E"/>
    <w:rsid w:val="00E1776D"/>
    <w:rsid w:val="00E23BB2"/>
    <w:rsid w:val="00E87B1D"/>
    <w:rsid w:val="00EB2ADD"/>
    <w:rsid w:val="00EE6B9B"/>
    <w:rsid w:val="00EF21EF"/>
    <w:rsid w:val="00F037C4"/>
    <w:rsid w:val="00F20B80"/>
    <w:rsid w:val="00F81B27"/>
    <w:rsid w:val="00F8466A"/>
    <w:rsid w:val="00FE5F38"/>
    <w:rsid w:val="00FF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27AB"/>
    <w:pPr>
      <w:ind w:leftChars="200" w:left="480"/>
    </w:pPr>
  </w:style>
  <w:style w:type="character" w:styleId="a4">
    <w:name w:val="Hyperlink"/>
    <w:basedOn w:val="a0"/>
    <w:uiPriority w:val="99"/>
    <w:semiHidden/>
    <w:rsid w:val="00CE3FDF"/>
    <w:rPr>
      <w:rFonts w:cs="Times New Roman"/>
      <w:color w:val="000099"/>
      <w:u w:val="none"/>
      <w:effect w:val="none"/>
    </w:rPr>
  </w:style>
  <w:style w:type="paragraph" w:styleId="a5">
    <w:name w:val="header"/>
    <w:basedOn w:val="a"/>
    <w:link w:val="a6"/>
    <w:uiPriority w:val="99"/>
    <w:semiHidden/>
    <w:rsid w:val="00FF7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FF7FF5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FF7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FF7FF5"/>
    <w:rPr>
      <w:rFonts w:cs="Times New Roman"/>
      <w:sz w:val="20"/>
      <w:szCs w:val="20"/>
    </w:rPr>
  </w:style>
  <w:style w:type="table" w:styleId="a9">
    <w:name w:val="Table Grid"/>
    <w:basedOn w:val="a1"/>
    <w:uiPriority w:val="99"/>
    <w:rsid w:val="00734EB1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semiHidden/>
    <w:rsid w:val="00A63402"/>
    <w:rPr>
      <w:rFonts w:hAnsi="Courier New" w:cs="Courier New"/>
      <w:szCs w:val="24"/>
    </w:rPr>
  </w:style>
  <w:style w:type="character" w:customStyle="1" w:styleId="ab">
    <w:name w:val="純文字 字元"/>
    <w:basedOn w:val="a0"/>
    <w:link w:val="aa"/>
    <w:uiPriority w:val="99"/>
    <w:semiHidden/>
    <w:locked/>
    <w:rsid w:val="00A63402"/>
    <w:rPr>
      <w:rFonts w:ascii="Calibri" w:eastAsia="新細明體" w:hAnsi="Courier New" w:cs="Courier New"/>
      <w:sz w:val="24"/>
      <w:szCs w:val="24"/>
    </w:rPr>
  </w:style>
  <w:style w:type="paragraph" w:customStyle="1" w:styleId="ac">
    <w:name w:val="文"/>
    <w:basedOn w:val="a"/>
    <w:rsid w:val="0013456F"/>
    <w:pPr>
      <w:autoSpaceDN w:val="0"/>
      <w:adjustRightInd w:val="0"/>
      <w:spacing w:after="120"/>
      <w:ind w:firstLine="482"/>
      <w:jc w:val="both"/>
    </w:pPr>
    <w:rPr>
      <w:rFonts w:ascii="Times New Roman" w:eastAsia="標楷體" w:hAnsi="Times New Roman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8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8466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26243"/>
    <w:pPr>
      <w:widowControl w:val="0"/>
      <w:autoSpaceDE w:val="0"/>
      <w:autoSpaceDN w:val="0"/>
      <w:adjustRightInd w:val="0"/>
    </w:pPr>
    <w:rPr>
      <w:rFonts w:ascii="...j...." w:eastAsia="...j...." w:cs="...j....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4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5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5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4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9CD74-EB7E-4F38-8F5D-8140B5EE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>KPMG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第三次「證券商會計制度範本」修訂總說明</dc:title>
  <dc:creator>ftsai</dc:creator>
  <cp:lastModifiedBy>chen</cp:lastModifiedBy>
  <cp:revision>2</cp:revision>
  <cp:lastPrinted>2017-09-06T03:22:00Z</cp:lastPrinted>
  <dcterms:created xsi:type="dcterms:W3CDTF">2018-02-21T09:19:00Z</dcterms:created>
  <dcterms:modified xsi:type="dcterms:W3CDTF">2018-02-21T09:19:00Z</dcterms:modified>
</cp:coreProperties>
</file>