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6"/>
        <w:tblW w:w="9781" w:type="dxa"/>
        <w:tblInd w:w="-714" w:type="dxa"/>
        <w:tblLook w:val="04A0" w:firstRow="1" w:lastRow="0" w:firstColumn="1" w:lastColumn="0" w:noHBand="0" w:noVBand="1"/>
      </w:tblPr>
      <w:tblGrid>
        <w:gridCol w:w="3291"/>
        <w:gridCol w:w="6490"/>
      </w:tblGrid>
      <w:tr w:rsidR="002868C8" w:rsidRPr="00A33F67" w14:paraId="145EE6A7" w14:textId="77777777" w:rsidTr="007619F7">
        <w:trPr>
          <w:trHeight w:val="983"/>
        </w:trPr>
        <w:tc>
          <w:tcPr>
            <w:tcW w:w="9781" w:type="dxa"/>
            <w:gridSpan w:val="2"/>
            <w:vAlign w:val="center"/>
          </w:tcPr>
          <w:p w14:paraId="12AD1081" w14:textId="05213C3F" w:rsidR="002868C8" w:rsidRPr="00790C8D" w:rsidRDefault="002868C8" w:rsidP="007619F7">
            <w:pPr>
              <w:jc w:val="center"/>
              <w:rPr>
                <w:rFonts w:ascii="標楷體" w:eastAsia="標楷體" w:hAnsi="標楷體"/>
                <w:b/>
                <w:color w:val="003399"/>
                <w:sz w:val="28"/>
                <w:szCs w:val="28"/>
                <w:shd w:val="clear" w:color="auto" w:fill="FFFFFF"/>
              </w:rPr>
            </w:pPr>
            <w:r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常</w:t>
            </w:r>
            <w:r w:rsidR="007619F7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 xml:space="preserve"> </w:t>
            </w:r>
            <w:r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見</w:t>
            </w:r>
            <w:r w:rsidR="007619F7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 xml:space="preserve"> </w:t>
            </w:r>
            <w:r w:rsidR="00515D4D"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投</w:t>
            </w:r>
            <w:r w:rsidR="007619F7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 xml:space="preserve"> </w:t>
            </w:r>
            <w:r w:rsidR="00515D4D"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資</w:t>
            </w:r>
            <w:r w:rsidR="007619F7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 xml:space="preserve"> </w:t>
            </w:r>
            <w:r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詐</w:t>
            </w:r>
            <w:r w:rsidR="007619F7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 xml:space="preserve"> </w:t>
            </w:r>
            <w:r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騙</w:t>
            </w:r>
            <w:r w:rsidR="007619F7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 xml:space="preserve"> </w:t>
            </w:r>
            <w:r w:rsidR="00515D4D"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態</w:t>
            </w:r>
            <w:r w:rsidR="007619F7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 xml:space="preserve"> </w:t>
            </w:r>
            <w:r w:rsidR="00515D4D"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樣</w:t>
            </w:r>
          </w:p>
        </w:tc>
      </w:tr>
      <w:tr w:rsidR="002868C8" w:rsidRPr="00A33F67" w14:paraId="2EB04407" w14:textId="77777777" w:rsidTr="007619F7">
        <w:trPr>
          <w:trHeight w:val="993"/>
        </w:trPr>
        <w:tc>
          <w:tcPr>
            <w:tcW w:w="3291" w:type="dxa"/>
            <w:vAlign w:val="center"/>
          </w:tcPr>
          <w:p w14:paraId="17C35A94" w14:textId="295AF0E7" w:rsidR="002868C8" w:rsidRPr="00A33F67" w:rsidRDefault="007619F7" w:rsidP="00761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3399"/>
                <w:sz w:val="28"/>
                <w:szCs w:val="28"/>
                <w:shd w:val="clear" w:color="auto" w:fill="FFFFFF"/>
              </w:rPr>
              <w:t>犯罪</w:t>
            </w:r>
            <w:r w:rsidR="002868C8" w:rsidRPr="00A33F67">
              <w:rPr>
                <w:rFonts w:ascii="標楷體" w:eastAsia="標楷體" w:hAnsi="標楷體" w:hint="eastAsia"/>
                <w:color w:val="003399"/>
                <w:sz w:val="28"/>
                <w:szCs w:val="28"/>
                <w:shd w:val="clear" w:color="auto" w:fill="FFFFFF"/>
              </w:rPr>
              <w:t>態樣</w:t>
            </w:r>
          </w:p>
        </w:tc>
        <w:tc>
          <w:tcPr>
            <w:tcW w:w="6490" w:type="dxa"/>
            <w:vAlign w:val="center"/>
          </w:tcPr>
          <w:p w14:paraId="3C76A54D" w14:textId="01CAE9B4" w:rsidR="002868C8" w:rsidRPr="00790C8D" w:rsidRDefault="002868C8" w:rsidP="007619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手</w:t>
            </w:r>
            <w:r w:rsidR="00515D4D"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 xml:space="preserve">  </w:t>
            </w:r>
            <w:r w:rsidRPr="00790C8D">
              <w:rPr>
                <w:rFonts w:ascii="標楷體" w:eastAsia="標楷體" w:hAnsi="標楷體" w:hint="eastAsia"/>
                <w:b/>
                <w:color w:val="003399"/>
                <w:sz w:val="28"/>
                <w:szCs w:val="28"/>
                <w:shd w:val="clear" w:color="auto" w:fill="FFFFFF"/>
              </w:rPr>
              <w:t>法</w:t>
            </w:r>
          </w:p>
        </w:tc>
      </w:tr>
      <w:tr w:rsidR="002868C8" w:rsidRPr="00E129CC" w14:paraId="65ACC9DA" w14:textId="77777777" w:rsidTr="007619F7">
        <w:trPr>
          <w:trHeight w:val="132"/>
        </w:trPr>
        <w:tc>
          <w:tcPr>
            <w:tcW w:w="3291" w:type="dxa"/>
            <w:vAlign w:val="center"/>
          </w:tcPr>
          <w:p w14:paraId="3B2E9E34" w14:textId="77777777" w:rsidR="002868C8" w:rsidRPr="007619F7" w:rsidRDefault="002868C8" w:rsidP="003E09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cs="Helvetica"/>
                <w:color w:val="232A31"/>
                <w:sz w:val="26"/>
                <w:szCs w:val="26"/>
                <w:shd w:val="clear" w:color="auto" w:fill="FFFFFF"/>
              </w:rPr>
              <w:t>冒名金融機構</w:t>
            </w:r>
            <w:r w:rsidRPr="007619F7">
              <w:rPr>
                <w:rFonts w:ascii="標楷體" w:eastAsia="標楷體" w:hAnsi="標楷體" w:cs="Helvetica" w:hint="eastAsia"/>
                <w:color w:val="232A31"/>
                <w:sz w:val="26"/>
                <w:szCs w:val="26"/>
                <w:shd w:val="clear" w:color="auto" w:fill="FFFFFF"/>
              </w:rPr>
              <w:t>/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市場監理單位</w:t>
            </w:r>
            <w:r w:rsidRPr="007619F7">
              <w:rPr>
                <w:rFonts w:ascii="標楷體" w:eastAsia="標楷體" w:hAnsi="標楷體" w:cs="Helvetica"/>
                <w:color w:val="232A31"/>
                <w:sz w:val="26"/>
                <w:szCs w:val="26"/>
                <w:shd w:val="clear" w:color="auto" w:fill="FFFFFF"/>
              </w:rPr>
              <w:t>詐騙</w:t>
            </w:r>
          </w:p>
        </w:tc>
        <w:tc>
          <w:tcPr>
            <w:tcW w:w="6490" w:type="dxa"/>
          </w:tcPr>
          <w:p w14:paraId="06780CAE" w14:textId="1799B422" w:rsidR="002868C8" w:rsidRPr="007619F7" w:rsidRDefault="002868C8" w:rsidP="002868C8">
            <w:pPr>
              <w:pStyle w:val="ab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冒用銀行、證券商名義，在臉書社群平台上銷售基金，宣稱</w:t>
            </w:r>
            <w:r w:rsidR="003B0801" w:rsidRPr="007619F7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保證投資人每年可分得固定收益且本金於合約到期後</w:t>
            </w:r>
            <w:r w:rsidR="007C64D1" w:rsidRPr="007619F7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全數退還。</w:t>
            </w:r>
          </w:p>
          <w:p w14:paraId="468B363E" w14:textId="687BECD6" w:rsidR="002868C8" w:rsidRPr="007619F7" w:rsidRDefault="002868C8" w:rsidP="002868C8">
            <w:pPr>
              <w:pStyle w:val="ab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偽造金管會及證交所聯名公文，</w:t>
            </w:r>
            <w:r w:rsidR="003B0801" w:rsidRPr="007619F7">
              <w:rPr>
                <w:rFonts w:ascii="標楷體" w:eastAsia="標楷體" w:hAnsi="標楷體" w:hint="eastAsia"/>
                <w:sz w:val="26"/>
                <w:szCs w:val="26"/>
              </w:rPr>
              <w:t>對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某外資證券機構</w:t>
            </w:r>
            <w:r w:rsidR="003B0801" w:rsidRPr="007619F7">
              <w:rPr>
                <w:rFonts w:ascii="標楷體" w:eastAsia="標楷體" w:hAnsi="標楷體" w:hint="eastAsia"/>
                <w:sz w:val="26"/>
                <w:szCs w:val="26"/>
              </w:rPr>
              <w:t>客戶宣稱因其於該金融機構之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帳戶涉嫌洗錢及不當得利，</w:t>
            </w:r>
            <w:r w:rsidR="003B0801" w:rsidRPr="007619F7">
              <w:rPr>
                <w:rFonts w:ascii="標楷體" w:eastAsia="標楷體" w:hAnsi="標楷體" w:hint="eastAsia"/>
                <w:sz w:val="26"/>
                <w:szCs w:val="26"/>
              </w:rPr>
              <w:t>因此</w:t>
            </w:r>
            <w:r w:rsidR="007C359E" w:rsidRPr="007619F7"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證券帳戶將暫停交易，如欲提領資金，需</w:t>
            </w:r>
            <w:r w:rsidR="003B0801" w:rsidRPr="007619F7">
              <w:rPr>
                <w:rFonts w:ascii="標楷體" w:eastAsia="標楷體" w:hAnsi="標楷體" w:hint="eastAsia"/>
                <w:sz w:val="26"/>
                <w:szCs w:val="26"/>
              </w:rPr>
              <w:t>先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繳納20%保證金以證明個人資金來源合法，</w:t>
            </w:r>
            <w:r w:rsidR="007C359E" w:rsidRPr="007619F7">
              <w:rPr>
                <w:rFonts w:ascii="標楷體" w:eastAsia="標楷體" w:hAnsi="標楷體" w:hint="eastAsia"/>
                <w:sz w:val="26"/>
                <w:szCs w:val="26"/>
              </w:rPr>
              <w:t>藉此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騙取錢財。</w:t>
            </w:r>
          </w:p>
        </w:tc>
      </w:tr>
      <w:tr w:rsidR="002868C8" w:rsidRPr="00A33F67" w14:paraId="22DC03B2" w14:textId="77777777" w:rsidTr="007619F7">
        <w:trPr>
          <w:trHeight w:val="130"/>
        </w:trPr>
        <w:tc>
          <w:tcPr>
            <w:tcW w:w="3291" w:type="dxa"/>
            <w:vAlign w:val="center"/>
          </w:tcPr>
          <w:p w14:paraId="30C8AE87" w14:textId="77777777" w:rsidR="002868C8" w:rsidRPr="007619F7" w:rsidRDefault="002868C8" w:rsidP="003E0997">
            <w:pPr>
              <w:jc w:val="center"/>
              <w:rPr>
                <w:rFonts w:ascii="標楷體" w:eastAsia="標楷體" w:hAnsi="標楷體" w:cs="Helvetica"/>
                <w:color w:val="232A31"/>
                <w:sz w:val="26"/>
                <w:szCs w:val="26"/>
                <w:shd w:val="clear" w:color="auto" w:fill="FFFFFF"/>
              </w:rPr>
            </w:pPr>
            <w:r w:rsidRPr="007619F7">
              <w:rPr>
                <w:rFonts w:ascii="標楷體" w:eastAsia="標楷體" w:hAnsi="標楷體" w:cs="Helvetica"/>
                <w:color w:val="232A31"/>
                <w:sz w:val="26"/>
                <w:szCs w:val="26"/>
                <w:shd w:val="clear" w:color="auto" w:fill="FFFFFF"/>
              </w:rPr>
              <w:t>非法金融交易平台</w:t>
            </w:r>
          </w:p>
        </w:tc>
        <w:tc>
          <w:tcPr>
            <w:tcW w:w="6490" w:type="dxa"/>
          </w:tcPr>
          <w:p w14:paraId="1DDC2DF6" w14:textId="55DED59D" w:rsidR="002868C8" w:rsidRPr="007619F7" w:rsidRDefault="002868C8" w:rsidP="003E099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詐騙集團</w:t>
            </w:r>
            <w:r w:rsidRPr="007619F7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以投資公司名義，辦理投資講座，吸收年輕學子和社會新鮮人，並以「外匯保證金交易」能獲取厚利為餌，慫恿客戶與該投資公司進行非法外匯、期貨對賭</w:t>
            </w:r>
            <w:r w:rsidR="007C64D1" w:rsidRPr="007619F7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使</w:t>
            </w:r>
            <w:r w:rsidR="00102A36" w:rsidRPr="007619F7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得投資人</w:t>
            </w:r>
            <w:r w:rsidRPr="007619F7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血本無歸。</w:t>
            </w:r>
          </w:p>
        </w:tc>
      </w:tr>
      <w:tr w:rsidR="002868C8" w:rsidRPr="00A33F67" w14:paraId="2209A2ED" w14:textId="77777777" w:rsidTr="007619F7">
        <w:trPr>
          <w:trHeight w:val="122"/>
        </w:trPr>
        <w:tc>
          <w:tcPr>
            <w:tcW w:w="3291" w:type="dxa"/>
            <w:vAlign w:val="center"/>
          </w:tcPr>
          <w:p w14:paraId="6D868885" w14:textId="77777777" w:rsidR="002868C8" w:rsidRPr="007619F7" w:rsidRDefault="002868C8" w:rsidP="003E09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cs="Helvetica"/>
                <w:color w:val="232A31"/>
                <w:sz w:val="26"/>
                <w:szCs w:val="26"/>
                <w:shd w:val="clear" w:color="auto" w:fill="FFFFFF"/>
              </w:rPr>
              <w:t>以簡訊或 LINE 群組勸誘購買股票</w:t>
            </w:r>
          </w:p>
        </w:tc>
        <w:tc>
          <w:tcPr>
            <w:tcW w:w="6490" w:type="dxa"/>
          </w:tcPr>
          <w:p w14:paraId="5D3053BF" w14:textId="7539B810" w:rsidR="002868C8" w:rsidRPr="007619F7" w:rsidRDefault="002868C8" w:rsidP="003E099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詐騙集團</w:t>
            </w:r>
            <w:r w:rsidR="00DD3828" w:rsidRPr="007619F7">
              <w:rPr>
                <w:rFonts w:ascii="標楷體" w:eastAsia="標楷體" w:hAnsi="標楷體" w:hint="eastAsia"/>
                <w:sz w:val="26"/>
                <w:szCs w:val="26"/>
              </w:rPr>
              <w:t>先以低價買進具市值小及流通量小特徵</w:t>
            </w:r>
            <w:r w:rsidR="000B2394" w:rsidRPr="007619F7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="00DD3828" w:rsidRPr="007619F7">
              <w:rPr>
                <w:rFonts w:ascii="標楷體" w:eastAsia="標楷體" w:hAnsi="標楷體" w:hint="eastAsia"/>
                <w:sz w:val="26"/>
                <w:szCs w:val="26"/>
              </w:rPr>
              <w:t>香港交易所股票(所稱「仙股」)</w:t>
            </w:r>
            <w:r w:rsidR="00102A36" w:rsidRPr="007619F7">
              <w:rPr>
                <w:rFonts w:ascii="標楷體" w:eastAsia="標楷體" w:hAnsi="標楷體" w:hint="eastAsia"/>
                <w:sz w:val="26"/>
                <w:szCs w:val="26"/>
              </w:rPr>
              <w:t>後炒高股價，再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透過社群或交友平台網站</w:t>
            </w:r>
            <w:r w:rsidR="000B2394" w:rsidRPr="007619F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跨海引誘國人透過證券商</w:t>
            </w:r>
            <w:r w:rsidR="000B2394" w:rsidRPr="007619F7">
              <w:rPr>
                <w:rFonts w:ascii="標楷體" w:eastAsia="標楷體" w:hAnsi="標楷體" w:hint="eastAsia"/>
                <w:sz w:val="26"/>
                <w:szCs w:val="26"/>
              </w:rPr>
              <w:t>複委託方式買入該股票，</w:t>
            </w:r>
            <w:r w:rsidR="00102A36" w:rsidRPr="007619F7">
              <w:rPr>
                <w:rFonts w:ascii="標楷體" w:eastAsia="標楷體" w:hAnsi="標楷體" w:hint="eastAsia"/>
                <w:sz w:val="26"/>
                <w:szCs w:val="26"/>
              </w:rPr>
              <w:t>以低買高賣方式</w:t>
            </w:r>
            <w:r w:rsidR="000B2394" w:rsidRPr="007619F7">
              <w:rPr>
                <w:rFonts w:ascii="標楷體" w:eastAsia="標楷體" w:hAnsi="標楷體" w:hint="eastAsia"/>
                <w:sz w:val="26"/>
                <w:szCs w:val="26"/>
              </w:rPr>
              <w:t>將股票出脫給投資人</w:t>
            </w:r>
            <w:r w:rsidR="00102A36" w:rsidRPr="007619F7">
              <w:rPr>
                <w:rFonts w:ascii="標楷體" w:eastAsia="標楷體" w:hAnsi="標楷體" w:hint="eastAsia"/>
                <w:sz w:val="26"/>
                <w:szCs w:val="26"/>
              </w:rPr>
              <w:t>，不法獲利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868C8" w:rsidRPr="00A33F67" w14:paraId="4413F408" w14:textId="77777777" w:rsidTr="007619F7">
        <w:trPr>
          <w:trHeight w:val="156"/>
        </w:trPr>
        <w:tc>
          <w:tcPr>
            <w:tcW w:w="3291" w:type="dxa"/>
            <w:vAlign w:val="center"/>
          </w:tcPr>
          <w:p w14:paraId="66BC1E16" w14:textId="77777777" w:rsidR="002868C8" w:rsidRPr="007619F7" w:rsidRDefault="002868C8" w:rsidP="003E09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cs="Helvetica" w:hint="eastAsia"/>
                <w:color w:val="232A31"/>
                <w:sz w:val="26"/>
                <w:szCs w:val="26"/>
                <w:shd w:val="clear" w:color="auto" w:fill="FFFFFF"/>
              </w:rPr>
              <w:t>推銷販賣買未上市櫃股票</w:t>
            </w:r>
          </w:p>
        </w:tc>
        <w:tc>
          <w:tcPr>
            <w:tcW w:w="6490" w:type="dxa"/>
          </w:tcPr>
          <w:p w14:paraId="59DB107A" w14:textId="161D4685" w:rsidR="002868C8" w:rsidRPr="007619F7" w:rsidRDefault="002868C8" w:rsidP="003E099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詐騙集團假扮合法投資顧問公司，</w:t>
            </w:r>
            <w:r w:rsidR="009F4C89" w:rsidRPr="007619F7">
              <w:rPr>
                <w:rFonts w:ascii="標楷體" w:eastAsia="標楷體" w:hAnsi="標楷體" w:hint="eastAsia"/>
                <w:sz w:val="26"/>
                <w:szCs w:val="26"/>
              </w:rPr>
              <w:t>先以低價買進大量未上市股票，再</w:t>
            </w:r>
            <w:r w:rsidR="007C359E" w:rsidRPr="007619F7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電話推銷</w:t>
            </w:r>
            <w:r w:rsidR="007C359E" w:rsidRPr="007619F7"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  <w:r w:rsidR="007F5385" w:rsidRPr="007619F7">
              <w:rPr>
                <w:rFonts w:ascii="標楷體" w:eastAsia="標楷體" w:hAnsi="標楷體" w:hint="eastAsia"/>
                <w:sz w:val="26"/>
                <w:szCs w:val="26"/>
              </w:rPr>
              <w:t>高價</w:t>
            </w:r>
            <w:r w:rsidR="007C359E" w:rsidRPr="007619F7">
              <w:rPr>
                <w:rFonts w:ascii="標楷體" w:eastAsia="標楷體" w:hAnsi="標楷體" w:hint="eastAsia"/>
                <w:sz w:val="26"/>
                <w:szCs w:val="26"/>
              </w:rPr>
              <w:t>賣</w:t>
            </w:r>
            <w:r w:rsidR="009F4C89" w:rsidRPr="007619F7">
              <w:rPr>
                <w:rFonts w:ascii="標楷體" w:eastAsia="標楷體" w:hAnsi="標楷體" w:hint="eastAsia"/>
                <w:sz w:val="26"/>
                <w:szCs w:val="26"/>
              </w:rPr>
              <w:t>給投資人</w:t>
            </w:r>
            <w:r w:rsidR="007C359E" w:rsidRPr="007619F7">
              <w:rPr>
                <w:rFonts w:ascii="標楷體" w:eastAsia="標楷體" w:hAnsi="標楷體" w:hint="eastAsia"/>
                <w:sz w:val="26"/>
                <w:szCs w:val="26"/>
              </w:rPr>
              <w:t>，除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聲稱這些股票半年內會登錄興櫃交易，並</w:t>
            </w:r>
            <w:r w:rsidR="009F4C89" w:rsidRPr="007619F7">
              <w:rPr>
                <w:rFonts w:ascii="標楷體" w:eastAsia="標楷體" w:hAnsi="標楷體" w:hint="eastAsia"/>
                <w:sz w:val="26"/>
                <w:szCs w:val="26"/>
              </w:rPr>
              <w:t>保證</w:t>
            </w:r>
            <w:r w:rsidR="007F5385" w:rsidRPr="007619F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9F4C89" w:rsidRPr="007619F7">
              <w:rPr>
                <w:rFonts w:ascii="標楷體" w:eastAsia="標楷體" w:hAnsi="標楷體" w:hint="eastAsia"/>
                <w:sz w:val="26"/>
                <w:szCs w:val="26"/>
              </w:rPr>
              <w:t>後以高於興櫃價格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收購，</w:t>
            </w:r>
            <w:r w:rsidR="009F4C89" w:rsidRPr="007619F7">
              <w:rPr>
                <w:rFonts w:ascii="標楷體" w:eastAsia="標楷體" w:hAnsi="標楷體" w:hint="eastAsia"/>
                <w:sz w:val="26"/>
                <w:szCs w:val="26"/>
              </w:rPr>
              <w:t>投資人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絕對</w:t>
            </w:r>
            <w:r w:rsidR="005B1A5D" w:rsidRPr="007619F7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穩賺不賠。</w:t>
            </w:r>
          </w:p>
        </w:tc>
      </w:tr>
      <w:tr w:rsidR="002868C8" w:rsidRPr="0014292E" w14:paraId="15FFD379" w14:textId="77777777" w:rsidTr="007619F7">
        <w:trPr>
          <w:trHeight w:val="156"/>
        </w:trPr>
        <w:tc>
          <w:tcPr>
            <w:tcW w:w="3291" w:type="dxa"/>
            <w:vAlign w:val="center"/>
          </w:tcPr>
          <w:p w14:paraId="4C85BD55" w14:textId="77777777" w:rsidR="002868C8" w:rsidRPr="007619F7" w:rsidRDefault="002868C8" w:rsidP="003E0997">
            <w:pPr>
              <w:jc w:val="center"/>
              <w:rPr>
                <w:rFonts w:ascii="標楷體" w:eastAsia="標楷體" w:hAnsi="標楷體" w:cs="Helvetica"/>
                <w:color w:val="232A31"/>
                <w:sz w:val="26"/>
                <w:szCs w:val="26"/>
                <w:shd w:val="clear" w:color="auto" w:fill="FFFFFF"/>
              </w:rPr>
            </w:pPr>
            <w:r w:rsidRPr="007619F7">
              <w:rPr>
                <w:rFonts w:ascii="標楷體" w:eastAsia="標楷體" w:hAnsi="標楷體" w:cs="Helvetica" w:hint="eastAsia"/>
                <w:color w:val="232A31"/>
                <w:sz w:val="26"/>
                <w:szCs w:val="26"/>
                <w:shd w:val="clear" w:color="auto" w:fill="FFFFFF"/>
              </w:rPr>
              <w:t>新股IPO申購詐騙</w:t>
            </w:r>
          </w:p>
        </w:tc>
        <w:tc>
          <w:tcPr>
            <w:tcW w:w="6490" w:type="dxa"/>
          </w:tcPr>
          <w:p w14:paraId="41BD4B55" w14:textId="37FFCE02" w:rsidR="002868C8" w:rsidRPr="007619F7" w:rsidRDefault="002868C8" w:rsidP="003E099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詐騙集團假冒知名投資機構，創建假App</w:t>
            </w:r>
            <w:r w:rsidR="007F5385" w:rsidRPr="007619F7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宣稱該App內提供單一股票就能參與7到8張的新股申購</w:t>
            </w:r>
            <w:r w:rsidR="007F5385" w:rsidRPr="007619F7">
              <w:rPr>
                <w:rFonts w:ascii="標楷體" w:eastAsia="標楷體" w:hAnsi="標楷體" w:hint="eastAsia"/>
                <w:sz w:val="26"/>
                <w:szCs w:val="26"/>
              </w:rPr>
              <w:t>功能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，並以「台股代操、新股申購」等高投報酬話術，來誘騙民眾投資</w:t>
            </w:r>
            <w:r w:rsidR="005B1A5D" w:rsidRPr="007619F7">
              <w:rPr>
                <w:rFonts w:ascii="標楷體" w:eastAsia="標楷體" w:hAnsi="標楷體" w:hint="eastAsia"/>
                <w:sz w:val="26"/>
                <w:szCs w:val="26"/>
              </w:rPr>
              <w:t>，騙取錢財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868C8" w:rsidRPr="00534038" w14:paraId="1B3C1928" w14:textId="77777777" w:rsidTr="007619F7">
        <w:trPr>
          <w:trHeight w:val="3446"/>
        </w:trPr>
        <w:tc>
          <w:tcPr>
            <w:tcW w:w="3291" w:type="dxa"/>
            <w:vAlign w:val="center"/>
          </w:tcPr>
          <w:p w14:paraId="12608966" w14:textId="77777777" w:rsidR="002868C8" w:rsidRPr="007619F7" w:rsidRDefault="002868C8" w:rsidP="003E09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7619F7">
              <w:rPr>
                <w:rFonts w:ascii="標楷體" w:eastAsia="標楷體" w:hAnsi="標楷體" w:cs="Helvetica"/>
                <w:color w:val="232A31"/>
                <w:sz w:val="26"/>
                <w:szCs w:val="26"/>
                <w:shd w:val="clear" w:color="auto" w:fill="FFFFFF"/>
              </w:rPr>
              <w:t>虛擬貨幣交易平台</w:t>
            </w:r>
          </w:p>
        </w:tc>
        <w:tc>
          <w:tcPr>
            <w:tcW w:w="6490" w:type="dxa"/>
          </w:tcPr>
          <w:p w14:paraId="1C83C9A0" w14:textId="6C1B1F96" w:rsidR="002868C8" w:rsidRPr="007619F7" w:rsidRDefault="002868C8" w:rsidP="003E099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詐騙集團私自建置</w:t>
            </w:r>
            <w:r w:rsidRPr="007619F7">
              <w:rPr>
                <w:rFonts w:ascii="標楷體" w:eastAsia="標楷體" w:hAnsi="標楷體" w:cs="Helvetica"/>
                <w:color w:val="232A31"/>
                <w:sz w:val="26"/>
                <w:szCs w:val="26"/>
                <w:shd w:val="clear" w:color="auto" w:fill="FFFFFF"/>
              </w:rPr>
              <w:t>虛擬貨幣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交易平台，虛構金融監管牌照，或仿冒知名交易所Logo，勸誘投資人入金交易</w:t>
            </w:r>
            <w:r w:rsidR="007F5385" w:rsidRPr="007619F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主要詐騙手法包括：</w:t>
            </w:r>
          </w:p>
          <w:p w14:paraId="06DAC21D" w14:textId="77777777" w:rsidR="002868C8" w:rsidRPr="007619F7" w:rsidRDefault="002868C8" w:rsidP="002868C8">
            <w:pPr>
              <w:pStyle w:val="ab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平台中止營運：當投資人數和資金達到一定規模，就宣佈平台倒閉，或私自關閉平台，轉移資產。一旦投資人上當受騙，其損失難以追回。</w:t>
            </w:r>
          </w:p>
          <w:p w14:paraId="115594DA" w14:textId="77777777" w:rsidR="002868C8" w:rsidRPr="007619F7" w:rsidRDefault="002868C8" w:rsidP="002868C8">
            <w:pPr>
              <w:pStyle w:val="ab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619F7">
              <w:rPr>
                <w:rFonts w:ascii="標楷體" w:eastAsia="標楷體" w:hAnsi="標楷體" w:hint="eastAsia"/>
                <w:sz w:val="26"/>
                <w:szCs w:val="26"/>
              </w:rPr>
              <w:t>禁止提現：仿冒之虛擬貨幣交易所會凍結投資人帳戶，讓投資人不能交易和出入金，並聲稱只有追加入金，增加交易量，或者補充若干的稅金才能正常使用帳戶和出金。</w:t>
            </w:r>
          </w:p>
        </w:tc>
      </w:tr>
    </w:tbl>
    <w:p w14:paraId="0813B69A" w14:textId="77777777" w:rsidR="00B13E41" w:rsidRPr="002868C8" w:rsidRDefault="00B53927" w:rsidP="002868C8"/>
    <w:sectPr w:rsidR="00B13E41" w:rsidRPr="002868C8" w:rsidSect="002868C8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9CBF9" w14:textId="77777777" w:rsidR="00B53927" w:rsidRDefault="00B53927" w:rsidP="000E655E">
      <w:pPr>
        <w:spacing w:after="0" w:line="240" w:lineRule="auto"/>
      </w:pPr>
      <w:r>
        <w:separator/>
      </w:r>
    </w:p>
  </w:endnote>
  <w:endnote w:type="continuationSeparator" w:id="0">
    <w:p w14:paraId="2C5652F8" w14:textId="77777777" w:rsidR="00B53927" w:rsidRDefault="00B53927" w:rsidP="000E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381C1" w14:textId="77777777" w:rsidR="00B53927" w:rsidRDefault="00B53927" w:rsidP="000E655E">
      <w:pPr>
        <w:spacing w:after="0" w:line="240" w:lineRule="auto"/>
      </w:pPr>
      <w:r>
        <w:separator/>
      </w:r>
    </w:p>
  </w:footnote>
  <w:footnote w:type="continuationSeparator" w:id="0">
    <w:p w14:paraId="000D2580" w14:textId="77777777" w:rsidR="00B53927" w:rsidRDefault="00B53927" w:rsidP="000E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00E7C"/>
    <w:multiLevelType w:val="hybridMultilevel"/>
    <w:tmpl w:val="4184D1B4"/>
    <w:lvl w:ilvl="0" w:tplc="6D386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2B3A8E"/>
    <w:multiLevelType w:val="hybridMultilevel"/>
    <w:tmpl w:val="133E80BA"/>
    <w:lvl w:ilvl="0" w:tplc="2D163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C8"/>
    <w:rsid w:val="000B2394"/>
    <w:rsid w:val="000E655E"/>
    <w:rsid w:val="00102A36"/>
    <w:rsid w:val="00173C6E"/>
    <w:rsid w:val="00250D34"/>
    <w:rsid w:val="002868C8"/>
    <w:rsid w:val="002D14C9"/>
    <w:rsid w:val="003B0801"/>
    <w:rsid w:val="00515D4D"/>
    <w:rsid w:val="005B1A5D"/>
    <w:rsid w:val="006705CC"/>
    <w:rsid w:val="007619F7"/>
    <w:rsid w:val="00790C8D"/>
    <w:rsid w:val="007A6EA6"/>
    <w:rsid w:val="007C359E"/>
    <w:rsid w:val="007C64D1"/>
    <w:rsid w:val="007F5385"/>
    <w:rsid w:val="007F755B"/>
    <w:rsid w:val="009641B6"/>
    <w:rsid w:val="009F4C89"/>
    <w:rsid w:val="00B229EA"/>
    <w:rsid w:val="00B53927"/>
    <w:rsid w:val="00BA4E96"/>
    <w:rsid w:val="00C85895"/>
    <w:rsid w:val="00D71CBB"/>
    <w:rsid w:val="00DD3828"/>
    <w:rsid w:val="00E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AF51"/>
  <w15:chartTrackingRefBased/>
  <w15:docId w15:val="{8D6F4FB7-A495-4A38-822E-09F4F4A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8C8"/>
  </w:style>
  <w:style w:type="paragraph" w:styleId="1">
    <w:name w:val="heading 1"/>
    <w:basedOn w:val="a"/>
    <w:next w:val="a"/>
    <w:link w:val="10"/>
    <w:uiPriority w:val="9"/>
    <w:qFormat/>
    <w:rsid w:val="00250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672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34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34"/>
    <w:pPr>
      <w:keepNext/>
      <w:keepLines/>
      <w:spacing w:before="40" w:after="0"/>
      <w:outlineLvl w:val="4"/>
    </w:pPr>
    <w:rPr>
      <w:color w:val="1481A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34"/>
    <w:pPr>
      <w:keepNext/>
      <w:keepLines/>
      <w:spacing w:before="40" w:after="0"/>
      <w:outlineLvl w:val="5"/>
    </w:pPr>
    <w:rPr>
      <w:color w:val="0D5672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3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0D34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250D34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50D34"/>
    <w:rPr>
      <w:rFonts w:asciiTheme="majorHAnsi" w:eastAsiaTheme="majorEastAsia" w:hAnsiTheme="majorHAnsi" w:cstheme="majorBidi"/>
      <w:color w:val="0D5672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250D34"/>
    <w:rPr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250D34"/>
    <w:rPr>
      <w:color w:val="1481AB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50D34"/>
    <w:rPr>
      <w:color w:val="0D5672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250D34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250D34"/>
    <w:rPr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250D3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50D34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D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250D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0D3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標題 字元"/>
    <w:basedOn w:val="a0"/>
    <w:link w:val="a6"/>
    <w:uiPriority w:val="11"/>
    <w:rsid w:val="00250D3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250D34"/>
    <w:rPr>
      <w:b/>
      <w:bCs/>
      <w:color w:val="auto"/>
    </w:rPr>
  </w:style>
  <w:style w:type="character" w:styleId="a9">
    <w:name w:val="Emphasis"/>
    <w:basedOn w:val="a0"/>
    <w:uiPriority w:val="20"/>
    <w:qFormat/>
    <w:rsid w:val="00250D34"/>
    <w:rPr>
      <w:i/>
      <w:iCs/>
      <w:color w:val="auto"/>
    </w:rPr>
  </w:style>
  <w:style w:type="paragraph" w:styleId="aa">
    <w:name w:val="No Spacing"/>
    <w:uiPriority w:val="1"/>
    <w:qFormat/>
    <w:rsid w:val="00250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D34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250D3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文 字元"/>
    <w:basedOn w:val="a0"/>
    <w:link w:val="ac"/>
    <w:uiPriority w:val="29"/>
    <w:rsid w:val="00250D34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250D3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af">
    <w:name w:val="鮮明引文 字元"/>
    <w:basedOn w:val="a0"/>
    <w:link w:val="ae"/>
    <w:uiPriority w:val="30"/>
    <w:rsid w:val="00250D34"/>
    <w:rPr>
      <w:i/>
      <w:iCs/>
      <w:color w:val="1CADE4" w:themeColor="accent1"/>
    </w:rPr>
  </w:style>
  <w:style w:type="character" w:styleId="af0">
    <w:name w:val="Subtle Emphasis"/>
    <w:basedOn w:val="a0"/>
    <w:uiPriority w:val="19"/>
    <w:qFormat/>
    <w:rsid w:val="00250D3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250D34"/>
    <w:rPr>
      <w:i/>
      <w:iCs/>
      <w:color w:val="1CADE4" w:themeColor="accent1"/>
    </w:rPr>
  </w:style>
  <w:style w:type="character" w:styleId="af2">
    <w:name w:val="Subtle Reference"/>
    <w:basedOn w:val="a0"/>
    <w:uiPriority w:val="31"/>
    <w:qFormat/>
    <w:rsid w:val="00250D34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250D34"/>
    <w:rPr>
      <w:b/>
      <w:bCs/>
      <w:smallCaps/>
      <w:color w:val="1CADE4" w:themeColor="accent1"/>
      <w:spacing w:val="5"/>
    </w:rPr>
  </w:style>
  <w:style w:type="character" w:styleId="af4">
    <w:name w:val="Book Title"/>
    <w:basedOn w:val="a0"/>
    <w:uiPriority w:val="33"/>
    <w:qFormat/>
    <w:rsid w:val="00250D34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50D34"/>
    <w:pPr>
      <w:outlineLvl w:val="9"/>
    </w:pPr>
  </w:style>
  <w:style w:type="table" w:styleId="af6">
    <w:name w:val="Table Grid"/>
    <w:basedOn w:val="a1"/>
    <w:uiPriority w:val="39"/>
    <w:rsid w:val="0028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0E6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0E655E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0E6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0E655E"/>
    <w:rPr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9641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964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要素">
  <a:themeElements>
    <a:clrScheme name="要素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要素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要素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D1CA85-68FD-4B3F-A692-371AE8CE1785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4970-6FFA-43A1-AFAC-5BD3323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翁浚齊</dc:creator>
  <cp:keywords/>
  <dc:description/>
  <cp:lastModifiedBy>證券商公會 高正芬</cp:lastModifiedBy>
  <cp:revision>2</cp:revision>
  <dcterms:created xsi:type="dcterms:W3CDTF">2022-10-26T02:37:00Z</dcterms:created>
  <dcterms:modified xsi:type="dcterms:W3CDTF">2022-10-26T02:37:00Z</dcterms:modified>
</cp:coreProperties>
</file>