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C530" w14:textId="4DD48EFB" w:rsidR="005C0A12" w:rsidRPr="006C2F3F" w:rsidRDefault="00155809" w:rsidP="006C2F3F">
      <w:pPr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【2024/03/29新聞稿】</w:t>
      </w:r>
      <w:r w:rsidR="009D1C99" w:rsidRPr="006C2F3F">
        <w:rPr>
          <w:rFonts w:ascii="標楷體" w:eastAsia="標楷體" w:hAnsi="標楷體" w:hint="eastAsia"/>
          <w:b/>
          <w:bCs/>
          <w:sz w:val="32"/>
          <w:szCs w:val="32"/>
        </w:rPr>
        <w:t>投資</w:t>
      </w:r>
      <w:r w:rsidR="00643481" w:rsidRPr="006C2F3F">
        <w:rPr>
          <w:rFonts w:ascii="標楷體" w:eastAsia="標楷體" w:hAnsi="標楷體" w:hint="eastAsia"/>
          <w:b/>
          <w:bCs/>
          <w:sz w:val="32"/>
          <w:szCs w:val="32"/>
        </w:rPr>
        <w:t>金融</w:t>
      </w:r>
      <w:r w:rsidR="009D1C99" w:rsidRPr="006C2F3F">
        <w:rPr>
          <w:rFonts w:ascii="標楷體" w:eastAsia="標楷體" w:hAnsi="標楷體" w:hint="eastAsia"/>
          <w:b/>
          <w:bCs/>
          <w:sz w:val="32"/>
          <w:szCs w:val="32"/>
        </w:rPr>
        <w:t>商品，</w:t>
      </w:r>
      <w:r w:rsidR="00643481" w:rsidRPr="006C2F3F">
        <w:rPr>
          <w:rFonts w:ascii="標楷體" w:eastAsia="標楷體" w:hAnsi="標楷體" w:hint="eastAsia"/>
          <w:b/>
          <w:bCs/>
          <w:sz w:val="32"/>
          <w:szCs w:val="32"/>
        </w:rPr>
        <w:t>應先瞭解商品風險，審慎投資</w:t>
      </w:r>
    </w:p>
    <w:p w14:paraId="12322B35" w14:textId="77777777" w:rsidR="00C67A5C" w:rsidRPr="006C2F3F" w:rsidRDefault="00C67A5C" w:rsidP="006C2F3F">
      <w:pPr>
        <w:snapToGrid w:val="0"/>
        <w:spacing w:line="560" w:lineRule="exact"/>
        <w:jc w:val="both"/>
        <w:rPr>
          <w:rFonts w:ascii="標楷體" w:eastAsia="標楷體" w:hAnsi="標楷體"/>
          <w:sz w:val="32"/>
          <w:szCs w:val="32"/>
        </w:rPr>
      </w:pPr>
    </w:p>
    <w:p w14:paraId="0D66376E" w14:textId="3409C037" w:rsidR="006F6A77" w:rsidRPr="006C2F3F" w:rsidRDefault="00EA3770" w:rsidP="006C2F3F">
      <w:pPr>
        <w:snapToGrid w:val="0"/>
        <w:spacing w:after="100" w:afterAutospacing="1" w:line="560" w:lineRule="exact"/>
        <w:ind w:firstLineChars="200" w:firstLine="660"/>
        <w:jc w:val="both"/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</w:pPr>
      <w:r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近期</w:t>
      </w:r>
      <w:r w:rsidR="00643481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網路上出現介紹</w:t>
      </w:r>
      <w:r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新發行之</w:t>
      </w:r>
      <w:r w:rsidR="00CD4425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高息</w:t>
      </w:r>
      <w:r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E</w:t>
      </w:r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TF</w:t>
      </w:r>
      <w:r w:rsidR="00AF01AE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的訊息</w:t>
      </w:r>
      <w:r w:rsidR="00643481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，</w:t>
      </w:r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標榜預算有限的</w:t>
      </w:r>
      <w:proofErr w:type="gramStart"/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小資族</w:t>
      </w:r>
      <w:proofErr w:type="gramEnd"/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也能低價買進、每月領息，成為</w:t>
      </w:r>
      <w:proofErr w:type="gramStart"/>
      <w:r w:rsidR="002D4C0F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定存</w:t>
      </w:r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族的</w:t>
      </w:r>
      <w:proofErr w:type="gramEnd"/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新歡</w:t>
      </w:r>
      <w:r w:rsidR="002241B5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，更有</w:t>
      </w:r>
      <w:r w:rsidR="009D1C99" w:rsidRPr="006C2F3F">
        <w:rPr>
          <w:rFonts w:ascii="標楷體" w:eastAsia="標楷體" w:hAnsi="標楷體" w:hint="eastAsia"/>
          <w:color w:val="222222"/>
          <w:spacing w:val="5"/>
          <w:sz w:val="32"/>
          <w:szCs w:val="32"/>
          <w:shd w:val="clear" w:color="auto" w:fill="FFFFFF"/>
        </w:rPr>
        <w:t>新聞報導投資人</w:t>
      </w:r>
      <w:r w:rsidR="002241B5" w:rsidRPr="006C2F3F">
        <w:rPr>
          <w:rFonts w:ascii="標楷體" w:eastAsia="標楷體" w:hAnsi="標楷體"/>
          <w:color w:val="232A31"/>
          <w:sz w:val="32"/>
          <w:szCs w:val="32"/>
          <w:shd w:val="clear" w:color="auto" w:fill="FFFFFF"/>
        </w:rPr>
        <w:t>解定存、拿房子</w:t>
      </w:r>
      <w:r w:rsidR="00643481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或股票</w:t>
      </w:r>
      <w:r w:rsidR="002241B5" w:rsidRPr="006C2F3F">
        <w:rPr>
          <w:rFonts w:ascii="標楷體" w:eastAsia="標楷體" w:hAnsi="標楷體"/>
          <w:color w:val="232A31"/>
          <w:sz w:val="32"/>
          <w:szCs w:val="32"/>
          <w:shd w:val="clear" w:color="auto" w:fill="FFFFFF"/>
        </w:rPr>
        <w:t>貸款購買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E</w:t>
      </w:r>
      <w:r w:rsidR="002241B5" w:rsidRPr="006C2F3F">
        <w:rPr>
          <w:rFonts w:ascii="標楷體" w:eastAsia="標楷體" w:hAnsi="標楷體"/>
          <w:color w:val="232A31"/>
          <w:sz w:val="32"/>
          <w:szCs w:val="32"/>
          <w:shd w:val="clear" w:color="auto" w:fill="FFFFFF"/>
        </w:rPr>
        <w:t>TF</w:t>
      </w:r>
      <w:r w:rsidRPr="006C2F3F">
        <w:rPr>
          <w:rFonts w:ascii="標楷體" w:eastAsia="標楷體" w:hAnsi="標楷體"/>
          <w:color w:val="222222"/>
          <w:spacing w:val="5"/>
          <w:sz w:val="32"/>
          <w:szCs w:val="32"/>
          <w:shd w:val="clear" w:color="auto" w:fill="FFFFFF"/>
        </w:rPr>
        <w:t>。</w:t>
      </w:r>
    </w:p>
    <w:p w14:paraId="33C8834B" w14:textId="7D9DD041" w:rsidR="00C67A5C" w:rsidRPr="006C2F3F" w:rsidRDefault="00EA3770" w:rsidP="006C2F3F">
      <w:pPr>
        <w:pStyle w:val="Web"/>
        <w:shd w:val="clear" w:color="auto" w:fill="FFFFFF"/>
        <w:snapToGrid w:val="0"/>
        <w:spacing w:before="0" w:beforeAutospacing="0" w:line="560" w:lineRule="exact"/>
        <w:ind w:firstLineChars="200" w:firstLine="640"/>
        <w:jc w:val="both"/>
        <w:rPr>
          <w:rFonts w:ascii="標楷體" w:eastAsia="標楷體" w:hAnsi="標楷體"/>
          <w:spacing w:val="15"/>
          <w:sz w:val="32"/>
          <w:szCs w:val="32"/>
        </w:rPr>
      </w:pPr>
      <w:r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券商公會提醒投資大眾，所有投資</w:t>
      </w:r>
      <w:r w:rsidR="006F6A77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都</w:t>
      </w:r>
      <w:r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有風險</w:t>
      </w:r>
      <w:r w:rsidR="006F6A77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，</w:t>
      </w:r>
      <w:r w:rsidR="009D1C99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並</w:t>
      </w:r>
      <w:r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非穩賺不賠，</w:t>
      </w:r>
      <w:r w:rsidR="00C67A5C" w:rsidRPr="0015580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解定存、拿房子</w:t>
      </w:r>
      <w:r w:rsidR="00CD4425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或股票</w:t>
      </w:r>
      <w:r w:rsidR="004D2142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擔保</w:t>
      </w:r>
      <w:r w:rsidR="00C67A5C" w:rsidRPr="0015580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貸款購買</w:t>
      </w:r>
      <w:r w:rsidR="00AF01AE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高息</w:t>
      </w:r>
      <w:r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E</w:t>
      </w:r>
      <w:r w:rsidRPr="0015580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TF</w:t>
      </w:r>
      <w:r w:rsidR="00C67A5C" w:rsidRPr="0015580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，</w:t>
      </w:r>
      <w:r w:rsidR="00E91047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期待穩定配息，卻忽略</w:t>
      </w:r>
      <w:r w:rsidR="00AF01AE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訴求高息</w:t>
      </w:r>
      <w:r w:rsidR="00CD4425" w:rsidRPr="0015580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ETF</w:t>
      </w:r>
      <w:r w:rsidR="00CD4425" w:rsidRPr="0015580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的</w:t>
      </w:r>
      <w:r w:rsidR="00CD4425" w:rsidRPr="00155809">
        <w:rPr>
          <w:rFonts w:ascii="標楷體" w:eastAsia="標楷體" w:hAnsi="標楷體" w:hint="eastAsia"/>
          <w:color w:val="000000" w:themeColor="text1"/>
          <w:spacing w:val="15"/>
          <w:sz w:val="32"/>
          <w:szCs w:val="32"/>
        </w:rPr>
        <w:t>配息係依據基金實際收益情況</w:t>
      </w:r>
      <w:r w:rsidR="00CD4425" w:rsidRPr="006C2F3F">
        <w:rPr>
          <w:rFonts w:ascii="標楷體" w:eastAsia="標楷體" w:hAnsi="標楷體" w:hint="eastAsia"/>
          <w:spacing w:val="15"/>
          <w:sz w:val="32"/>
          <w:szCs w:val="32"/>
        </w:rPr>
        <w:t>，決定是否分配收益以及決定當次分配金額，故每次分配金額並非一定相同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，尤其是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以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貸款購買E</w:t>
      </w:r>
      <w:r w:rsidR="0061350C" w:rsidRPr="006C2F3F">
        <w:rPr>
          <w:rFonts w:ascii="標楷體" w:eastAsia="標楷體" w:hAnsi="標楷體"/>
          <w:spacing w:val="15"/>
          <w:sz w:val="32"/>
          <w:szCs w:val="32"/>
        </w:rPr>
        <w:t>TF</w:t>
      </w:r>
      <w:r w:rsidR="00CD4425" w:rsidRPr="006C2F3F">
        <w:rPr>
          <w:rFonts w:ascii="標楷體" w:eastAsia="標楷體" w:hAnsi="標楷體" w:hint="eastAsia"/>
          <w:spacing w:val="15"/>
          <w:sz w:val="32"/>
          <w:szCs w:val="32"/>
        </w:rPr>
        <w:t>，</w:t>
      </w:r>
      <w:r w:rsidR="00B158C3" w:rsidRPr="006C2F3F">
        <w:rPr>
          <w:rFonts w:ascii="標楷體" w:eastAsia="標楷體" w:hAnsi="標楷體"/>
          <w:spacing w:val="15"/>
          <w:sz w:val="32"/>
          <w:szCs w:val="32"/>
        </w:rPr>
        <w:t>一旦</w:t>
      </w:r>
      <w:r w:rsidRPr="006C2F3F">
        <w:rPr>
          <w:rFonts w:ascii="標楷體" w:eastAsia="標楷體" w:hAnsi="標楷體" w:hint="eastAsia"/>
          <w:spacing w:val="15"/>
          <w:sz w:val="32"/>
          <w:szCs w:val="32"/>
        </w:rPr>
        <w:t>配息不如預期</w:t>
      </w:r>
      <w:r w:rsidR="00B158C3" w:rsidRPr="006C2F3F">
        <w:rPr>
          <w:rFonts w:ascii="標楷體" w:eastAsia="標楷體" w:hAnsi="標楷體"/>
          <w:spacing w:val="15"/>
          <w:sz w:val="32"/>
          <w:szCs w:val="32"/>
        </w:rPr>
        <w:t>便</w:t>
      </w:r>
      <w:r w:rsidR="006F6A77" w:rsidRPr="006C2F3F">
        <w:rPr>
          <w:rFonts w:ascii="標楷體" w:eastAsia="標楷體" w:hAnsi="標楷體" w:hint="eastAsia"/>
          <w:spacing w:val="15"/>
          <w:sz w:val="32"/>
          <w:szCs w:val="32"/>
        </w:rPr>
        <w:t>有可能</w:t>
      </w:r>
      <w:r w:rsidR="00B158C3" w:rsidRPr="006C2F3F">
        <w:rPr>
          <w:rFonts w:ascii="標楷體" w:eastAsia="標楷體" w:hAnsi="標楷體"/>
          <w:spacing w:val="15"/>
          <w:sz w:val="32"/>
          <w:szCs w:val="32"/>
        </w:rPr>
        <w:t>被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貸款</w:t>
      </w:r>
      <w:r w:rsidR="00B158C3" w:rsidRPr="006C2F3F">
        <w:rPr>
          <w:rFonts w:ascii="標楷體" w:eastAsia="標楷體" w:hAnsi="標楷體"/>
          <w:spacing w:val="15"/>
          <w:sz w:val="32"/>
          <w:szCs w:val="32"/>
        </w:rPr>
        <w:t>利息追著跑，</w:t>
      </w:r>
      <w:r w:rsidR="00CD4425" w:rsidRPr="006C2F3F">
        <w:rPr>
          <w:rFonts w:ascii="標楷體" w:eastAsia="標楷體" w:hAnsi="標楷體" w:hint="eastAsia"/>
          <w:spacing w:val="15"/>
          <w:sz w:val="32"/>
          <w:szCs w:val="32"/>
        </w:rPr>
        <w:t>且投資人</w:t>
      </w:r>
      <w:r w:rsidR="00430B71" w:rsidRPr="006C2F3F">
        <w:rPr>
          <w:rFonts w:ascii="標楷體" w:eastAsia="標楷體" w:hAnsi="標楷體" w:hint="eastAsia"/>
          <w:spacing w:val="15"/>
          <w:sz w:val="32"/>
          <w:szCs w:val="32"/>
        </w:rPr>
        <w:t>同時</w:t>
      </w:r>
      <w:r w:rsidR="00CD4425" w:rsidRPr="006C2F3F">
        <w:rPr>
          <w:rFonts w:ascii="標楷體" w:eastAsia="標楷體" w:hAnsi="標楷體" w:hint="eastAsia"/>
          <w:spacing w:val="15"/>
          <w:sz w:val="32"/>
          <w:szCs w:val="32"/>
        </w:rPr>
        <w:t>需留意質押的擔保品維持率是否足夠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，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以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避免擔保品被處分賣出。另外</w:t>
      </w:r>
      <w:r w:rsidR="00AF01AE" w:rsidRPr="006C2F3F">
        <w:rPr>
          <w:rFonts w:ascii="標楷體" w:eastAsia="標楷體" w:hAnsi="標楷體"/>
          <w:spacing w:val="15"/>
          <w:sz w:val="32"/>
          <w:szCs w:val="32"/>
        </w:rPr>
        <w:t>ETF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價格會受到市場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行情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變動影響，ETF投資標的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如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為指數成分股，其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主要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成分股價格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若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下跌，ETF價格也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會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跟著下跌而影響投資人報酬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，</w:t>
      </w:r>
      <w:r w:rsidR="0061350C" w:rsidRPr="006C2F3F">
        <w:rPr>
          <w:rFonts w:ascii="標楷體" w:eastAsia="標楷體" w:hAnsi="標楷體" w:hint="eastAsia"/>
          <w:spacing w:val="15"/>
          <w:sz w:val="32"/>
          <w:szCs w:val="32"/>
        </w:rPr>
        <w:t>所以投資人</w:t>
      </w:r>
      <w:r w:rsidR="00AE07E6" w:rsidRPr="006C2F3F">
        <w:rPr>
          <w:rFonts w:ascii="標楷體" w:eastAsia="標楷體" w:hAnsi="標楷體" w:hint="eastAsia"/>
          <w:spacing w:val="15"/>
          <w:sz w:val="32"/>
          <w:szCs w:val="32"/>
        </w:rPr>
        <w:t>投資高息E</w:t>
      </w:r>
      <w:r w:rsidR="00AE07E6" w:rsidRPr="006C2F3F">
        <w:rPr>
          <w:rFonts w:ascii="標楷體" w:eastAsia="標楷體" w:hAnsi="標楷體"/>
          <w:spacing w:val="15"/>
          <w:sz w:val="32"/>
          <w:szCs w:val="32"/>
        </w:rPr>
        <w:t>TF</w:t>
      </w:r>
      <w:r w:rsidR="00AE07E6" w:rsidRPr="006C2F3F">
        <w:rPr>
          <w:rFonts w:ascii="標楷體" w:eastAsia="標楷體" w:hAnsi="標楷體" w:hint="eastAsia"/>
          <w:spacing w:val="15"/>
          <w:sz w:val="32"/>
          <w:szCs w:val="32"/>
        </w:rPr>
        <w:t>除要瞭解其配息並非年年相同外，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亦需</w:t>
      </w:r>
      <w:r w:rsidR="00AE07E6" w:rsidRPr="006C2F3F">
        <w:rPr>
          <w:rFonts w:ascii="標楷體" w:eastAsia="標楷體" w:hAnsi="標楷體" w:hint="eastAsia"/>
          <w:spacing w:val="15"/>
          <w:sz w:val="32"/>
          <w:szCs w:val="32"/>
        </w:rPr>
        <w:t>注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意市場</w:t>
      </w:r>
      <w:r w:rsidR="00B03800" w:rsidRPr="006C2F3F">
        <w:rPr>
          <w:rFonts w:ascii="標楷體" w:eastAsia="標楷體" w:hAnsi="標楷體" w:hint="eastAsia"/>
          <w:spacing w:val="15"/>
          <w:sz w:val="32"/>
          <w:szCs w:val="32"/>
        </w:rPr>
        <w:t>價格</w:t>
      </w:r>
      <w:r w:rsidR="00925631" w:rsidRPr="006C2F3F">
        <w:rPr>
          <w:rFonts w:ascii="標楷體" w:eastAsia="標楷體" w:hAnsi="標楷體" w:hint="eastAsia"/>
          <w:spacing w:val="15"/>
          <w:sz w:val="32"/>
          <w:szCs w:val="32"/>
        </w:rPr>
        <w:t>波動風險。</w:t>
      </w:r>
    </w:p>
    <w:p w14:paraId="111F39AD" w14:textId="385BB206" w:rsidR="006F6A77" w:rsidRPr="006C2F3F" w:rsidRDefault="006F6A77" w:rsidP="006C2F3F">
      <w:pPr>
        <w:pStyle w:val="Web"/>
        <w:shd w:val="clear" w:color="auto" w:fill="FFFFFF"/>
        <w:snapToGrid w:val="0"/>
        <w:spacing w:before="0" w:beforeAutospacing="0" w:line="560" w:lineRule="exact"/>
        <w:ind w:firstLineChars="200" w:firstLine="640"/>
        <w:jc w:val="both"/>
        <w:rPr>
          <w:rFonts w:ascii="標楷體" w:eastAsia="標楷體" w:hAnsi="標楷體"/>
          <w:color w:val="232A31"/>
          <w:sz w:val="32"/>
          <w:szCs w:val="32"/>
        </w:rPr>
      </w:pP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投資人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投資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任何理財商品(包括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基金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)</w:t>
      </w:r>
      <w:r w:rsidR="009D1C99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應先充分了解商品特性與風險，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養成正確理財觀念，</w:t>
      </w:r>
      <w:r w:rsidR="009D1C99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並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評估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自身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風險承受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能力，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妥善規劃個人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投資理財</w:t>
      </w:r>
      <w:r w:rsidR="002241B5"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決策</w:t>
      </w:r>
      <w:r w:rsidRPr="006C2F3F">
        <w:rPr>
          <w:rFonts w:ascii="標楷體" w:eastAsia="標楷體" w:hAnsi="標楷體" w:hint="eastAsia"/>
          <w:color w:val="232A31"/>
          <w:sz w:val="32"/>
          <w:szCs w:val="32"/>
          <w:shd w:val="clear" w:color="auto" w:fill="FFFFFF"/>
        </w:rPr>
        <w:t>。</w:t>
      </w:r>
      <w:r w:rsidR="00E91047" w:rsidRPr="006C2F3F">
        <w:rPr>
          <w:rFonts w:ascii="標楷體" w:eastAsia="標楷體" w:hAnsi="標楷體"/>
          <w:color w:val="232A31"/>
          <w:sz w:val="32"/>
          <w:szCs w:val="32"/>
        </w:rPr>
        <w:t>投資人投資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</w:rPr>
        <w:t>基金</w:t>
      </w:r>
      <w:r w:rsidR="00E91047" w:rsidRPr="006C2F3F">
        <w:rPr>
          <w:rFonts w:ascii="標楷體" w:eastAsia="標楷體" w:hAnsi="標楷體"/>
          <w:color w:val="232A31"/>
          <w:sz w:val="32"/>
          <w:szCs w:val="32"/>
        </w:rPr>
        <w:t>前</w:t>
      </w:r>
      <w:r w:rsidR="00E91047" w:rsidRPr="006C2F3F">
        <w:rPr>
          <w:rFonts w:ascii="標楷體" w:eastAsia="標楷體" w:hAnsi="標楷體" w:hint="eastAsia"/>
          <w:color w:val="232A31"/>
          <w:sz w:val="32"/>
          <w:szCs w:val="32"/>
        </w:rPr>
        <w:t>如想瞭解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</w:rPr>
        <w:t>基金</w:t>
      </w:r>
      <w:r w:rsidR="00E91047" w:rsidRPr="006C2F3F">
        <w:rPr>
          <w:rFonts w:ascii="標楷體" w:eastAsia="標楷體" w:hAnsi="標楷體" w:hint="eastAsia"/>
          <w:color w:val="232A31"/>
          <w:sz w:val="32"/>
          <w:szCs w:val="32"/>
        </w:rPr>
        <w:t>商品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</w:rPr>
        <w:t>概念、種類、應注意事項及各種風險，可上網至金融智慧網，查詢金融商品之基金介紹(</w:t>
      </w:r>
      <w:r w:rsidR="00925631" w:rsidRPr="006C2F3F">
        <w:rPr>
          <w:rFonts w:ascii="標楷體" w:eastAsia="標楷體" w:hAnsi="標楷體"/>
          <w:color w:val="232A31"/>
          <w:sz w:val="32"/>
          <w:szCs w:val="32"/>
        </w:rPr>
        <w:t>https://moneywise.fsc.gov.tw/tabf/FW/FW8_index.html)</w:t>
      </w:r>
      <w:r w:rsidR="00925631" w:rsidRPr="006C2F3F">
        <w:rPr>
          <w:rFonts w:ascii="標楷體" w:eastAsia="標楷體" w:hAnsi="標楷體" w:hint="eastAsia"/>
          <w:color w:val="232A31"/>
          <w:sz w:val="32"/>
          <w:szCs w:val="32"/>
        </w:rPr>
        <w:t>。</w:t>
      </w:r>
    </w:p>
    <w:p w14:paraId="425857D7" w14:textId="77777777" w:rsidR="00E91047" w:rsidRPr="006C2F3F" w:rsidRDefault="00E91047" w:rsidP="006C2F3F">
      <w:pPr>
        <w:pStyle w:val="Web"/>
        <w:shd w:val="clear" w:color="auto" w:fill="FFFFFF"/>
        <w:snapToGrid w:val="0"/>
        <w:spacing w:before="0" w:beforeAutospacing="0" w:line="560" w:lineRule="exact"/>
        <w:ind w:firstLineChars="200" w:firstLine="640"/>
        <w:jc w:val="both"/>
        <w:rPr>
          <w:rFonts w:ascii="標楷體" w:eastAsia="標楷體" w:hAnsi="標楷體"/>
          <w:color w:val="232A31"/>
          <w:sz w:val="32"/>
          <w:szCs w:val="32"/>
        </w:rPr>
      </w:pPr>
    </w:p>
    <w:sectPr w:rsidR="00E91047" w:rsidRPr="006C2F3F" w:rsidSect="00FD78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5C"/>
    <w:rsid w:val="00155809"/>
    <w:rsid w:val="002241B5"/>
    <w:rsid w:val="002D4C0F"/>
    <w:rsid w:val="00430B71"/>
    <w:rsid w:val="004D2142"/>
    <w:rsid w:val="005C0A12"/>
    <w:rsid w:val="0061350C"/>
    <w:rsid w:val="00643481"/>
    <w:rsid w:val="006C2F3F"/>
    <w:rsid w:val="006F6A77"/>
    <w:rsid w:val="00925631"/>
    <w:rsid w:val="009D1C99"/>
    <w:rsid w:val="00AE07E6"/>
    <w:rsid w:val="00AF01AE"/>
    <w:rsid w:val="00B03800"/>
    <w:rsid w:val="00B158C3"/>
    <w:rsid w:val="00C67A5C"/>
    <w:rsid w:val="00CD4425"/>
    <w:rsid w:val="00E91047"/>
    <w:rsid w:val="00EA3770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13D8"/>
  <w15:chartTrackingRefBased/>
  <w15:docId w15:val="{BB32ABD0-4C68-491A-97C4-55356FB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7A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613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戴春梅</dc:creator>
  <cp:keywords/>
  <dc:description/>
  <cp:lastModifiedBy>戴春梅</cp:lastModifiedBy>
  <cp:revision>2</cp:revision>
  <cp:lastPrinted>2024-03-28T08:02:00Z</cp:lastPrinted>
  <dcterms:created xsi:type="dcterms:W3CDTF">2024-03-29T01:35:00Z</dcterms:created>
  <dcterms:modified xsi:type="dcterms:W3CDTF">2024-03-29T01:35:00Z</dcterms:modified>
</cp:coreProperties>
</file>