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8D0" w:rsidRDefault="000E0ED9" w:rsidP="00542AA9">
      <w:pPr>
        <w:spacing w:beforeLines="50" w:before="180" w:line="440" w:lineRule="exact"/>
        <w:jc w:val="center"/>
        <w:rPr>
          <w:rFonts w:ascii="標楷體" w:eastAsia="標楷體" w:hAnsi="標楷體"/>
          <w:sz w:val="32"/>
          <w:szCs w:val="32"/>
        </w:rPr>
      </w:pPr>
      <w:r w:rsidRPr="000917E4">
        <w:rPr>
          <w:rFonts w:ascii="標楷體" w:eastAsia="標楷體" w:hAnsi="標楷體" w:hint="eastAsia"/>
          <w:sz w:val="32"/>
          <w:szCs w:val="32"/>
        </w:rPr>
        <w:t>證券商防制稅務洗錢風險實務參考</w:t>
      </w:r>
    </w:p>
    <w:p w:rsidR="00876810" w:rsidRPr="00876810" w:rsidRDefault="00876810" w:rsidP="00E247A9">
      <w:pPr>
        <w:spacing w:beforeLines="50" w:before="180" w:line="320" w:lineRule="exact"/>
        <w:ind w:rightChars="-119" w:right="-286" w:firstLineChars="472" w:firstLine="1133"/>
        <w:jc w:val="right"/>
        <w:rPr>
          <w:rFonts w:ascii="Times New Roman" w:eastAsia="標楷體" w:hAnsi="Times New Roman" w:cs="Times New Roman"/>
          <w:szCs w:val="24"/>
        </w:rPr>
      </w:pPr>
      <w:r w:rsidRPr="00876810">
        <w:rPr>
          <w:rFonts w:ascii="Times New Roman" w:eastAsia="標楷體" w:hAnsi="Times New Roman" w:cs="Times New Roman"/>
        </w:rPr>
        <w:t>金融監督管理委員會</w:t>
      </w:r>
      <w:r w:rsidRPr="00876810">
        <w:rPr>
          <w:rFonts w:ascii="Times New Roman" w:eastAsia="標楷體" w:hAnsi="Times New Roman" w:cs="Times New Roman"/>
        </w:rPr>
        <w:t>108</w:t>
      </w:r>
      <w:r w:rsidRPr="00876810">
        <w:rPr>
          <w:rFonts w:ascii="Times New Roman" w:eastAsia="標楷體" w:hAnsi="Times New Roman" w:cs="Times New Roman"/>
        </w:rPr>
        <w:t>年</w:t>
      </w:r>
      <w:r w:rsidRPr="00876810">
        <w:rPr>
          <w:rFonts w:ascii="Times New Roman" w:eastAsia="標楷體" w:hAnsi="Times New Roman" w:cs="Times New Roman"/>
        </w:rPr>
        <w:t>7</w:t>
      </w:r>
      <w:r w:rsidRPr="00876810">
        <w:rPr>
          <w:rFonts w:ascii="Times New Roman" w:eastAsia="標楷體" w:hAnsi="Times New Roman" w:cs="Times New Roman"/>
        </w:rPr>
        <w:t>月</w:t>
      </w:r>
      <w:r w:rsidRPr="00876810">
        <w:rPr>
          <w:rFonts w:ascii="Times New Roman" w:eastAsia="標楷體" w:hAnsi="Times New Roman" w:cs="Times New Roman"/>
        </w:rPr>
        <w:t>8</w:t>
      </w:r>
      <w:r w:rsidRPr="00876810">
        <w:rPr>
          <w:rFonts w:ascii="Times New Roman" w:eastAsia="標楷體" w:hAnsi="Times New Roman" w:cs="Times New Roman"/>
        </w:rPr>
        <w:t>日金管證券字第</w:t>
      </w:r>
      <w:r w:rsidRPr="00876810">
        <w:rPr>
          <w:rFonts w:ascii="Times New Roman" w:eastAsia="標楷體" w:hAnsi="Times New Roman" w:cs="Times New Roman"/>
        </w:rPr>
        <w:t>1080321365</w:t>
      </w:r>
      <w:r w:rsidRPr="00876810">
        <w:rPr>
          <w:rFonts w:ascii="Times New Roman" w:eastAsia="標楷體" w:hAnsi="Times New Roman" w:cs="Times New Roman"/>
        </w:rPr>
        <w:t>號函准予照辦</w:t>
      </w:r>
    </w:p>
    <w:p w:rsidR="001D6243" w:rsidRDefault="001D6243" w:rsidP="00542AA9">
      <w:pPr>
        <w:pStyle w:val="a3"/>
        <w:numPr>
          <w:ilvl w:val="0"/>
          <w:numId w:val="1"/>
        </w:numPr>
        <w:spacing w:beforeLines="50" w:before="180" w:line="440" w:lineRule="exact"/>
        <w:ind w:leftChars="0" w:left="567" w:hanging="567"/>
        <w:rPr>
          <w:rFonts w:ascii="標楷體" w:eastAsia="標楷體" w:hAnsi="標楷體"/>
          <w:sz w:val="28"/>
          <w:szCs w:val="28"/>
        </w:rPr>
      </w:pPr>
      <w:r>
        <w:rPr>
          <w:rFonts w:ascii="標楷體" w:eastAsia="標楷體" w:hAnsi="標楷體" w:hint="eastAsia"/>
          <w:sz w:val="28"/>
          <w:szCs w:val="28"/>
        </w:rPr>
        <w:t>訂定依據及相關說明</w:t>
      </w:r>
    </w:p>
    <w:p w:rsidR="009D33D2" w:rsidRPr="0095237B" w:rsidRDefault="000E0ED9" w:rsidP="009D1095">
      <w:pPr>
        <w:spacing w:before="50" w:line="440" w:lineRule="exact"/>
        <w:ind w:firstLineChars="202" w:firstLine="566"/>
        <w:rPr>
          <w:rFonts w:ascii="標楷體" w:eastAsia="標楷體" w:hAnsi="標楷體"/>
          <w:sz w:val="28"/>
          <w:szCs w:val="28"/>
        </w:rPr>
      </w:pPr>
      <w:r w:rsidRPr="0095237B">
        <w:rPr>
          <w:rFonts w:ascii="標楷體" w:eastAsia="標楷體" w:hAnsi="標楷體" w:hint="eastAsia"/>
          <w:sz w:val="28"/>
          <w:szCs w:val="28"/>
        </w:rPr>
        <w:t>因應國際間強化稅務用途資訊交換及跨國稅務合作等反避稅措施趨勢，以及洗錢防制法第3條第7款規定，稅捐稽徵法第41條、第42條及第43條第1項、第</w:t>
      </w:r>
      <w:bookmarkStart w:id="0" w:name="_GoBack"/>
      <w:bookmarkEnd w:id="0"/>
      <w:r w:rsidRPr="0095237B">
        <w:rPr>
          <w:rFonts w:ascii="標楷體" w:eastAsia="標楷體" w:hAnsi="標楷體" w:hint="eastAsia"/>
          <w:sz w:val="28"/>
          <w:szCs w:val="28"/>
        </w:rPr>
        <w:t>2項之逃漏稅罪均屬洗錢罪之前置犯罪，本公會依金融監督管理委員會107 年9 月20 日金管證券字第10702712390 號函訂定本參考文件，包括瞭解客戶稅務洗錢風險、稅務洗錢風險之防制、建立逃漏稅警示指標、員工訓練及員工行為道德守則等面向，提供相關實務作業供證券商參考，以利證券商在既有之洗錢風險防制機制下，提高稅務洗錢風險防制之意識。</w:t>
      </w:r>
    </w:p>
    <w:p w:rsidR="000E0ED9" w:rsidRPr="0095237B" w:rsidRDefault="000E0ED9" w:rsidP="009D1095">
      <w:pPr>
        <w:spacing w:line="440" w:lineRule="exact"/>
        <w:ind w:firstLineChars="202" w:firstLine="566"/>
        <w:rPr>
          <w:rFonts w:ascii="標楷體" w:eastAsia="標楷體" w:hAnsi="標楷體"/>
          <w:sz w:val="28"/>
          <w:szCs w:val="28"/>
        </w:rPr>
      </w:pPr>
      <w:r w:rsidRPr="0095237B">
        <w:rPr>
          <w:rFonts w:ascii="標楷體" w:eastAsia="標楷體" w:hAnsi="標楷體" w:hint="eastAsia"/>
          <w:sz w:val="28"/>
          <w:szCs w:val="28"/>
        </w:rPr>
        <w:t>按稅務洗錢為洗錢風險之一，證券商於依據風險基礎方法執行洗錢防制之相關控管，宜一併審慎注意稅務相關洗錢風險並依其風險採取合宜控管措施。惟客戶是否確實涉及逃漏稅並非證券商所能判定，宜先敘明。</w:t>
      </w:r>
    </w:p>
    <w:p w:rsidR="006732A9" w:rsidRPr="0095237B" w:rsidRDefault="000E0ED9" w:rsidP="00DF410F">
      <w:pPr>
        <w:spacing w:line="440" w:lineRule="exact"/>
        <w:ind w:rightChars="-119" w:right="-286" w:firstLineChars="202" w:firstLine="566"/>
        <w:rPr>
          <w:rFonts w:ascii="標楷體" w:eastAsia="標楷體" w:hAnsi="標楷體"/>
          <w:sz w:val="28"/>
          <w:szCs w:val="28"/>
        </w:rPr>
      </w:pPr>
      <w:r w:rsidRPr="0095237B">
        <w:rPr>
          <w:rFonts w:ascii="標楷體" w:eastAsia="標楷體" w:hAnsi="標楷體" w:hint="eastAsia"/>
          <w:sz w:val="28"/>
          <w:szCs w:val="28"/>
        </w:rPr>
        <w:t>本參考文件係協助證券商，就辨識、評估、執行及防制稅務洗錢風險，提供實務執行參考，非屬本公會制定之自律規範，不具有實質拘束力。</w:t>
      </w:r>
    </w:p>
    <w:p w:rsidR="00B61502" w:rsidRPr="0095237B" w:rsidRDefault="000E0ED9" w:rsidP="00542AA9">
      <w:pPr>
        <w:pStyle w:val="a3"/>
        <w:numPr>
          <w:ilvl w:val="0"/>
          <w:numId w:val="1"/>
        </w:numPr>
        <w:spacing w:beforeLines="50" w:before="180" w:line="440" w:lineRule="exact"/>
        <w:ind w:leftChars="0" w:left="567" w:hanging="567"/>
        <w:rPr>
          <w:rFonts w:ascii="標楷體" w:eastAsia="標楷體" w:hAnsi="標楷體"/>
          <w:sz w:val="28"/>
          <w:szCs w:val="28"/>
        </w:rPr>
      </w:pPr>
      <w:r w:rsidRPr="0095237B">
        <w:rPr>
          <w:rFonts w:ascii="標楷體" w:eastAsia="標楷體" w:hAnsi="標楷體" w:hint="eastAsia"/>
          <w:sz w:val="28"/>
          <w:szCs w:val="28"/>
        </w:rPr>
        <w:t>防制稅務洗錢機制</w:t>
      </w:r>
    </w:p>
    <w:p w:rsidR="003B082F" w:rsidRPr="0095237B" w:rsidRDefault="000E0ED9" w:rsidP="0095237B">
      <w:pPr>
        <w:spacing w:line="440" w:lineRule="exact"/>
        <w:ind w:leftChars="-1" w:left="-2" w:firstLineChars="203" w:firstLine="568"/>
        <w:rPr>
          <w:rFonts w:ascii="標楷體" w:eastAsia="標楷體" w:hAnsi="標楷體"/>
          <w:sz w:val="28"/>
          <w:szCs w:val="28"/>
        </w:rPr>
      </w:pPr>
      <w:r w:rsidRPr="0095237B">
        <w:rPr>
          <w:rFonts w:ascii="標楷體" w:eastAsia="標楷體" w:hAnsi="標楷體" w:hint="eastAsia"/>
          <w:sz w:val="28"/>
          <w:szCs w:val="28"/>
        </w:rPr>
        <w:t>證券商宜瞭解客戶之稅務洗錢風險情形，將稅務洗錢風險評估納入防制洗錢相關程序。</w:t>
      </w:r>
    </w:p>
    <w:p w:rsidR="00B61502" w:rsidRPr="0095237B" w:rsidRDefault="000E0ED9" w:rsidP="0095237B">
      <w:pPr>
        <w:spacing w:line="440" w:lineRule="exact"/>
        <w:ind w:leftChars="-1" w:left="-2" w:firstLineChars="203" w:firstLine="568"/>
        <w:rPr>
          <w:rFonts w:ascii="標楷體" w:eastAsia="標楷體" w:hAnsi="標楷體"/>
          <w:sz w:val="28"/>
          <w:szCs w:val="28"/>
        </w:rPr>
      </w:pPr>
      <w:r w:rsidRPr="0095237B">
        <w:rPr>
          <w:rFonts w:ascii="標楷體" w:eastAsia="標楷體" w:hAnsi="標楷體" w:hint="eastAsia"/>
          <w:sz w:val="28"/>
          <w:szCs w:val="28"/>
        </w:rPr>
        <w:t>證券商依據</w:t>
      </w:r>
      <w:r w:rsidR="00D8000C" w:rsidRPr="00D8000C">
        <w:rPr>
          <w:rFonts w:ascii="標楷體" w:eastAsia="標楷體" w:hAnsi="標楷體" w:hint="eastAsia"/>
          <w:sz w:val="28"/>
          <w:szCs w:val="28"/>
          <w:u w:val="single"/>
        </w:rPr>
        <w:t>「</w:t>
      </w:r>
      <w:r w:rsidR="00D8000C" w:rsidRPr="00D8000C">
        <w:rPr>
          <w:rFonts w:ascii="標楷體" w:eastAsia="標楷體" w:hAnsi="標楷體"/>
          <w:kern w:val="1"/>
          <w:sz w:val="28"/>
          <w:szCs w:val="28"/>
          <w:u w:val="single"/>
        </w:rPr>
        <w:t>證券期貨業及其他經金融監督管理委員會指定之金融機構</w:t>
      </w:r>
      <w:r w:rsidR="00D8000C" w:rsidRPr="00D8000C">
        <w:rPr>
          <w:rFonts w:ascii="標楷體" w:eastAsia="標楷體" w:hAnsi="標楷體"/>
          <w:bCs/>
          <w:kern w:val="1"/>
          <w:sz w:val="28"/>
          <w:szCs w:val="28"/>
          <w:u w:val="single"/>
        </w:rPr>
        <w:t>防制洗錢及打擊資恐內部控制與稽核制度實施辦法</w:t>
      </w:r>
      <w:r w:rsidR="00D8000C" w:rsidRPr="00D8000C">
        <w:rPr>
          <w:rFonts w:ascii="標楷體" w:eastAsia="標楷體" w:hAnsi="標楷體" w:hint="eastAsia"/>
          <w:sz w:val="28"/>
          <w:szCs w:val="28"/>
          <w:u w:val="single"/>
        </w:rPr>
        <w:t>」第四條第一項第二款</w:t>
      </w:r>
      <w:r w:rsidRPr="0095237B">
        <w:rPr>
          <w:rFonts w:ascii="標楷體" w:eastAsia="標楷體" w:hAnsi="標楷體" w:hint="eastAsia"/>
          <w:sz w:val="28"/>
          <w:szCs w:val="28"/>
        </w:rPr>
        <w:t>規定，併參照「證券商評估洗錢及資恐風險及訂定相關防制計畫指引」第二點所訂定之防制洗錢及打擊資恐計畫或據此所制訂之書面政策及程序，宜包含依據風險基礎方法執行稅務洗錢風險防制之控管機制，例如於確認客戶身分及持續審查時詢問相關資訊以評估稅務洗錢風險，或於交易監控發現有稅務洗錢風險之疑慮時，依其風險程度採取適當控管措施以有效降低風險。</w:t>
      </w:r>
    </w:p>
    <w:p w:rsidR="007B07A9" w:rsidRPr="0095237B" w:rsidRDefault="000E0ED9" w:rsidP="00542AA9">
      <w:pPr>
        <w:pStyle w:val="a3"/>
        <w:numPr>
          <w:ilvl w:val="0"/>
          <w:numId w:val="1"/>
        </w:numPr>
        <w:spacing w:beforeLines="50" w:before="180" w:line="440" w:lineRule="exact"/>
        <w:ind w:leftChars="0" w:left="566" w:hangingChars="202" w:hanging="566"/>
        <w:rPr>
          <w:rFonts w:ascii="標楷體" w:eastAsia="標楷體" w:hAnsi="標楷體"/>
          <w:sz w:val="28"/>
          <w:szCs w:val="28"/>
        </w:rPr>
      </w:pPr>
      <w:r w:rsidRPr="0095237B">
        <w:rPr>
          <w:rFonts w:ascii="標楷體" w:eastAsia="標楷體" w:hAnsi="標楷體" w:hint="eastAsia"/>
          <w:sz w:val="28"/>
          <w:szCs w:val="28"/>
        </w:rPr>
        <w:t>辨識及評估稅務洗錢相關風險</w:t>
      </w:r>
    </w:p>
    <w:p w:rsidR="00676443" w:rsidRPr="0095237B" w:rsidRDefault="000E0ED9" w:rsidP="0095237B">
      <w:pPr>
        <w:spacing w:line="440" w:lineRule="exact"/>
        <w:ind w:firstLineChars="202" w:firstLine="566"/>
        <w:rPr>
          <w:rFonts w:ascii="標楷體" w:eastAsia="標楷體" w:hAnsi="標楷體"/>
          <w:sz w:val="28"/>
          <w:szCs w:val="28"/>
        </w:rPr>
      </w:pPr>
      <w:r w:rsidRPr="0095237B">
        <w:rPr>
          <w:rFonts w:ascii="標楷體" w:eastAsia="標楷體" w:hAnsi="標楷體" w:hint="eastAsia"/>
          <w:sz w:val="28"/>
          <w:szCs w:val="28"/>
        </w:rPr>
        <w:t>於建立業務關係及與證券商往來之過程中，如經發現符合稅務洗錢風險警示指標或其他相關之疑似洗錢交易態樣時，應進一步調查，以確定是</w:t>
      </w:r>
      <w:r w:rsidRPr="0095237B">
        <w:rPr>
          <w:rFonts w:ascii="標楷體" w:eastAsia="標楷體" w:hAnsi="標楷體" w:hint="eastAsia"/>
          <w:sz w:val="28"/>
          <w:szCs w:val="28"/>
        </w:rPr>
        <w:lastRenderedPageBreak/>
        <w:t>否具備充足之理由排除稅務洗錢風險疑慮，並參酌是否採取第四條所列之強化控管措施。</w:t>
      </w:r>
    </w:p>
    <w:p w:rsidR="00676443" w:rsidRPr="0095237B" w:rsidRDefault="000E0ED9" w:rsidP="0095237B">
      <w:pPr>
        <w:spacing w:line="440" w:lineRule="exact"/>
        <w:ind w:firstLineChars="202" w:firstLine="566"/>
        <w:rPr>
          <w:rFonts w:ascii="標楷體" w:eastAsia="標楷體" w:hAnsi="標楷體"/>
          <w:sz w:val="28"/>
          <w:szCs w:val="28"/>
        </w:rPr>
      </w:pPr>
      <w:r w:rsidRPr="0095237B">
        <w:rPr>
          <w:rFonts w:ascii="標楷體" w:eastAsia="標楷體" w:hAnsi="標楷體" w:hint="eastAsia"/>
          <w:sz w:val="28"/>
          <w:szCs w:val="28"/>
        </w:rPr>
        <w:t>於辨識稅務洗錢風險時，證券商得參照本參考文件附錄所列之稅務洗錢風險警示指標，併同「證券商防制洗錢及打擊資恐注意事項範本」之「附錄 疑似洗錢或資恐交易態樣」等一併考量。個別警示指標非必然隱含稅務洗錢行為，惟證券商仍須提高警覺，尤其是當同一客戶出現多重警示時。</w:t>
      </w:r>
    </w:p>
    <w:p w:rsidR="00B61BA5" w:rsidRPr="0095237B" w:rsidRDefault="000E0ED9" w:rsidP="00542AA9">
      <w:pPr>
        <w:pStyle w:val="a3"/>
        <w:numPr>
          <w:ilvl w:val="0"/>
          <w:numId w:val="1"/>
        </w:numPr>
        <w:spacing w:beforeLines="50" w:before="180" w:line="440" w:lineRule="exact"/>
        <w:ind w:leftChars="0" w:left="567" w:hanging="567"/>
        <w:rPr>
          <w:rFonts w:ascii="標楷體" w:eastAsia="標楷體" w:hAnsi="標楷體"/>
          <w:sz w:val="28"/>
          <w:szCs w:val="28"/>
        </w:rPr>
      </w:pPr>
      <w:r w:rsidRPr="0095237B">
        <w:rPr>
          <w:rFonts w:ascii="標楷體" w:eastAsia="標楷體" w:hAnsi="標楷體" w:hint="eastAsia"/>
          <w:sz w:val="28"/>
          <w:szCs w:val="28"/>
        </w:rPr>
        <w:t>強化控管措施及持續監控</w:t>
      </w:r>
    </w:p>
    <w:p w:rsidR="00A054E3" w:rsidRPr="0095237B" w:rsidRDefault="000E0ED9" w:rsidP="009D1095">
      <w:pPr>
        <w:spacing w:line="440" w:lineRule="exact"/>
        <w:ind w:firstLineChars="202" w:firstLine="566"/>
        <w:rPr>
          <w:rFonts w:ascii="標楷體" w:eastAsia="標楷體" w:hAnsi="標楷體"/>
          <w:sz w:val="28"/>
          <w:szCs w:val="28"/>
        </w:rPr>
      </w:pPr>
      <w:r w:rsidRPr="0095237B">
        <w:rPr>
          <w:rFonts w:ascii="標楷體" w:eastAsia="標楷體" w:hAnsi="標楷體" w:hint="eastAsia"/>
          <w:sz w:val="28"/>
          <w:szCs w:val="28"/>
        </w:rPr>
        <w:t>針對可能涉及較高稅務洗錢風險之客戶，證券商得依實際個案之風險程度採取與客戶稅務風險相當之強化控管或降低風險措施。舉例如下：</w:t>
      </w:r>
    </w:p>
    <w:p w:rsidR="00A054E3" w:rsidRPr="0095237B" w:rsidRDefault="00A054E3" w:rsidP="0095237B">
      <w:pPr>
        <w:spacing w:line="440" w:lineRule="exact"/>
        <w:ind w:left="426" w:hangingChars="152" w:hanging="426"/>
        <w:rPr>
          <w:rFonts w:ascii="標楷體" w:eastAsia="標楷體" w:hAnsi="標楷體"/>
          <w:sz w:val="28"/>
          <w:szCs w:val="28"/>
        </w:rPr>
      </w:pPr>
      <w:r w:rsidRPr="0095237B">
        <w:rPr>
          <w:rFonts w:ascii="標楷體" w:eastAsia="標楷體" w:hAnsi="標楷體" w:hint="eastAsia"/>
          <w:sz w:val="28"/>
          <w:szCs w:val="28"/>
        </w:rPr>
        <w:t>1、</w:t>
      </w:r>
      <w:r w:rsidR="000E0ED9" w:rsidRPr="0095237B">
        <w:rPr>
          <w:rFonts w:ascii="標楷體" w:eastAsia="標楷體" w:hAnsi="標楷體" w:hint="eastAsia"/>
          <w:sz w:val="28"/>
          <w:szCs w:val="28"/>
        </w:rPr>
        <w:t>額外取得更多客戶身分審查資訊，對客戶之稅務洗錢風險進行更全面的評估。例如：宜了解客戶之稅籍國，以評估其合理性。</w:t>
      </w:r>
    </w:p>
    <w:p w:rsidR="00A054E3" w:rsidRPr="0095237B" w:rsidRDefault="00A054E3" w:rsidP="0095237B">
      <w:pPr>
        <w:spacing w:line="440" w:lineRule="exact"/>
        <w:ind w:left="426" w:hangingChars="152" w:hanging="426"/>
        <w:rPr>
          <w:rFonts w:ascii="標楷體" w:eastAsia="標楷體" w:hAnsi="標楷體"/>
          <w:sz w:val="28"/>
          <w:szCs w:val="28"/>
        </w:rPr>
      </w:pPr>
      <w:r w:rsidRPr="0095237B">
        <w:rPr>
          <w:rFonts w:ascii="標楷體" w:eastAsia="標楷體" w:hAnsi="標楷體" w:hint="eastAsia"/>
          <w:sz w:val="28"/>
          <w:szCs w:val="28"/>
        </w:rPr>
        <w:t>2、</w:t>
      </w:r>
      <w:r w:rsidR="000E0ED9" w:rsidRPr="0095237B">
        <w:rPr>
          <w:rFonts w:ascii="標楷體" w:eastAsia="標楷體" w:hAnsi="標楷體" w:hint="eastAsia"/>
          <w:sz w:val="28"/>
          <w:szCs w:val="28"/>
        </w:rPr>
        <w:t>取得證券商高階管理人員同意且記錄理由，並依據證券商風險基礎方法考量是否對帳戶採取進一步控管措施，例如：若證券商懷疑所獲資訊的真實性或可靠性，可再進行強化之持續監控且採取相應之降低風險措施。</w:t>
      </w:r>
    </w:p>
    <w:p w:rsidR="00A054E3" w:rsidRPr="0095237B" w:rsidRDefault="00A054E3" w:rsidP="0095237B">
      <w:pPr>
        <w:spacing w:line="440" w:lineRule="exact"/>
        <w:ind w:left="426" w:hangingChars="152" w:hanging="426"/>
        <w:rPr>
          <w:rFonts w:ascii="標楷體" w:eastAsia="標楷體" w:hAnsi="標楷體"/>
          <w:sz w:val="28"/>
          <w:szCs w:val="28"/>
        </w:rPr>
      </w:pPr>
      <w:r w:rsidRPr="0095237B">
        <w:rPr>
          <w:rFonts w:ascii="標楷體" w:eastAsia="標楷體" w:hAnsi="標楷體" w:hint="eastAsia"/>
          <w:sz w:val="28"/>
          <w:szCs w:val="28"/>
        </w:rPr>
        <w:t>3、</w:t>
      </w:r>
      <w:r w:rsidR="000E0ED9" w:rsidRPr="0095237B">
        <w:rPr>
          <w:rFonts w:ascii="標楷體" w:eastAsia="標楷體" w:hAnsi="標楷體" w:hint="eastAsia"/>
          <w:sz w:val="28"/>
          <w:szCs w:val="28"/>
        </w:rPr>
        <w:t>審慎評估是否採取與客戶暫停或終止業務關係之措施。</w:t>
      </w:r>
    </w:p>
    <w:p w:rsidR="00BB3EFA" w:rsidRPr="0095237B" w:rsidRDefault="000E0ED9" w:rsidP="0095237B">
      <w:pPr>
        <w:spacing w:line="440" w:lineRule="exact"/>
        <w:ind w:left="1"/>
        <w:rPr>
          <w:rFonts w:ascii="標楷體" w:eastAsia="標楷體" w:hAnsi="標楷體"/>
          <w:sz w:val="28"/>
          <w:szCs w:val="28"/>
        </w:rPr>
      </w:pPr>
      <w:r w:rsidRPr="0095237B">
        <w:rPr>
          <w:rFonts w:ascii="標楷體" w:eastAsia="標楷體" w:hAnsi="標楷體" w:hint="eastAsia"/>
          <w:sz w:val="28"/>
          <w:szCs w:val="28"/>
        </w:rPr>
        <w:t>前述例示措施並非強制性，僅供各證券商參酌個案實際情形並依其風險基礎方法決定是否採用。</w:t>
      </w:r>
    </w:p>
    <w:p w:rsidR="00BB3EFA" w:rsidRPr="0095237B" w:rsidRDefault="000E0ED9" w:rsidP="00542AA9">
      <w:pPr>
        <w:pStyle w:val="a3"/>
        <w:numPr>
          <w:ilvl w:val="0"/>
          <w:numId w:val="1"/>
        </w:numPr>
        <w:spacing w:beforeLines="50" w:before="180" w:line="440" w:lineRule="exact"/>
        <w:ind w:leftChars="0" w:left="567" w:hanging="567"/>
        <w:rPr>
          <w:rFonts w:ascii="標楷體" w:eastAsia="標楷體" w:hAnsi="標楷體"/>
          <w:sz w:val="28"/>
          <w:szCs w:val="28"/>
        </w:rPr>
      </w:pPr>
      <w:r w:rsidRPr="0095237B">
        <w:rPr>
          <w:rFonts w:ascii="標楷體" w:eastAsia="標楷體" w:hAnsi="標楷體" w:hint="eastAsia"/>
          <w:sz w:val="28"/>
          <w:szCs w:val="28"/>
        </w:rPr>
        <w:t>疑似稅務洗錢交易申報</w:t>
      </w:r>
    </w:p>
    <w:p w:rsidR="00A054E3" w:rsidRPr="0095237B" w:rsidRDefault="0095237B" w:rsidP="0095237B">
      <w:pPr>
        <w:spacing w:line="440" w:lineRule="exact"/>
        <w:ind w:firstLineChars="202" w:firstLine="566"/>
        <w:rPr>
          <w:rFonts w:ascii="標楷體" w:eastAsia="標楷體" w:hAnsi="標楷體"/>
          <w:sz w:val="28"/>
          <w:szCs w:val="28"/>
        </w:rPr>
      </w:pPr>
      <w:r w:rsidRPr="0095237B">
        <w:rPr>
          <w:rFonts w:ascii="標楷體" w:eastAsia="標楷體" w:hAnsi="標楷體" w:hint="eastAsia"/>
          <w:sz w:val="28"/>
          <w:szCs w:val="28"/>
        </w:rPr>
        <w:t>對於疑似稅務洗錢交易之申報，依「金融機構防制洗錢辦法」第十五條辦理。</w:t>
      </w:r>
    </w:p>
    <w:p w:rsidR="00A054E3" w:rsidRPr="0095237B" w:rsidRDefault="0095237B" w:rsidP="00542AA9">
      <w:pPr>
        <w:pStyle w:val="a3"/>
        <w:numPr>
          <w:ilvl w:val="0"/>
          <w:numId w:val="1"/>
        </w:numPr>
        <w:spacing w:beforeLines="50" w:before="180" w:line="440" w:lineRule="exact"/>
        <w:ind w:leftChars="0" w:left="567" w:hanging="567"/>
        <w:rPr>
          <w:rFonts w:ascii="標楷體" w:eastAsia="標楷體" w:hAnsi="標楷體"/>
          <w:sz w:val="28"/>
          <w:szCs w:val="28"/>
        </w:rPr>
      </w:pPr>
      <w:r w:rsidRPr="0095237B">
        <w:rPr>
          <w:rFonts w:ascii="標楷體" w:eastAsia="標楷體" w:hAnsi="標楷體" w:hint="eastAsia"/>
          <w:sz w:val="28"/>
          <w:szCs w:val="28"/>
        </w:rPr>
        <w:t>教育訓練</w:t>
      </w:r>
    </w:p>
    <w:p w:rsidR="00F43FA0" w:rsidRPr="0095237B" w:rsidRDefault="0095237B" w:rsidP="0095237B">
      <w:pPr>
        <w:spacing w:line="440" w:lineRule="exact"/>
        <w:ind w:firstLineChars="202" w:firstLine="566"/>
        <w:rPr>
          <w:rFonts w:ascii="標楷體" w:eastAsia="標楷體" w:hAnsi="標楷體"/>
          <w:sz w:val="28"/>
          <w:szCs w:val="28"/>
        </w:rPr>
      </w:pPr>
      <w:r w:rsidRPr="0095237B">
        <w:rPr>
          <w:rFonts w:ascii="標楷體" w:eastAsia="標楷體" w:hAnsi="標楷體" w:hint="eastAsia"/>
          <w:sz w:val="28"/>
          <w:szCs w:val="28"/>
        </w:rPr>
        <w:t>證券商得對員工實施稅務洗錢風險防制之相關教育訓練，包括疑似稅務洗錢交易態樣或警示指標以及常見稅務洗錢類型，俾使員工瞭解其義務及處理程序。該訓練可就稅務洗錢風險之控管獨立辦理，或做為整體防制洗錢訓練之一部分，並可納入法定之訓練時數。</w:t>
      </w:r>
    </w:p>
    <w:p w:rsidR="00F43FA0" w:rsidRPr="0095237B" w:rsidRDefault="0095237B" w:rsidP="00542AA9">
      <w:pPr>
        <w:pStyle w:val="a3"/>
        <w:numPr>
          <w:ilvl w:val="0"/>
          <w:numId w:val="1"/>
        </w:numPr>
        <w:spacing w:beforeLines="50" w:before="180" w:line="440" w:lineRule="exact"/>
        <w:ind w:leftChars="0" w:left="567" w:hanging="567"/>
        <w:rPr>
          <w:rFonts w:ascii="標楷體" w:eastAsia="標楷體" w:hAnsi="標楷體"/>
          <w:sz w:val="28"/>
          <w:szCs w:val="28"/>
        </w:rPr>
      </w:pPr>
      <w:r w:rsidRPr="0095237B">
        <w:rPr>
          <w:rFonts w:ascii="標楷體" w:eastAsia="標楷體" w:hAnsi="標楷體" w:hint="eastAsia"/>
          <w:sz w:val="28"/>
          <w:szCs w:val="28"/>
        </w:rPr>
        <w:t>從業人員行為規範</w:t>
      </w:r>
    </w:p>
    <w:p w:rsidR="009B5374" w:rsidRPr="0095237B" w:rsidRDefault="0095237B" w:rsidP="0095237B">
      <w:pPr>
        <w:spacing w:line="440" w:lineRule="exact"/>
        <w:ind w:firstLineChars="202" w:firstLine="566"/>
        <w:rPr>
          <w:rFonts w:ascii="標楷體" w:eastAsia="標楷體" w:hAnsi="標楷體"/>
          <w:sz w:val="28"/>
          <w:szCs w:val="28"/>
        </w:rPr>
      </w:pPr>
      <w:r w:rsidRPr="0095237B">
        <w:rPr>
          <w:rFonts w:ascii="標楷體" w:eastAsia="標楷體" w:hAnsi="標楷體" w:hint="eastAsia"/>
          <w:sz w:val="28"/>
          <w:szCs w:val="28"/>
        </w:rPr>
        <w:t>證券商得於其員工行為道德守則或相關之政策程序，載明員工不應故意協助客戶為意圖稅務洗錢之安排。</w:t>
      </w:r>
    </w:p>
    <w:p w:rsidR="00F43FA0" w:rsidRPr="0095237B" w:rsidRDefault="00F43FA0" w:rsidP="00542AA9">
      <w:pPr>
        <w:spacing w:beforeLines="50" w:before="180" w:line="440" w:lineRule="exact"/>
        <w:rPr>
          <w:rFonts w:ascii="標楷體" w:eastAsia="標楷體" w:hAnsi="標楷體"/>
          <w:sz w:val="28"/>
          <w:szCs w:val="28"/>
        </w:rPr>
      </w:pPr>
      <w:r w:rsidRPr="0095237B">
        <w:rPr>
          <w:rFonts w:ascii="標楷體" w:eastAsia="標楷體" w:hAnsi="標楷體" w:hint="eastAsia"/>
          <w:sz w:val="28"/>
          <w:szCs w:val="28"/>
        </w:rPr>
        <w:lastRenderedPageBreak/>
        <w:t>附錄：</w:t>
      </w:r>
      <w:r w:rsidR="0095237B" w:rsidRPr="0095237B">
        <w:rPr>
          <w:rFonts w:ascii="標楷體" w:eastAsia="標楷體" w:hAnsi="標楷體" w:hint="eastAsia"/>
          <w:sz w:val="28"/>
          <w:szCs w:val="28"/>
        </w:rPr>
        <w:t>稅務洗錢風險警示指標</w:t>
      </w:r>
    </w:p>
    <w:p w:rsidR="00F43FA0" w:rsidRPr="0095237B" w:rsidRDefault="0095237B" w:rsidP="00542AA9">
      <w:pPr>
        <w:pStyle w:val="a3"/>
        <w:numPr>
          <w:ilvl w:val="0"/>
          <w:numId w:val="2"/>
        </w:numPr>
        <w:spacing w:beforeLines="50" w:before="180" w:line="500" w:lineRule="exact"/>
        <w:ind w:leftChars="0"/>
        <w:rPr>
          <w:rFonts w:ascii="標楷體" w:eastAsia="標楷體" w:hAnsi="標楷體"/>
          <w:sz w:val="28"/>
          <w:szCs w:val="28"/>
        </w:rPr>
      </w:pPr>
      <w:r w:rsidRPr="0095237B">
        <w:rPr>
          <w:rFonts w:ascii="標楷體" w:eastAsia="標楷體" w:hAnsi="標楷體" w:hint="eastAsia"/>
          <w:sz w:val="28"/>
          <w:szCs w:val="28"/>
        </w:rPr>
        <w:t>不尋常或過於複雜的法人/信託結構卻無合理理由。</w:t>
      </w:r>
    </w:p>
    <w:p w:rsidR="0095237B" w:rsidRPr="0095237B" w:rsidRDefault="0095237B" w:rsidP="0095237B">
      <w:pPr>
        <w:pStyle w:val="a3"/>
        <w:numPr>
          <w:ilvl w:val="0"/>
          <w:numId w:val="2"/>
        </w:numPr>
        <w:spacing w:line="500" w:lineRule="exact"/>
        <w:ind w:leftChars="0"/>
        <w:rPr>
          <w:rFonts w:ascii="標楷體" w:eastAsia="標楷體" w:hAnsi="標楷體"/>
          <w:sz w:val="28"/>
          <w:szCs w:val="28"/>
        </w:rPr>
      </w:pPr>
      <w:r w:rsidRPr="0095237B">
        <w:rPr>
          <w:rFonts w:ascii="標楷體" w:eastAsia="標楷體" w:hAnsi="標楷體" w:hint="eastAsia"/>
          <w:sz w:val="28"/>
          <w:szCs w:val="28"/>
        </w:rPr>
        <w:t>法人客戶已發行無記名股票卻無合理理由。</w:t>
      </w:r>
    </w:p>
    <w:p w:rsidR="0095237B" w:rsidRPr="0095237B" w:rsidRDefault="0095237B" w:rsidP="0095237B">
      <w:pPr>
        <w:pStyle w:val="a3"/>
        <w:numPr>
          <w:ilvl w:val="0"/>
          <w:numId w:val="2"/>
        </w:numPr>
        <w:spacing w:line="500" w:lineRule="exact"/>
        <w:ind w:leftChars="0"/>
        <w:rPr>
          <w:rFonts w:ascii="標楷體" w:eastAsia="標楷體" w:hAnsi="標楷體"/>
          <w:sz w:val="28"/>
          <w:szCs w:val="28"/>
        </w:rPr>
      </w:pPr>
      <w:r w:rsidRPr="0095237B">
        <w:rPr>
          <w:rFonts w:ascii="標楷體" w:eastAsia="標楷體" w:hAnsi="標楷體" w:hint="eastAsia"/>
          <w:sz w:val="28"/>
          <w:szCs w:val="28"/>
        </w:rPr>
        <w:t>法人客戶結構中，登記於股東名冊之股東，與實際出資人或實質受益人不符，卻無合理理由。</w:t>
      </w:r>
    </w:p>
    <w:p w:rsidR="0095237B" w:rsidRPr="0095237B" w:rsidRDefault="0095237B" w:rsidP="0095237B">
      <w:pPr>
        <w:pStyle w:val="a3"/>
        <w:numPr>
          <w:ilvl w:val="0"/>
          <w:numId w:val="2"/>
        </w:numPr>
        <w:spacing w:line="500" w:lineRule="exact"/>
        <w:ind w:leftChars="0"/>
        <w:rPr>
          <w:rFonts w:ascii="標楷體" w:eastAsia="標楷體" w:hAnsi="標楷體"/>
          <w:sz w:val="28"/>
          <w:szCs w:val="28"/>
        </w:rPr>
      </w:pPr>
      <w:r w:rsidRPr="0095237B">
        <w:rPr>
          <w:rFonts w:ascii="標楷體" w:eastAsia="標楷體" w:hAnsi="標楷體" w:hint="eastAsia"/>
          <w:sz w:val="28"/>
          <w:szCs w:val="28"/>
        </w:rPr>
        <w:t>建立業務關係的目的或動機不具說服力或對資金來源有疑慮，尤其針對OSU帳戶應特別留意。</w:t>
      </w:r>
    </w:p>
    <w:p w:rsidR="0095237B" w:rsidRPr="0095237B" w:rsidRDefault="0095237B" w:rsidP="0095237B">
      <w:pPr>
        <w:pStyle w:val="a3"/>
        <w:numPr>
          <w:ilvl w:val="0"/>
          <w:numId w:val="2"/>
        </w:numPr>
        <w:spacing w:line="500" w:lineRule="exact"/>
        <w:ind w:leftChars="0"/>
        <w:rPr>
          <w:rFonts w:ascii="標楷體" w:eastAsia="標楷體" w:hAnsi="標楷體"/>
          <w:sz w:val="28"/>
          <w:szCs w:val="28"/>
        </w:rPr>
      </w:pPr>
      <w:r w:rsidRPr="0095237B">
        <w:rPr>
          <w:rFonts w:ascii="標楷體" w:eastAsia="標楷體" w:hAnsi="標楷體" w:hint="eastAsia"/>
          <w:sz w:val="28"/>
          <w:szCs w:val="28"/>
        </w:rPr>
        <w:t>以非本人帳戶交付交割款，且無合理理由。</w:t>
      </w:r>
    </w:p>
    <w:p w:rsidR="0095237B" w:rsidRPr="0095237B" w:rsidRDefault="0095237B" w:rsidP="0095237B">
      <w:pPr>
        <w:pStyle w:val="a3"/>
        <w:numPr>
          <w:ilvl w:val="0"/>
          <w:numId w:val="2"/>
        </w:numPr>
        <w:spacing w:line="500" w:lineRule="exact"/>
        <w:ind w:leftChars="0"/>
        <w:rPr>
          <w:rFonts w:ascii="標楷體" w:eastAsia="標楷體" w:hAnsi="標楷體"/>
          <w:sz w:val="28"/>
          <w:szCs w:val="28"/>
        </w:rPr>
      </w:pPr>
      <w:r w:rsidRPr="0095237B">
        <w:rPr>
          <w:rFonts w:ascii="標楷體" w:eastAsia="標楷體" w:hAnsi="標楷體" w:hint="eastAsia"/>
          <w:sz w:val="28"/>
          <w:szCs w:val="28"/>
        </w:rPr>
        <w:t>對客戶進行查詢發現違反稅務法令或規避納稅義務相關之負面消息，如涉及逃漏稅或稅務犯罪等。</w:t>
      </w:r>
    </w:p>
    <w:p w:rsidR="0095237B" w:rsidRPr="0095237B" w:rsidRDefault="0095237B" w:rsidP="0095237B">
      <w:pPr>
        <w:pStyle w:val="a3"/>
        <w:numPr>
          <w:ilvl w:val="0"/>
          <w:numId w:val="2"/>
        </w:numPr>
        <w:spacing w:line="500" w:lineRule="exact"/>
        <w:ind w:leftChars="0"/>
        <w:rPr>
          <w:rFonts w:ascii="標楷體" w:eastAsia="標楷體" w:hAnsi="標楷體"/>
          <w:sz w:val="28"/>
          <w:szCs w:val="28"/>
        </w:rPr>
      </w:pPr>
      <w:r w:rsidRPr="0095237B">
        <w:rPr>
          <w:rFonts w:ascii="標楷體" w:eastAsia="標楷體" w:hAnsi="標楷體" w:hint="eastAsia"/>
          <w:sz w:val="28"/>
          <w:szCs w:val="28"/>
        </w:rPr>
        <w:t>客戶主動要求關閉帳戶係因證券商要求提供有關稅務資料。</w:t>
      </w:r>
    </w:p>
    <w:p w:rsidR="0095237B" w:rsidRPr="0095237B" w:rsidRDefault="0095237B" w:rsidP="0095237B">
      <w:pPr>
        <w:pStyle w:val="a3"/>
        <w:numPr>
          <w:ilvl w:val="0"/>
          <w:numId w:val="2"/>
        </w:numPr>
        <w:spacing w:line="500" w:lineRule="exact"/>
        <w:ind w:leftChars="0"/>
        <w:rPr>
          <w:rFonts w:ascii="標楷體" w:eastAsia="標楷體" w:hAnsi="標楷體"/>
          <w:sz w:val="28"/>
          <w:szCs w:val="28"/>
        </w:rPr>
      </w:pPr>
      <w:r w:rsidRPr="0095237B">
        <w:rPr>
          <w:rFonts w:ascii="標楷體" w:eastAsia="標楷體" w:hAnsi="標楷體" w:hint="eastAsia"/>
          <w:sz w:val="28"/>
          <w:szCs w:val="28"/>
        </w:rPr>
        <w:t>證券商評估發現客戶有疑似規避納稅義務之情形，如客戶拒絕提供證券商基於國際稅務標準要求之文件或資訊。</w:t>
      </w:r>
    </w:p>
    <w:p w:rsidR="0095237B" w:rsidRPr="0095237B" w:rsidRDefault="0095237B" w:rsidP="0095237B">
      <w:pPr>
        <w:pStyle w:val="a3"/>
        <w:numPr>
          <w:ilvl w:val="0"/>
          <w:numId w:val="2"/>
        </w:numPr>
        <w:spacing w:line="500" w:lineRule="exact"/>
        <w:ind w:leftChars="0"/>
        <w:rPr>
          <w:rFonts w:ascii="標楷體" w:eastAsia="標楷體" w:hAnsi="標楷體"/>
          <w:sz w:val="28"/>
          <w:szCs w:val="28"/>
        </w:rPr>
      </w:pPr>
      <w:r w:rsidRPr="0095237B">
        <w:rPr>
          <w:rFonts w:ascii="標楷體" w:eastAsia="標楷體" w:hAnsi="標楷體" w:hint="eastAsia"/>
          <w:sz w:val="28"/>
          <w:szCs w:val="28"/>
        </w:rPr>
        <w:t>客戶表示使用證券商的產品和服務係為了對稅務機關隱瞞收入和資產的所有權。</w:t>
      </w:r>
    </w:p>
    <w:p w:rsidR="0095237B" w:rsidRDefault="0095237B" w:rsidP="0095237B">
      <w:pPr>
        <w:spacing w:line="440" w:lineRule="exact"/>
        <w:ind w:leftChars="236" w:left="1274" w:hangingChars="253" w:hanging="708"/>
        <w:rPr>
          <w:rFonts w:ascii="標楷體" w:eastAsia="標楷體" w:hAnsi="標楷體"/>
          <w:sz w:val="28"/>
          <w:szCs w:val="28"/>
        </w:rPr>
      </w:pPr>
    </w:p>
    <w:p w:rsidR="009D33D2" w:rsidRDefault="009D33D2" w:rsidP="003F0740">
      <w:pPr>
        <w:spacing w:line="440" w:lineRule="exact"/>
        <w:ind w:leftChars="235" w:left="1272" w:hangingChars="253" w:hanging="708"/>
        <w:rPr>
          <w:rFonts w:ascii="標楷體" w:eastAsia="標楷體" w:hAnsi="標楷體"/>
          <w:sz w:val="28"/>
          <w:szCs w:val="28"/>
        </w:rPr>
      </w:pPr>
    </w:p>
    <w:sectPr w:rsidR="009D33D2" w:rsidSect="00874DAE">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AFE" w:rsidRDefault="00103AFE" w:rsidP="006732A9">
      <w:r>
        <w:separator/>
      </w:r>
    </w:p>
  </w:endnote>
  <w:endnote w:type="continuationSeparator" w:id="0">
    <w:p w:rsidR="00103AFE" w:rsidRDefault="00103AFE" w:rsidP="0067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3620"/>
      <w:docPartObj>
        <w:docPartGallery w:val="Page Numbers (Bottom of Page)"/>
        <w:docPartUnique/>
      </w:docPartObj>
    </w:sdtPr>
    <w:sdtEndPr/>
    <w:sdtContent>
      <w:p w:rsidR="003B7827" w:rsidRDefault="006768B1">
        <w:pPr>
          <w:pStyle w:val="a6"/>
          <w:jc w:val="center"/>
        </w:pPr>
        <w:r>
          <w:rPr>
            <w:noProof/>
            <w:lang w:val="zh-TW"/>
          </w:rPr>
          <w:fldChar w:fldCharType="begin"/>
        </w:r>
        <w:r>
          <w:rPr>
            <w:noProof/>
            <w:lang w:val="zh-TW"/>
          </w:rPr>
          <w:instrText xml:space="preserve"> PAGE   \* MERGEFORMAT </w:instrText>
        </w:r>
        <w:r>
          <w:rPr>
            <w:noProof/>
            <w:lang w:val="zh-TW"/>
          </w:rPr>
          <w:fldChar w:fldCharType="separate"/>
        </w:r>
        <w:r w:rsidR="00542AA9" w:rsidRPr="00542AA9">
          <w:rPr>
            <w:noProof/>
            <w:lang w:val="zh-TW"/>
          </w:rPr>
          <w:t>3</w:t>
        </w:r>
        <w:r>
          <w:rPr>
            <w:noProof/>
            <w:lang w:val="zh-TW"/>
          </w:rPr>
          <w:fldChar w:fldCharType="end"/>
        </w:r>
      </w:p>
    </w:sdtContent>
  </w:sdt>
  <w:p w:rsidR="003B7827" w:rsidRDefault="003B78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AFE" w:rsidRDefault="00103AFE" w:rsidP="006732A9">
      <w:r>
        <w:separator/>
      </w:r>
    </w:p>
  </w:footnote>
  <w:footnote w:type="continuationSeparator" w:id="0">
    <w:p w:rsidR="00103AFE" w:rsidRDefault="00103AFE" w:rsidP="0067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16B"/>
    <w:multiLevelType w:val="hybridMultilevel"/>
    <w:tmpl w:val="AABA0C36"/>
    <w:lvl w:ilvl="0" w:tplc="98D8172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F46EBC"/>
    <w:multiLevelType w:val="hybridMultilevel"/>
    <w:tmpl w:val="1A5693DE"/>
    <w:lvl w:ilvl="0" w:tplc="7616A0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0E"/>
    <w:rsid w:val="0000454F"/>
    <w:rsid w:val="000122AA"/>
    <w:rsid w:val="00062151"/>
    <w:rsid w:val="000917E4"/>
    <w:rsid w:val="000E0ED9"/>
    <w:rsid w:val="000F18D0"/>
    <w:rsid w:val="000F5CD6"/>
    <w:rsid w:val="00103AFE"/>
    <w:rsid w:val="001D6243"/>
    <w:rsid w:val="002346EB"/>
    <w:rsid w:val="00274BAE"/>
    <w:rsid w:val="003B0521"/>
    <w:rsid w:val="003B082F"/>
    <w:rsid w:val="003B7827"/>
    <w:rsid w:val="003E2D2C"/>
    <w:rsid w:val="003F0740"/>
    <w:rsid w:val="004836C6"/>
    <w:rsid w:val="004E24D1"/>
    <w:rsid w:val="004F7ACB"/>
    <w:rsid w:val="00531698"/>
    <w:rsid w:val="00542AA9"/>
    <w:rsid w:val="005A5EA9"/>
    <w:rsid w:val="005C301D"/>
    <w:rsid w:val="005D1B09"/>
    <w:rsid w:val="006732A9"/>
    <w:rsid w:val="00676443"/>
    <w:rsid w:val="006768B1"/>
    <w:rsid w:val="006A678F"/>
    <w:rsid w:val="007B07A9"/>
    <w:rsid w:val="007D215A"/>
    <w:rsid w:val="00874DAE"/>
    <w:rsid w:val="00876810"/>
    <w:rsid w:val="0091140E"/>
    <w:rsid w:val="0095237B"/>
    <w:rsid w:val="009B5374"/>
    <w:rsid w:val="009D0F9A"/>
    <w:rsid w:val="009D1095"/>
    <w:rsid w:val="009D33D2"/>
    <w:rsid w:val="00A054E3"/>
    <w:rsid w:val="00A60197"/>
    <w:rsid w:val="00A86043"/>
    <w:rsid w:val="00AA149E"/>
    <w:rsid w:val="00B06EDF"/>
    <w:rsid w:val="00B2636C"/>
    <w:rsid w:val="00B3552A"/>
    <w:rsid w:val="00B61502"/>
    <w:rsid w:val="00B61BA5"/>
    <w:rsid w:val="00B76CF9"/>
    <w:rsid w:val="00BB3EFA"/>
    <w:rsid w:val="00BE131A"/>
    <w:rsid w:val="00BE1795"/>
    <w:rsid w:val="00C941B0"/>
    <w:rsid w:val="00CF11BE"/>
    <w:rsid w:val="00D53A5E"/>
    <w:rsid w:val="00D71E0E"/>
    <w:rsid w:val="00D8000C"/>
    <w:rsid w:val="00DF410F"/>
    <w:rsid w:val="00E247A9"/>
    <w:rsid w:val="00E75FE9"/>
    <w:rsid w:val="00EA4171"/>
    <w:rsid w:val="00F43FA0"/>
    <w:rsid w:val="00F47C35"/>
    <w:rsid w:val="00FB5F62"/>
    <w:rsid w:val="00FB6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E8385"/>
  <w15:docId w15:val="{07872434-09A3-4FC7-AC2E-49B2CDE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8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BA5"/>
    <w:pPr>
      <w:ind w:leftChars="200" w:left="480"/>
    </w:pPr>
  </w:style>
  <w:style w:type="paragraph" w:styleId="a4">
    <w:name w:val="header"/>
    <w:basedOn w:val="a"/>
    <w:link w:val="a5"/>
    <w:uiPriority w:val="99"/>
    <w:unhideWhenUsed/>
    <w:rsid w:val="006732A9"/>
    <w:pPr>
      <w:tabs>
        <w:tab w:val="center" w:pos="4153"/>
        <w:tab w:val="right" w:pos="8306"/>
      </w:tabs>
      <w:snapToGrid w:val="0"/>
    </w:pPr>
    <w:rPr>
      <w:sz w:val="20"/>
      <w:szCs w:val="20"/>
    </w:rPr>
  </w:style>
  <w:style w:type="character" w:customStyle="1" w:styleId="a5">
    <w:name w:val="頁首 字元"/>
    <w:basedOn w:val="a0"/>
    <w:link w:val="a4"/>
    <w:uiPriority w:val="99"/>
    <w:rsid w:val="006732A9"/>
    <w:rPr>
      <w:sz w:val="20"/>
      <w:szCs w:val="20"/>
    </w:rPr>
  </w:style>
  <w:style w:type="paragraph" w:styleId="a6">
    <w:name w:val="footer"/>
    <w:basedOn w:val="a"/>
    <w:link w:val="a7"/>
    <w:uiPriority w:val="99"/>
    <w:unhideWhenUsed/>
    <w:rsid w:val="006732A9"/>
    <w:pPr>
      <w:tabs>
        <w:tab w:val="center" w:pos="4153"/>
        <w:tab w:val="right" w:pos="8306"/>
      </w:tabs>
      <w:snapToGrid w:val="0"/>
    </w:pPr>
    <w:rPr>
      <w:sz w:val="20"/>
      <w:szCs w:val="20"/>
    </w:rPr>
  </w:style>
  <w:style w:type="character" w:customStyle="1" w:styleId="a7">
    <w:name w:val="頁尾 字元"/>
    <w:basedOn w:val="a0"/>
    <w:link w:val="a6"/>
    <w:uiPriority w:val="99"/>
    <w:rsid w:val="006732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A79E-8BD9-49EB-B7F0-8061D262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珮珊 曾</cp:lastModifiedBy>
  <cp:revision>6</cp:revision>
  <cp:lastPrinted>2018-10-26T04:16:00Z</cp:lastPrinted>
  <dcterms:created xsi:type="dcterms:W3CDTF">2019-04-29T02:08:00Z</dcterms:created>
  <dcterms:modified xsi:type="dcterms:W3CDTF">2019-07-09T06:05:00Z</dcterms:modified>
</cp:coreProperties>
</file>