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67C8" w14:textId="53BB5DAF" w:rsidR="00640DC2" w:rsidRDefault="00640DC2" w:rsidP="00854538">
      <w:pPr>
        <w:spacing w:afterLines="50" w:after="180" w:line="400" w:lineRule="exact"/>
        <w:jc w:val="center"/>
        <w:rPr>
          <w:rFonts w:ascii="標楷體" w:eastAsia="標楷體" w:hAnsi="標楷體"/>
          <w:b/>
          <w:bCs/>
          <w:sz w:val="40"/>
          <w:szCs w:val="40"/>
        </w:rPr>
      </w:pPr>
      <w:r w:rsidRPr="008B24A5">
        <w:rPr>
          <w:rFonts w:ascii="標楷體" w:eastAsia="標楷體" w:hAnsi="標楷體" w:hint="eastAsia"/>
          <w:b/>
          <w:bCs/>
          <w:sz w:val="40"/>
          <w:szCs w:val="40"/>
        </w:rPr>
        <w:t>證券</w:t>
      </w:r>
      <w:r w:rsidR="009C6F11">
        <w:rPr>
          <w:rFonts w:ascii="標楷體" w:eastAsia="標楷體" w:hAnsi="標楷體" w:hint="eastAsia"/>
          <w:b/>
          <w:bCs/>
          <w:sz w:val="40"/>
          <w:szCs w:val="40"/>
        </w:rPr>
        <w:t>商</w:t>
      </w:r>
      <w:r w:rsidRPr="008B24A5">
        <w:rPr>
          <w:rFonts w:ascii="標楷體" w:eastAsia="標楷體" w:hAnsi="標楷體" w:hint="eastAsia"/>
          <w:b/>
          <w:bCs/>
          <w:sz w:val="40"/>
          <w:szCs w:val="40"/>
        </w:rPr>
        <w:t>董事、監察人</w:t>
      </w:r>
      <w:r w:rsidRPr="00E9330B">
        <w:rPr>
          <w:rFonts w:ascii="標楷體" w:eastAsia="標楷體" w:hAnsi="標楷體" w:hint="eastAsia"/>
          <w:b/>
          <w:bCs/>
          <w:sz w:val="40"/>
          <w:szCs w:val="40"/>
        </w:rPr>
        <w:t>進修</w:t>
      </w:r>
      <w:r w:rsidR="001226A4" w:rsidRPr="00E9330B">
        <w:rPr>
          <w:rFonts w:ascii="標楷體" w:eastAsia="標楷體" w:hAnsi="標楷體" w:hint="eastAsia"/>
          <w:b/>
          <w:bCs/>
          <w:sz w:val="40"/>
          <w:szCs w:val="40"/>
        </w:rPr>
        <w:t>推行要</w:t>
      </w:r>
      <w:r w:rsidR="00C84313" w:rsidRPr="00E9330B">
        <w:rPr>
          <w:rFonts w:ascii="標楷體" w:eastAsia="標楷體" w:hAnsi="標楷體" w:hint="eastAsia"/>
          <w:b/>
          <w:bCs/>
          <w:sz w:val="40"/>
          <w:szCs w:val="40"/>
        </w:rPr>
        <w:t>點及</w:t>
      </w:r>
      <w:r w:rsidR="00C84313">
        <w:rPr>
          <w:rFonts w:ascii="標楷體" w:eastAsia="標楷體" w:hAnsi="標楷體" w:hint="eastAsia"/>
          <w:b/>
          <w:bCs/>
          <w:sz w:val="40"/>
          <w:szCs w:val="40"/>
        </w:rPr>
        <w:t>進修</w:t>
      </w:r>
      <w:r w:rsidRPr="008B24A5">
        <w:rPr>
          <w:rFonts w:ascii="標楷體" w:eastAsia="標楷體" w:hAnsi="標楷體" w:hint="eastAsia"/>
          <w:b/>
          <w:bCs/>
          <w:sz w:val="40"/>
          <w:szCs w:val="40"/>
        </w:rPr>
        <w:t>地圖</w:t>
      </w:r>
    </w:p>
    <w:p w14:paraId="2649EF74" w14:textId="4C2A2E9A" w:rsidR="008A309A" w:rsidRDefault="00C07CEA" w:rsidP="00C07CEA">
      <w:pPr>
        <w:spacing w:line="0" w:lineRule="atLeast"/>
        <w:ind w:leftChars="1241" w:left="4394" w:hangingChars="1041" w:hanging="1416"/>
        <w:jc w:val="distribute"/>
        <w:rPr>
          <w:rFonts w:eastAsia="標楷體"/>
          <w:spacing w:val="-12"/>
          <w:sz w:val="16"/>
          <w:szCs w:val="16"/>
        </w:rPr>
      </w:pPr>
      <w:r>
        <w:rPr>
          <w:rFonts w:eastAsia="標楷體" w:hint="eastAsia"/>
          <w:spacing w:val="-12"/>
          <w:sz w:val="16"/>
          <w:szCs w:val="16"/>
        </w:rPr>
        <w:t xml:space="preserve"> </w:t>
      </w:r>
      <w:r>
        <w:rPr>
          <w:rFonts w:eastAsia="標楷體"/>
          <w:spacing w:val="-12"/>
          <w:sz w:val="16"/>
          <w:szCs w:val="16"/>
        </w:rPr>
        <w:t xml:space="preserve"> </w:t>
      </w:r>
      <w:r w:rsidR="008A309A">
        <w:rPr>
          <w:rFonts w:eastAsia="標楷體" w:hint="eastAsia"/>
          <w:spacing w:val="-12"/>
          <w:sz w:val="16"/>
          <w:szCs w:val="16"/>
        </w:rPr>
        <w:t>金融監督管理委員會</w:t>
      </w:r>
      <w:r w:rsidR="008A309A">
        <w:rPr>
          <w:rFonts w:eastAsia="標楷體"/>
          <w:spacing w:val="-12"/>
          <w:sz w:val="16"/>
          <w:szCs w:val="16"/>
        </w:rPr>
        <w:t>111</w:t>
      </w:r>
      <w:r w:rsidR="008A309A">
        <w:rPr>
          <w:rFonts w:eastAsia="標楷體" w:hint="eastAsia"/>
          <w:spacing w:val="-12"/>
          <w:sz w:val="16"/>
          <w:szCs w:val="16"/>
        </w:rPr>
        <w:t>年</w:t>
      </w:r>
      <w:r w:rsidR="008A309A">
        <w:rPr>
          <w:rFonts w:eastAsia="標楷體" w:hint="eastAsia"/>
          <w:spacing w:val="-12"/>
          <w:sz w:val="16"/>
          <w:szCs w:val="16"/>
        </w:rPr>
        <w:t>1</w:t>
      </w:r>
      <w:r w:rsidR="008A309A">
        <w:rPr>
          <w:rFonts w:eastAsia="標楷體"/>
          <w:spacing w:val="-12"/>
          <w:sz w:val="16"/>
          <w:szCs w:val="16"/>
        </w:rPr>
        <w:t>1</w:t>
      </w:r>
      <w:r w:rsidR="008A309A">
        <w:rPr>
          <w:rFonts w:eastAsia="標楷體" w:hint="eastAsia"/>
          <w:spacing w:val="-12"/>
          <w:sz w:val="16"/>
          <w:szCs w:val="16"/>
        </w:rPr>
        <w:t>月</w:t>
      </w:r>
      <w:r w:rsidR="008A309A">
        <w:rPr>
          <w:rFonts w:eastAsia="標楷體"/>
          <w:spacing w:val="-12"/>
          <w:sz w:val="16"/>
          <w:szCs w:val="16"/>
        </w:rPr>
        <w:t>7</w:t>
      </w:r>
      <w:r w:rsidR="008A309A">
        <w:rPr>
          <w:rFonts w:eastAsia="標楷體" w:hint="eastAsia"/>
          <w:spacing w:val="-12"/>
          <w:sz w:val="16"/>
          <w:szCs w:val="16"/>
        </w:rPr>
        <w:t>日</w:t>
      </w:r>
      <w:r w:rsidR="00622341" w:rsidRPr="00C67696">
        <w:rPr>
          <w:rFonts w:eastAsia="標楷體"/>
          <w:spacing w:val="-12"/>
          <w:sz w:val="16"/>
          <w:szCs w:val="16"/>
        </w:rPr>
        <w:t>金管證券字第</w:t>
      </w:r>
      <w:r w:rsidR="00622341" w:rsidRPr="00C67696">
        <w:rPr>
          <w:rFonts w:eastAsia="標楷體"/>
          <w:spacing w:val="-12"/>
          <w:sz w:val="16"/>
          <w:szCs w:val="16"/>
        </w:rPr>
        <w:t>1110355716</w:t>
      </w:r>
      <w:r w:rsidR="0081685A">
        <w:rPr>
          <w:rFonts w:eastAsia="標楷體"/>
          <w:spacing w:val="-12"/>
          <w:sz w:val="16"/>
          <w:szCs w:val="16"/>
        </w:rPr>
        <w:t xml:space="preserve"> </w:t>
      </w:r>
      <w:r w:rsidR="00622341" w:rsidRPr="00C67696">
        <w:rPr>
          <w:rFonts w:eastAsia="標楷體"/>
          <w:spacing w:val="-12"/>
          <w:sz w:val="16"/>
          <w:szCs w:val="16"/>
        </w:rPr>
        <w:t>號</w:t>
      </w:r>
      <w:r w:rsidR="00622341" w:rsidRPr="00622341">
        <w:rPr>
          <w:rFonts w:eastAsia="標楷體" w:hint="eastAsia"/>
          <w:spacing w:val="-12"/>
          <w:sz w:val="16"/>
          <w:szCs w:val="16"/>
        </w:rPr>
        <w:t>函</w:t>
      </w:r>
      <w:r w:rsidR="008A309A">
        <w:rPr>
          <w:rFonts w:eastAsia="標楷體" w:hint="eastAsia"/>
          <w:spacing w:val="-12"/>
          <w:sz w:val="16"/>
          <w:szCs w:val="16"/>
        </w:rPr>
        <w:t>同意照辦</w:t>
      </w:r>
    </w:p>
    <w:p w14:paraId="7D73F4AD" w14:textId="31F3D6CB" w:rsidR="008A309A" w:rsidRDefault="008A309A" w:rsidP="00C07CEA">
      <w:pPr>
        <w:spacing w:line="0" w:lineRule="atLeast"/>
        <w:ind w:leftChars="1004" w:left="2410" w:rightChars="-24" w:right="-58" w:firstLineChars="500" w:firstLine="680"/>
        <w:rPr>
          <w:rFonts w:eastAsia="標楷體"/>
          <w:spacing w:val="-12"/>
          <w:sz w:val="16"/>
          <w:szCs w:val="16"/>
        </w:rPr>
      </w:pPr>
      <w:r>
        <w:rPr>
          <w:rFonts w:eastAsia="標楷體" w:hint="eastAsia"/>
          <w:spacing w:val="-12"/>
          <w:sz w:val="16"/>
          <w:szCs w:val="16"/>
        </w:rPr>
        <w:t>中華民國證券商業同業公會</w:t>
      </w:r>
      <w:r>
        <w:rPr>
          <w:rFonts w:eastAsia="標楷體"/>
          <w:spacing w:val="-12"/>
          <w:sz w:val="16"/>
          <w:szCs w:val="16"/>
        </w:rPr>
        <w:t>111</w:t>
      </w:r>
      <w:r>
        <w:rPr>
          <w:rFonts w:eastAsia="標楷體" w:hint="eastAsia"/>
          <w:spacing w:val="-12"/>
          <w:sz w:val="16"/>
          <w:szCs w:val="16"/>
        </w:rPr>
        <w:t>年</w:t>
      </w:r>
      <w:r w:rsidR="004770C6">
        <w:rPr>
          <w:rFonts w:eastAsia="標楷體" w:hint="eastAsia"/>
          <w:spacing w:val="-12"/>
          <w:sz w:val="16"/>
          <w:szCs w:val="16"/>
        </w:rPr>
        <w:t>1</w:t>
      </w:r>
      <w:r w:rsidR="004770C6">
        <w:rPr>
          <w:rFonts w:eastAsia="標楷體"/>
          <w:spacing w:val="-12"/>
          <w:sz w:val="16"/>
          <w:szCs w:val="16"/>
        </w:rPr>
        <w:t>1</w:t>
      </w:r>
      <w:r>
        <w:rPr>
          <w:rFonts w:eastAsia="標楷體" w:hint="eastAsia"/>
          <w:spacing w:val="-12"/>
          <w:sz w:val="16"/>
          <w:szCs w:val="16"/>
        </w:rPr>
        <w:t>月</w:t>
      </w:r>
      <w:r w:rsidR="0081685A">
        <w:rPr>
          <w:rFonts w:eastAsia="標楷體" w:hint="eastAsia"/>
          <w:spacing w:val="-12"/>
          <w:sz w:val="16"/>
          <w:szCs w:val="16"/>
        </w:rPr>
        <w:t>1</w:t>
      </w:r>
      <w:r w:rsidR="0081685A">
        <w:rPr>
          <w:rFonts w:eastAsia="標楷體"/>
          <w:spacing w:val="-12"/>
          <w:sz w:val="16"/>
          <w:szCs w:val="16"/>
        </w:rPr>
        <w:t>8</w:t>
      </w:r>
      <w:r>
        <w:rPr>
          <w:rFonts w:eastAsia="標楷體" w:hint="eastAsia"/>
          <w:spacing w:val="-12"/>
          <w:sz w:val="16"/>
          <w:szCs w:val="16"/>
        </w:rPr>
        <w:t>日中證商</w:t>
      </w:r>
      <w:r w:rsidR="002B6DD0">
        <w:rPr>
          <w:rFonts w:eastAsia="標楷體" w:hint="eastAsia"/>
          <w:spacing w:val="-12"/>
          <w:sz w:val="16"/>
          <w:szCs w:val="16"/>
        </w:rPr>
        <w:t>會二</w:t>
      </w:r>
      <w:r>
        <w:rPr>
          <w:rFonts w:eastAsia="標楷體" w:hint="eastAsia"/>
          <w:spacing w:val="-12"/>
          <w:sz w:val="16"/>
          <w:szCs w:val="16"/>
        </w:rPr>
        <w:t>字第</w:t>
      </w:r>
      <w:r w:rsidR="0081685A" w:rsidRPr="0081685A">
        <w:rPr>
          <w:rFonts w:eastAsia="標楷體"/>
          <w:spacing w:val="-12"/>
          <w:sz w:val="16"/>
          <w:szCs w:val="16"/>
        </w:rPr>
        <w:t>1110007255</w:t>
      </w:r>
      <w:r>
        <w:rPr>
          <w:rFonts w:eastAsia="標楷體" w:hint="eastAsia"/>
          <w:spacing w:val="-12"/>
          <w:sz w:val="16"/>
          <w:szCs w:val="16"/>
        </w:rPr>
        <w:t>號函公告施</w:t>
      </w:r>
      <w:r w:rsidR="0081685A">
        <w:rPr>
          <w:rFonts w:eastAsia="標楷體" w:hint="eastAsia"/>
          <w:spacing w:val="-12"/>
          <w:sz w:val="16"/>
          <w:szCs w:val="16"/>
        </w:rPr>
        <w:t>行</w:t>
      </w:r>
    </w:p>
    <w:p w14:paraId="396725DF" w14:textId="77777777" w:rsidR="00AB31BF" w:rsidRPr="008A309A" w:rsidRDefault="00AB31BF" w:rsidP="00854538">
      <w:pPr>
        <w:spacing w:afterLines="50" w:after="180" w:line="400" w:lineRule="exact"/>
        <w:jc w:val="center"/>
        <w:rPr>
          <w:rFonts w:ascii="標楷體" w:eastAsia="標楷體" w:hAnsi="標楷體"/>
          <w:b/>
          <w:bCs/>
          <w:kern w:val="0"/>
          <w:sz w:val="40"/>
          <w:szCs w:val="40"/>
        </w:rPr>
      </w:pPr>
    </w:p>
    <w:p w14:paraId="591B143A" w14:textId="03B39557" w:rsidR="00640DC2" w:rsidRPr="003C41E9" w:rsidRDefault="00640DC2"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第一條(依據)</w:t>
      </w:r>
    </w:p>
    <w:p w14:paraId="53641E3A" w14:textId="6CABDD27"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sz w:val="28"/>
          <w:szCs w:val="28"/>
        </w:rPr>
        <w:t>為鼓勵</w:t>
      </w: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安排新任或續任之董事（含獨立董事）、監察人持續充實新知，並達成下列目的，</w:t>
      </w:r>
      <w:proofErr w:type="gramStart"/>
      <w:r w:rsidRPr="003C41E9">
        <w:rPr>
          <w:rFonts w:ascii="標楷體" w:eastAsia="標楷體" w:hAnsi="標楷體"/>
          <w:sz w:val="28"/>
          <w:szCs w:val="28"/>
        </w:rPr>
        <w:t>爰</w:t>
      </w:r>
      <w:proofErr w:type="gramEnd"/>
      <w:r w:rsidRPr="003C41E9">
        <w:rPr>
          <w:rFonts w:ascii="標楷體" w:eastAsia="標楷體" w:hAnsi="標楷體"/>
          <w:sz w:val="28"/>
          <w:szCs w:val="28"/>
        </w:rPr>
        <w:t>依據「證券</w:t>
      </w:r>
      <w:r w:rsidR="00870145">
        <w:rPr>
          <w:rFonts w:ascii="標楷體" w:eastAsia="標楷體" w:hAnsi="標楷體" w:hint="eastAsia"/>
          <w:sz w:val="28"/>
          <w:szCs w:val="28"/>
        </w:rPr>
        <w:t>商</w:t>
      </w:r>
      <w:r w:rsidRPr="003C41E9">
        <w:rPr>
          <w:rFonts w:ascii="標楷體" w:eastAsia="標楷體" w:hAnsi="標楷體"/>
          <w:sz w:val="28"/>
          <w:szCs w:val="28"/>
        </w:rPr>
        <w:t>公司治理實務守則」第</w:t>
      </w:r>
      <w:r w:rsidR="00F11A4C">
        <w:rPr>
          <w:rFonts w:ascii="標楷體" w:eastAsia="標楷體" w:hAnsi="標楷體" w:hint="eastAsia"/>
          <w:sz w:val="28"/>
          <w:szCs w:val="28"/>
        </w:rPr>
        <w:t>四</w:t>
      </w:r>
      <w:r w:rsidRPr="00063524">
        <w:rPr>
          <w:rFonts w:ascii="標楷體" w:eastAsia="標楷體" w:hAnsi="標楷體"/>
          <w:color w:val="000000" w:themeColor="text1"/>
          <w:sz w:val="28"/>
          <w:szCs w:val="28"/>
        </w:rPr>
        <w:t>十條及第</w:t>
      </w:r>
      <w:r w:rsidR="00F11A4C">
        <w:rPr>
          <w:rFonts w:ascii="標楷體" w:eastAsia="標楷體" w:hAnsi="標楷體" w:hint="eastAsia"/>
          <w:color w:val="000000" w:themeColor="text1"/>
          <w:sz w:val="28"/>
          <w:szCs w:val="28"/>
        </w:rPr>
        <w:t>五十一</w:t>
      </w:r>
      <w:r w:rsidRPr="00063524">
        <w:rPr>
          <w:rFonts w:ascii="標楷體" w:eastAsia="標楷體" w:hAnsi="標楷體"/>
          <w:color w:val="000000" w:themeColor="text1"/>
          <w:sz w:val="28"/>
          <w:szCs w:val="28"/>
        </w:rPr>
        <w:t>條</w:t>
      </w:r>
      <w:r w:rsidR="00240148" w:rsidRPr="00063524">
        <w:rPr>
          <w:rFonts w:ascii="標楷體" w:eastAsia="標楷體" w:hAnsi="標楷體"/>
          <w:color w:val="000000" w:themeColor="text1"/>
          <w:sz w:val="28"/>
          <w:szCs w:val="28"/>
        </w:rPr>
        <w:t>規定</w:t>
      </w:r>
      <w:r w:rsidR="00240148" w:rsidRPr="00063524">
        <w:rPr>
          <w:rFonts w:ascii="標楷體" w:eastAsia="標楷體" w:hAnsi="標楷體" w:hint="eastAsia"/>
          <w:color w:val="000000" w:themeColor="text1"/>
          <w:sz w:val="28"/>
          <w:szCs w:val="28"/>
        </w:rPr>
        <w:t>暨</w:t>
      </w:r>
      <w:r w:rsidR="00240148" w:rsidRPr="00063524">
        <w:rPr>
          <w:rFonts w:ascii="標楷體" w:eastAsia="標楷體" w:hAnsi="標楷體" w:cs="細明體"/>
          <w:color w:val="000000" w:themeColor="text1"/>
          <w:kern w:val="0"/>
          <w:sz w:val="28"/>
          <w:szCs w:val="28"/>
        </w:rPr>
        <w:t>「證券期貨業永續發展轉型執行策略」</w:t>
      </w:r>
      <w:r w:rsidRPr="003C41E9">
        <w:rPr>
          <w:rFonts w:ascii="標楷體" w:eastAsia="標楷體" w:hAnsi="標楷體"/>
          <w:sz w:val="28"/>
          <w:szCs w:val="28"/>
        </w:rPr>
        <w:t>訂定</w:t>
      </w:r>
      <w:r w:rsidRPr="00E9330B">
        <w:rPr>
          <w:rFonts w:ascii="標楷體" w:eastAsia="標楷體" w:hAnsi="標楷體"/>
          <w:sz w:val="28"/>
          <w:szCs w:val="28"/>
        </w:rPr>
        <w:t>本</w:t>
      </w:r>
      <w:r w:rsidR="006B27EB" w:rsidRPr="00E9330B">
        <w:rPr>
          <w:rFonts w:ascii="標楷體" w:eastAsia="標楷體" w:hAnsi="標楷體" w:hint="eastAsia"/>
          <w:sz w:val="28"/>
          <w:szCs w:val="28"/>
        </w:rPr>
        <w:t>進修</w:t>
      </w:r>
      <w:r w:rsidR="002E5FC9" w:rsidRPr="00E9330B">
        <w:rPr>
          <w:rFonts w:ascii="標楷體" w:eastAsia="標楷體" w:hAnsi="標楷體" w:hint="eastAsia"/>
          <w:sz w:val="28"/>
          <w:szCs w:val="28"/>
        </w:rPr>
        <w:t>推行要點</w:t>
      </w:r>
      <w:r w:rsidR="00795C89" w:rsidRPr="00E9330B">
        <w:rPr>
          <w:rFonts w:ascii="標楷體" w:eastAsia="標楷體" w:hAnsi="標楷體" w:hint="eastAsia"/>
          <w:sz w:val="28"/>
          <w:szCs w:val="28"/>
        </w:rPr>
        <w:t>及</w:t>
      </w:r>
      <w:r w:rsidRPr="003C41E9">
        <w:rPr>
          <w:rFonts w:ascii="標楷體" w:eastAsia="標楷體" w:hAnsi="標楷體" w:hint="eastAsia"/>
          <w:sz w:val="28"/>
          <w:szCs w:val="28"/>
        </w:rPr>
        <w:t>進修地圖</w:t>
      </w:r>
      <w:r w:rsidRPr="003C41E9">
        <w:rPr>
          <w:rFonts w:ascii="標楷體" w:eastAsia="標楷體" w:hAnsi="標楷體"/>
          <w:sz w:val="28"/>
          <w:szCs w:val="28"/>
        </w:rPr>
        <w:t>：</w:t>
      </w:r>
    </w:p>
    <w:p w14:paraId="42E86F43" w14:textId="7A83AA42" w:rsidR="007673BE" w:rsidRPr="003C41E9" w:rsidRDefault="007673BE" w:rsidP="00E81AF9">
      <w:pPr>
        <w:spacing w:line="400" w:lineRule="exact"/>
        <w:ind w:leftChars="1" w:left="565" w:hangingChars="201" w:hanging="563"/>
        <w:rPr>
          <w:rFonts w:ascii="標楷體" w:eastAsia="標楷體" w:hAnsi="標楷體"/>
          <w:sz w:val="28"/>
          <w:szCs w:val="28"/>
        </w:rPr>
      </w:pPr>
      <w:r w:rsidRPr="003C41E9">
        <w:rPr>
          <w:rFonts w:ascii="標楷體" w:eastAsia="標楷體" w:hAnsi="標楷體"/>
          <w:sz w:val="28"/>
          <w:szCs w:val="28"/>
        </w:rPr>
        <w:t>一、促使公司董事</w:t>
      </w:r>
      <w:r w:rsidR="00D62C8B"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、監察人提升其專業知能與法律素養。</w:t>
      </w:r>
    </w:p>
    <w:p w14:paraId="6A012F29" w14:textId="2827AA9A" w:rsidR="007673BE" w:rsidRPr="003C41E9" w:rsidRDefault="007673BE" w:rsidP="00E81AF9">
      <w:pPr>
        <w:spacing w:line="400" w:lineRule="exact"/>
        <w:ind w:leftChars="1" w:left="565" w:hangingChars="201" w:hanging="563"/>
        <w:rPr>
          <w:rFonts w:ascii="標楷體" w:eastAsia="標楷體" w:hAnsi="標楷體"/>
          <w:sz w:val="28"/>
          <w:szCs w:val="28"/>
        </w:rPr>
      </w:pPr>
      <w:r w:rsidRPr="003C41E9">
        <w:rPr>
          <w:rFonts w:ascii="標楷體" w:eastAsia="標楷體" w:hAnsi="標楷體"/>
          <w:sz w:val="28"/>
          <w:szCs w:val="28"/>
        </w:rPr>
        <w:t>二、協助公司董事</w:t>
      </w:r>
      <w:r w:rsidR="00D62C8B"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、監察人培養其優異特質與決斷能力。</w:t>
      </w:r>
    </w:p>
    <w:p w14:paraId="4A7B1F38" w14:textId="14C89CE8" w:rsidR="007673BE" w:rsidRPr="003C41E9" w:rsidRDefault="007673BE" w:rsidP="00E81AF9">
      <w:pPr>
        <w:spacing w:line="400" w:lineRule="exact"/>
        <w:ind w:leftChars="1" w:left="565" w:hangingChars="201" w:hanging="563"/>
        <w:rPr>
          <w:rFonts w:ascii="標楷體" w:eastAsia="標楷體" w:hAnsi="標楷體"/>
          <w:sz w:val="28"/>
          <w:szCs w:val="28"/>
        </w:rPr>
      </w:pPr>
      <w:r w:rsidRPr="003C41E9">
        <w:rPr>
          <w:rFonts w:ascii="標楷體" w:eastAsia="標楷體" w:hAnsi="標楷體"/>
          <w:sz w:val="28"/>
          <w:szCs w:val="28"/>
        </w:rPr>
        <w:t>三、引導公司董事</w:t>
      </w:r>
      <w:r w:rsidR="00D62C8B"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、監察人加強其經驗交流與切磋互動。</w:t>
      </w:r>
    </w:p>
    <w:p w14:paraId="706993B0" w14:textId="0B23EED3" w:rsidR="007673BE" w:rsidRPr="003C41E9" w:rsidRDefault="007673BE" w:rsidP="00E81AF9">
      <w:pPr>
        <w:spacing w:line="400" w:lineRule="exact"/>
        <w:ind w:leftChars="1" w:left="565" w:hangingChars="201" w:hanging="563"/>
        <w:rPr>
          <w:rFonts w:ascii="標楷體" w:eastAsia="標楷體" w:hAnsi="標楷體"/>
          <w:sz w:val="28"/>
          <w:szCs w:val="28"/>
        </w:rPr>
      </w:pPr>
      <w:r w:rsidRPr="003C41E9">
        <w:rPr>
          <w:rFonts w:ascii="標楷體" w:eastAsia="標楷體" w:hAnsi="標楷體"/>
          <w:sz w:val="28"/>
          <w:szCs w:val="28"/>
        </w:rPr>
        <w:t>四、推動公司董事</w:t>
      </w:r>
      <w:r w:rsidR="005D4DB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、監察人積極有效落實公司治理制度。</w:t>
      </w:r>
    </w:p>
    <w:p w14:paraId="4CCE65C8" w14:textId="77777777" w:rsidR="007673BE" w:rsidRPr="003C41E9" w:rsidRDefault="007673BE" w:rsidP="003C41E9">
      <w:pPr>
        <w:spacing w:line="400" w:lineRule="exact"/>
        <w:jc w:val="both"/>
        <w:rPr>
          <w:rFonts w:ascii="標楷體" w:eastAsia="標楷體" w:hAnsi="標楷體"/>
          <w:color w:val="4472C4" w:themeColor="accent1"/>
          <w:sz w:val="28"/>
          <w:szCs w:val="28"/>
        </w:rPr>
      </w:pPr>
    </w:p>
    <w:p w14:paraId="704BCF9E" w14:textId="77777777" w:rsidR="007673BE" w:rsidRPr="003C41E9" w:rsidRDefault="007673BE"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w:t>
      </w:r>
      <w:r w:rsidRPr="003C41E9">
        <w:rPr>
          <w:rFonts w:ascii="標楷體" w:eastAsia="標楷體" w:hAnsi="標楷體" w:hint="eastAsia"/>
          <w:b/>
          <w:bCs/>
          <w:sz w:val="28"/>
          <w:szCs w:val="28"/>
        </w:rPr>
        <w:t>二</w:t>
      </w:r>
      <w:r w:rsidRPr="003C41E9">
        <w:rPr>
          <w:rFonts w:ascii="標楷體" w:eastAsia="標楷體" w:hAnsi="標楷體"/>
          <w:b/>
          <w:bCs/>
          <w:sz w:val="28"/>
          <w:szCs w:val="28"/>
        </w:rPr>
        <w:t>條(適用對象)</w:t>
      </w:r>
    </w:p>
    <w:p w14:paraId="7A10A0E9" w14:textId="77777777" w:rsidR="00524FD9" w:rsidRPr="00524FD9" w:rsidRDefault="00524FD9" w:rsidP="00524FD9">
      <w:pPr>
        <w:spacing w:line="400" w:lineRule="exact"/>
        <w:jc w:val="both"/>
        <w:rPr>
          <w:rFonts w:ascii="標楷體" w:eastAsia="標楷體" w:hAnsi="標楷體"/>
          <w:sz w:val="28"/>
          <w:szCs w:val="28"/>
        </w:rPr>
      </w:pPr>
      <w:r w:rsidRPr="00524FD9">
        <w:rPr>
          <w:rFonts w:ascii="標楷體" w:eastAsia="標楷體" w:hAnsi="標楷體" w:hint="eastAsia"/>
          <w:sz w:val="28"/>
          <w:szCs w:val="28"/>
        </w:rPr>
        <w:t>本進修推行要點及進修地圖所稱</w:t>
      </w:r>
      <w:r w:rsidRPr="00524FD9">
        <w:rPr>
          <w:rFonts w:ascii="標楷體" w:eastAsia="標楷體" w:hAnsi="標楷體"/>
          <w:sz w:val="28"/>
          <w:szCs w:val="28"/>
        </w:rPr>
        <w:t>新任之董事</w:t>
      </w:r>
      <w:r w:rsidRPr="00524FD9">
        <w:rPr>
          <w:rFonts w:ascii="標楷體" w:eastAsia="標楷體" w:hAnsi="標楷體" w:cs="細明體"/>
          <w:kern w:val="0"/>
          <w:sz w:val="28"/>
          <w:szCs w:val="28"/>
        </w:rPr>
        <w:t>（含獨立董事）</w:t>
      </w:r>
      <w:r w:rsidRPr="00524FD9">
        <w:rPr>
          <w:rFonts w:ascii="標楷體" w:eastAsia="標楷體" w:hAnsi="標楷體"/>
          <w:sz w:val="28"/>
          <w:szCs w:val="28"/>
        </w:rPr>
        <w:t>、監察人，係指第一次擔任</w:t>
      </w:r>
      <w:r w:rsidRPr="00524FD9">
        <w:rPr>
          <w:rFonts w:ascii="標楷體" w:eastAsia="標楷體" w:hAnsi="標楷體" w:hint="eastAsia"/>
          <w:sz w:val="28"/>
          <w:szCs w:val="28"/>
        </w:rPr>
        <w:t>證券商</w:t>
      </w:r>
      <w:r w:rsidRPr="00524FD9">
        <w:rPr>
          <w:rFonts w:ascii="標楷體" w:eastAsia="標楷體" w:hAnsi="標楷體"/>
          <w:sz w:val="28"/>
          <w:szCs w:val="28"/>
        </w:rPr>
        <w:t>之董事</w:t>
      </w:r>
      <w:r w:rsidRPr="00524FD9">
        <w:rPr>
          <w:rFonts w:ascii="標楷體" w:eastAsia="標楷體" w:hAnsi="標楷體" w:cs="細明體"/>
          <w:kern w:val="0"/>
          <w:sz w:val="28"/>
          <w:szCs w:val="28"/>
        </w:rPr>
        <w:t>（含獨立董事）</w:t>
      </w:r>
      <w:r w:rsidRPr="00524FD9">
        <w:rPr>
          <w:rFonts w:ascii="標楷體" w:eastAsia="標楷體" w:hAnsi="標楷體"/>
          <w:sz w:val="28"/>
          <w:szCs w:val="28"/>
        </w:rPr>
        <w:t>、監察人者。</w:t>
      </w:r>
    </w:p>
    <w:p w14:paraId="6AFA0706" w14:textId="77777777" w:rsidR="00524FD9" w:rsidRPr="00524FD9" w:rsidRDefault="00524FD9" w:rsidP="00524FD9">
      <w:pPr>
        <w:spacing w:line="400" w:lineRule="exact"/>
        <w:jc w:val="both"/>
        <w:rPr>
          <w:rFonts w:ascii="標楷體" w:eastAsia="標楷體" w:hAnsi="標楷體"/>
          <w:sz w:val="28"/>
          <w:szCs w:val="28"/>
        </w:rPr>
      </w:pPr>
      <w:r w:rsidRPr="00524FD9">
        <w:rPr>
          <w:rFonts w:ascii="標楷體" w:eastAsia="標楷體" w:hAnsi="標楷體" w:hint="eastAsia"/>
          <w:sz w:val="28"/>
          <w:szCs w:val="28"/>
        </w:rPr>
        <w:t>本進修推行要點及進修地圖所稱</w:t>
      </w:r>
      <w:r w:rsidRPr="00524FD9">
        <w:rPr>
          <w:rFonts w:ascii="標楷體" w:eastAsia="標楷體" w:hAnsi="標楷體"/>
          <w:sz w:val="28"/>
          <w:szCs w:val="28"/>
        </w:rPr>
        <w:t>續任之董事</w:t>
      </w:r>
      <w:r w:rsidRPr="00524FD9">
        <w:rPr>
          <w:rFonts w:ascii="標楷體" w:eastAsia="標楷體" w:hAnsi="標楷體" w:cs="細明體"/>
          <w:kern w:val="0"/>
          <w:sz w:val="28"/>
          <w:szCs w:val="28"/>
        </w:rPr>
        <w:t>（含獨立董事）</w:t>
      </w:r>
      <w:r w:rsidRPr="00524FD9">
        <w:rPr>
          <w:rFonts w:ascii="標楷體" w:eastAsia="標楷體" w:hAnsi="標楷體"/>
          <w:sz w:val="28"/>
          <w:szCs w:val="28"/>
        </w:rPr>
        <w:t>、監察人，係指再次擔任</w:t>
      </w:r>
      <w:r w:rsidRPr="00524FD9">
        <w:rPr>
          <w:rFonts w:ascii="標楷體" w:eastAsia="標楷體" w:hAnsi="標楷體" w:hint="eastAsia"/>
          <w:sz w:val="28"/>
          <w:szCs w:val="28"/>
        </w:rPr>
        <w:t>證券商</w:t>
      </w:r>
      <w:r w:rsidRPr="00524FD9">
        <w:rPr>
          <w:rFonts w:ascii="標楷體" w:eastAsia="標楷體" w:hAnsi="標楷體"/>
          <w:sz w:val="28"/>
          <w:szCs w:val="28"/>
        </w:rPr>
        <w:t>之董事</w:t>
      </w:r>
      <w:r w:rsidRPr="00524FD9">
        <w:rPr>
          <w:rFonts w:ascii="標楷體" w:eastAsia="標楷體" w:hAnsi="標楷體" w:cs="細明體"/>
          <w:kern w:val="0"/>
          <w:sz w:val="28"/>
          <w:szCs w:val="28"/>
        </w:rPr>
        <w:t>（含獨立董事）</w:t>
      </w:r>
      <w:r w:rsidRPr="00524FD9">
        <w:rPr>
          <w:rFonts w:ascii="標楷體" w:eastAsia="標楷體" w:hAnsi="標楷體"/>
          <w:sz w:val="28"/>
          <w:szCs w:val="28"/>
        </w:rPr>
        <w:t>、監察人者。</w:t>
      </w:r>
    </w:p>
    <w:p w14:paraId="14EC5F1A" w14:textId="77777777" w:rsidR="00524FD9" w:rsidRPr="00524FD9" w:rsidRDefault="00524FD9" w:rsidP="00524FD9">
      <w:pPr>
        <w:spacing w:line="400" w:lineRule="exact"/>
        <w:jc w:val="both"/>
        <w:rPr>
          <w:rFonts w:ascii="標楷體" w:eastAsia="標楷體" w:hAnsi="標楷體"/>
          <w:sz w:val="28"/>
          <w:szCs w:val="28"/>
        </w:rPr>
      </w:pPr>
      <w:r w:rsidRPr="00524FD9">
        <w:rPr>
          <w:rFonts w:ascii="標楷體" w:eastAsia="標楷體" w:hAnsi="標楷體" w:hint="eastAsia"/>
          <w:sz w:val="28"/>
          <w:szCs w:val="28"/>
        </w:rPr>
        <w:t>前項續任，不以任期連續或任職同一家證券商為必要。</w:t>
      </w:r>
    </w:p>
    <w:p w14:paraId="205E6F57" w14:textId="38C0461D" w:rsidR="000F585C" w:rsidRPr="00524FD9" w:rsidRDefault="00524FD9" w:rsidP="00524FD9">
      <w:pPr>
        <w:spacing w:line="400" w:lineRule="exact"/>
        <w:jc w:val="both"/>
        <w:rPr>
          <w:rFonts w:ascii="標楷體" w:eastAsia="標楷體" w:hAnsi="標楷體"/>
          <w:sz w:val="28"/>
          <w:szCs w:val="28"/>
        </w:rPr>
      </w:pPr>
      <w:r w:rsidRPr="00524FD9">
        <w:rPr>
          <w:rFonts w:ascii="標楷體" w:eastAsia="標楷體" w:hAnsi="標楷體" w:hint="eastAsia"/>
          <w:sz w:val="28"/>
          <w:szCs w:val="28"/>
        </w:rPr>
        <w:t>曾擔任金融控股公司、銀行業、保險業或證券暨期貨市場各服務事業建立內部控制制度處理準則第三條所稱之各服務事業之董事</w:t>
      </w:r>
      <w:r w:rsidR="00C11641" w:rsidRPr="00524FD9">
        <w:rPr>
          <w:rFonts w:ascii="標楷體" w:eastAsia="標楷體" w:hAnsi="標楷體" w:cs="細明體"/>
          <w:kern w:val="0"/>
          <w:sz w:val="28"/>
          <w:szCs w:val="28"/>
        </w:rPr>
        <w:t>（含獨立董事）</w:t>
      </w:r>
      <w:r w:rsidR="00C11641" w:rsidRPr="00524FD9">
        <w:rPr>
          <w:rFonts w:ascii="標楷體" w:eastAsia="標楷體" w:hAnsi="標楷體"/>
          <w:sz w:val="28"/>
          <w:szCs w:val="28"/>
        </w:rPr>
        <w:t>、監察人</w:t>
      </w:r>
      <w:r w:rsidRPr="00524FD9">
        <w:rPr>
          <w:rFonts w:ascii="標楷體" w:eastAsia="標楷體" w:hAnsi="標楷體" w:hint="eastAsia"/>
          <w:sz w:val="28"/>
          <w:szCs w:val="28"/>
        </w:rPr>
        <w:t>，其再擔任證券商董事</w:t>
      </w:r>
      <w:r w:rsidR="00C11641" w:rsidRPr="00524FD9">
        <w:rPr>
          <w:rFonts w:ascii="標楷體" w:eastAsia="標楷體" w:hAnsi="標楷體" w:cs="細明體"/>
          <w:kern w:val="0"/>
          <w:sz w:val="28"/>
          <w:szCs w:val="28"/>
        </w:rPr>
        <w:t>（含獨立董事）</w:t>
      </w:r>
      <w:r w:rsidR="00C11641" w:rsidRPr="00524FD9">
        <w:rPr>
          <w:rFonts w:ascii="標楷體" w:eastAsia="標楷體" w:hAnsi="標楷體"/>
          <w:sz w:val="28"/>
          <w:szCs w:val="28"/>
        </w:rPr>
        <w:t>、監察人</w:t>
      </w:r>
      <w:r w:rsidRPr="00524FD9">
        <w:rPr>
          <w:rFonts w:ascii="標楷體" w:eastAsia="標楷體" w:hAnsi="標楷體" w:hint="eastAsia"/>
          <w:sz w:val="28"/>
          <w:szCs w:val="28"/>
        </w:rPr>
        <w:t>者，視同續任。</w:t>
      </w:r>
    </w:p>
    <w:p w14:paraId="24314E1E" w14:textId="77777777" w:rsidR="00B52720" w:rsidRPr="000F585C" w:rsidRDefault="00B52720" w:rsidP="003C41E9">
      <w:pPr>
        <w:spacing w:line="400" w:lineRule="exact"/>
        <w:jc w:val="both"/>
        <w:rPr>
          <w:rFonts w:ascii="標楷體" w:eastAsia="標楷體" w:hAnsi="標楷體"/>
          <w:sz w:val="28"/>
          <w:szCs w:val="28"/>
        </w:rPr>
      </w:pPr>
    </w:p>
    <w:p w14:paraId="128EA500" w14:textId="12BDF19B" w:rsidR="00B52720" w:rsidRPr="003C41E9" w:rsidRDefault="00B52720"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w:t>
      </w:r>
      <w:r w:rsidR="004C7ECE" w:rsidRPr="003C41E9">
        <w:rPr>
          <w:rFonts w:ascii="標楷體" w:eastAsia="標楷體" w:hAnsi="標楷體" w:hint="eastAsia"/>
          <w:b/>
          <w:bCs/>
          <w:sz w:val="28"/>
          <w:szCs w:val="28"/>
        </w:rPr>
        <w:t>三</w:t>
      </w:r>
      <w:r w:rsidRPr="003C41E9">
        <w:rPr>
          <w:rFonts w:ascii="標楷體" w:eastAsia="標楷體" w:hAnsi="標楷體"/>
          <w:b/>
          <w:bCs/>
          <w:sz w:val="28"/>
          <w:szCs w:val="28"/>
        </w:rPr>
        <w:t>條(進修時數)</w:t>
      </w:r>
    </w:p>
    <w:p w14:paraId="282A4241" w14:textId="53A7C0E2"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hint="eastAsia"/>
          <w:sz w:val="28"/>
          <w:szCs w:val="28"/>
        </w:rPr>
        <w:t>證券</w:t>
      </w:r>
      <w:r w:rsidR="009C6F11">
        <w:rPr>
          <w:rFonts w:ascii="標楷體" w:eastAsia="標楷體" w:hAnsi="標楷體" w:hint="eastAsia"/>
          <w:sz w:val="28"/>
          <w:szCs w:val="28"/>
        </w:rPr>
        <w:t>商</w:t>
      </w:r>
      <w:r w:rsidRPr="003C41E9">
        <w:rPr>
          <w:rFonts w:ascii="標楷體" w:eastAsia="標楷體" w:hAnsi="標楷體"/>
          <w:sz w:val="28"/>
          <w:szCs w:val="28"/>
        </w:rPr>
        <w:t>之董事</w:t>
      </w:r>
      <w:r w:rsidR="005D4DB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w:t>
      </w:r>
      <w:r w:rsidRPr="003C41E9">
        <w:rPr>
          <w:rFonts w:ascii="標楷體" w:eastAsia="標楷體" w:hAnsi="標楷體" w:hint="eastAsia"/>
          <w:sz w:val="28"/>
          <w:szCs w:val="28"/>
        </w:rPr>
        <w:t>應</w:t>
      </w:r>
      <w:r w:rsidRPr="003C41E9">
        <w:rPr>
          <w:rFonts w:ascii="標楷體" w:eastAsia="標楷體" w:hAnsi="標楷體"/>
          <w:sz w:val="28"/>
          <w:szCs w:val="28"/>
        </w:rPr>
        <w:t>進修時數如下：</w:t>
      </w:r>
    </w:p>
    <w:p w14:paraId="2972014D" w14:textId="4730E1B1" w:rsidR="00B66A67" w:rsidRPr="005E55DB" w:rsidRDefault="00DC735A" w:rsidP="00C504FB">
      <w:pPr>
        <w:pStyle w:val="a3"/>
        <w:numPr>
          <w:ilvl w:val="0"/>
          <w:numId w:val="24"/>
        </w:numPr>
        <w:spacing w:line="400" w:lineRule="exact"/>
        <w:ind w:leftChars="0" w:left="560" w:hangingChars="200" w:hanging="560"/>
        <w:jc w:val="both"/>
        <w:rPr>
          <w:rFonts w:ascii="標楷體" w:eastAsia="標楷體" w:hAnsi="標楷體"/>
          <w:sz w:val="28"/>
          <w:szCs w:val="28"/>
        </w:rPr>
      </w:pPr>
      <w:r w:rsidRPr="005E55DB">
        <w:rPr>
          <w:rFonts w:ascii="標楷體" w:eastAsia="標楷體" w:hAnsi="標楷體" w:hint="eastAsia"/>
          <w:sz w:val="28"/>
          <w:szCs w:val="28"/>
        </w:rPr>
        <w:t>上市</w:t>
      </w:r>
      <w:r w:rsidR="00FD5B86" w:rsidRPr="005E55DB">
        <w:rPr>
          <w:rFonts w:ascii="新細明體" w:hAnsi="新細明體" w:hint="eastAsia"/>
          <w:sz w:val="28"/>
          <w:szCs w:val="28"/>
        </w:rPr>
        <w:t>、</w:t>
      </w:r>
      <w:r w:rsidR="009F72C1" w:rsidRPr="005E55DB">
        <w:rPr>
          <w:rFonts w:ascii="標楷體" w:eastAsia="標楷體" w:hAnsi="標楷體" w:hint="eastAsia"/>
          <w:sz w:val="28"/>
          <w:szCs w:val="28"/>
        </w:rPr>
        <w:t>上</w:t>
      </w:r>
      <w:r w:rsidR="00B53A0B" w:rsidRPr="005E55DB">
        <w:rPr>
          <w:rFonts w:ascii="標楷體" w:eastAsia="標楷體" w:hAnsi="標楷體" w:hint="eastAsia"/>
          <w:sz w:val="28"/>
          <w:szCs w:val="28"/>
        </w:rPr>
        <w:t>櫃</w:t>
      </w:r>
      <w:r w:rsidR="00B53A0B" w:rsidRPr="005E55DB">
        <w:rPr>
          <w:rFonts w:ascii="新細明體" w:hAnsi="新細明體" w:hint="eastAsia"/>
          <w:sz w:val="28"/>
          <w:szCs w:val="28"/>
        </w:rPr>
        <w:t>、</w:t>
      </w:r>
      <w:r w:rsidR="00041C9C" w:rsidRPr="005E55DB">
        <w:rPr>
          <w:rFonts w:ascii="標楷體" w:eastAsia="標楷體" w:hAnsi="標楷體" w:hint="eastAsia"/>
          <w:sz w:val="28"/>
          <w:szCs w:val="28"/>
        </w:rPr>
        <w:t>金</w:t>
      </w:r>
      <w:r w:rsidR="00744C41" w:rsidRPr="005E55DB">
        <w:rPr>
          <w:rFonts w:ascii="標楷體" w:eastAsia="標楷體" w:hAnsi="標楷體" w:hint="eastAsia"/>
          <w:sz w:val="28"/>
          <w:szCs w:val="28"/>
        </w:rPr>
        <w:t>融</w:t>
      </w:r>
      <w:r w:rsidR="00041C9C" w:rsidRPr="005E55DB">
        <w:rPr>
          <w:rFonts w:ascii="標楷體" w:eastAsia="標楷體" w:hAnsi="標楷體" w:hint="eastAsia"/>
          <w:sz w:val="28"/>
          <w:szCs w:val="28"/>
        </w:rPr>
        <w:t>控</w:t>
      </w:r>
      <w:r w:rsidR="003E7AE6" w:rsidRPr="005E55DB">
        <w:rPr>
          <w:rFonts w:ascii="標楷體" w:eastAsia="標楷體" w:hAnsi="標楷體" w:hint="eastAsia"/>
          <w:sz w:val="28"/>
          <w:szCs w:val="28"/>
        </w:rPr>
        <w:t>股公司</w:t>
      </w:r>
      <w:r w:rsidR="00CB6D2D" w:rsidRPr="005E55DB">
        <w:rPr>
          <w:rFonts w:ascii="標楷體" w:eastAsia="標楷體" w:hAnsi="標楷體" w:hint="eastAsia"/>
          <w:sz w:val="28"/>
          <w:szCs w:val="28"/>
        </w:rPr>
        <w:t>旗下綜合</w:t>
      </w:r>
      <w:r w:rsidR="00A256B6" w:rsidRPr="005E55DB">
        <w:rPr>
          <w:rFonts w:ascii="標楷體" w:eastAsia="標楷體" w:hAnsi="標楷體" w:hint="eastAsia"/>
          <w:sz w:val="28"/>
          <w:szCs w:val="28"/>
        </w:rPr>
        <w:t>證</w:t>
      </w:r>
      <w:r w:rsidR="00446540" w:rsidRPr="005E55DB">
        <w:rPr>
          <w:rFonts w:ascii="標楷體" w:eastAsia="標楷體" w:hAnsi="標楷體"/>
          <w:sz w:val="28"/>
          <w:szCs w:val="28"/>
        </w:rPr>
        <w:t>券商新任董事</w:t>
      </w:r>
      <w:r w:rsidR="005D4DBC" w:rsidRPr="005E55DB">
        <w:rPr>
          <w:rFonts w:ascii="標楷體" w:eastAsia="標楷體" w:hAnsi="標楷體"/>
          <w:sz w:val="28"/>
          <w:szCs w:val="28"/>
        </w:rPr>
        <w:t>（含獨立董事）</w:t>
      </w:r>
      <w:r w:rsidR="00446540" w:rsidRPr="005E55DB">
        <w:rPr>
          <w:rFonts w:ascii="標楷體" w:eastAsia="標楷體" w:hAnsi="標楷體"/>
          <w:sz w:val="28"/>
          <w:szCs w:val="28"/>
        </w:rPr>
        <w:t>、監察人</w:t>
      </w:r>
      <w:r w:rsidR="00BC0A36" w:rsidRPr="005E55DB">
        <w:rPr>
          <w:rFonts w:ascii="標楷體" w:eastAsia="標楷體" w:hAnsi="標楷體" w:hint="eastAsia"/>
          <w:sz w:val="28"/>
          <w:szCs w:val="28"/>
        </w:rPr>
        <w:t>就任</w:t>
      </w:r>
      <w:r w:rsidR="00322B09" w:rsidRPr="005E55DB">
        <w:rPr>
          <w:rFonts w:ascii="標楷體" w:eastAsia="標楷體" w:hAnsi="標楷體" w:hint="eastAsia"/>
          <w:sz w:val="28"/>
          <w:szCs w:val="28"/>
        </w:rPr>
        <w:t>當年度</w:t>
      </w:r>
      <w:r w:rsidR="005E2C96" w:rsidRPr="005E55DB">
        <w:rPr>
          <w:rFonts w:ascii="標楷體" w:eastAsia="標楷體" w:hAnsi="標楷體" w:hint="eastAsia"/>
          <w:sz w:val="28"/>
          <w:szCs w:val="28"/>
        </w:rPr>
        <w:t>十二</w:t>
      </w:r>
      <w:r w:rsidR="00446540" w:rsidRPr="005E55DB">
        <w:rPr>
          <w:rFonts w:ascii="標楷體" w:eastAsia="標楷體" w:hAnsi="標楷體"/>
          <w:sz w:val="28"/>
          <w:szCs w:val="28"/>
        </w:rPr>
        <w:t>小時，</w:t>
      </w:r>
      <w:r w:rsidR="00B6053D" w:rsidRPr="005E55DB">
        <w:rPr>
          <w:rFonts w:ascii="標楷體" w:eastAsia="標楷體" w:hAnsi="標楷體" w:hint="eastAsia"/>
          <w:sz w:val="28"/>
          <w:szCs w:val="28"/>
        </w:rPr>
        <w:t>其餘證券商</w:t>
      </w:r>
      <w:r w:rsidR="000418FC" w:rsidRPr="005E55DB">
        <w:rPr>
          <w:rFonts w:ascii="標楷體" w:eastAsia="標楷體" w:hAnsi="標楷體"/>
          <w:sz w:val="28"/>
          <w:szCs w:val="28"/>
        </w:rPr>
        <w:t>新任董事（含獨立董事）、監察人</w:t>
      </w:r>
      <w:r w:rsidR="000418FC" w:rsidRPr="005E55DB">
        <w:rPr>
          <w:rFonts w:ascii="標楷體" w:eastAsia="標楷體" w:hAnsi="標楷體" w:hint="eastAsia"/>
          <w:sz w:val="28"/>
          <w:szCs w:val="28"/>
        </w:rPr>
        <w:t>就任當年度</w:t>
      </w:r>
      <w:r w:rsidR="00340D72" w:rsidRPr="005E55DB">
        <w:rPr>
          <w:rFonts w:ascii="標楷體" w:eastAsia="標楷體" w:hAnsi="標楷體" w:hint="eastAsia"/>
          <w:sz w:val="28"/>
          <w:szCs w:val="28"/>
        </w:rPr>
        <w:t>六</w:t>
      </w:r>
      <w:r w:rsidR="000418FC" w:rsidRPr="005E55DB">
        <w:rPr>
          <w:rFonts w:ascii="標楷體" w:eastAsia="標楷體" w:hAnsi="標楷體"/>
          <w:sz w:val="28"/>
          <w:szCs w:val="28"/>
        </w:rPr>
        <w:t>小時，</w:t>
      </w:r>
      <w:r w:rsidR="00B66A67" w:rsidRPr="005E55DB">
        <w:rPr>
          <w:rFonts w:ascii="標楷體" w:eastAsia="標楷體" w:hAnsi="標楷體" w:hint="eastAsia"/>
          <w:sz w:val="28"/>
          <w:szCs w:val="28"/>
        </w:rPr>
        <w:t>其</w:t>
      </w:r>
      <w:r w:rsidR="00B66A67" w:rsidRPr="005E55DB">
        <w:rPr>
          <w:rFonts w:ascii="標楷體" w:eastAsia="標楷體" w:hAnsi="標楷體"/>
          <w:sz w:val="28"/>
          <w:szCs w:val="28"/>
        </w:rPr>
        <w:t>中應包</w:t>
      </w:r>
      <w:r w:rsidR="00B66A67" w:rsidRPr="005E55DB">
        <w:rPr>
          <w:rFonts w:ascii="標楷體" w:eastAsia="標楷體" w:hAnsi="標楷體" w:hint="eastAsia"/>
          <w:sz w:val="28"/>
          <w:szCs w:val="28"/>
        </w:rPr>
        <w:t>含</w:t>
      </w:r>
      <w:r w:rsidR="0025110B" w:rsidRPr="005E55DB">
        <w:rPr>
          <w:rFonts w:ascii="標楷體" w:eastAsia="標楷體" w:hAnsi="標楷體" w:hint="eastAsia"/>
          <w:sz w:val="28"/>
          <w:szCs w:val="28"/>
        </w:rPr>
        <w:t>「</w:t>
      </w:r>
      <w:r w:rsidR="00B66A67" w:rsidRPr="005E55DB">
        <w:rPr>
          <w:rFonts w:ascii="標楷體" w:eastAsia="標楷體" w:hAnsi="標楷體"/>
          <w:sz w:val="28"/>
          <w:szCs w:val="28"/>
        </w:rPr>
        <w:t>董事的法律義務與責任</w:t>
      </w:r>
      <w:r w:rsidR="002747AE" w:rsidRPr="005E55DB">
        <w:rPr>
          <w:rFonts w:ascii="標楷體" w:eastAsia="標楷體" w:hAnsi="標楷體" w:hint="eastAsia"/>
          <w:sz w:val="28"/>
          <w:szCs w:val="28"/>
        </w:rPr>
        <w:t>」</w:t>
      </w:r>
      <w:r w:rsidR="00E124E2" w:rsidRPr="005E55DB">
        <w:rPr>
          <w:rFonts w:ascii="標楷體" w:eastAsia="標楷體" w:hAnsi="標楷體" w:hint="eastAsia"/>
          <w:sz w:val="28"/>
          <w:szCs w:val="28"/>
        </w:rPr>
        <w:t>相關</w:t>
      </w:r>
      <w:r w:rsidR="00B66A67" w:rsidRPr="005E55DB">
        <w:rPr>
          <w:rFonts w:ascii="標楷體" w:eastAsia="標楷體" w:hAnsi="標楷體"/>
          <w:sz w:val="28"/>
          <w:szCs w:val="28"/>
        </w:rPr>
        <w:t>課程，且「</w:t>
      </w:r>
      <w:r w:rsidR="00B66A67" w:rsidRPr="005E55DB">
        <w:rPr>
          <w:rFonts w:ascii="標楷體" w:eastAsia="標楷體" w:hAnsi="標楷體" w:hint="eastAsia"/>
          <w:sz w:val="28"/>
          <w:szCs w:val="28"/>
        </w:rPr>
        <w:t>環</w:t>
      </w:r>
      <w:r w:rsidR="00B66A67" w:rsidRPr="005E55DB">
        <w:rPr>
          <w:rFonts w:ascii="標楷體" w:eastAsia="標楷體" w:hAnsi="標楷體"/>
          <w:sz w:val="28"/>
          <w:szCs w:val="28"/>
        </w:rPr>
        <w:t>境(E)</w:t>
      </w:r>
      <w:r w:rsidR="00B66A67" w:rsidRPr="005E55DB">
        <w:rPr>
          <w:rFonts w:ascii="標楷體" w:eastAsia="標楷體" w:hAnsi="標楷體" w:hint="eastAsia"/>
          <w:sz w:val="28"/>
          <w:szCs w:val="28"/>
        </w:rPr>
        <w:t>社</w:t>
      </w:r>
      <w:r w:rsidR="00B66A67" w:rsidRPr="005E55DB">
        <w:rPr>
          <w:rFonts w:ascii="標楷體" w:eastAsia="標楷體" w:hAnsi="標楷體"/>
          <w:sz w:val="28"/>
          <w:szCs w:val="28"/>
        </w:rPr>
        <w:t>會</w:t>
      </w:r>
      <w:r w:rsidR="00B66A67" w:rsidRPr="005E55DB">
        <w:rPr>
          <w:rFonts w:ascii="標楷體" w:eastAsia="標楷體" w:hAnsi="標楷體" w:hint="eastAsia"/>
          <w:sz w:val="28"/>
          <w:szCs w:val="28"/>
        </w:rPr>
        <w:t>(S)及</w:t>
      </w:r>
      <w:r w:rsidR="00B66A67" w:rsidRPr="005E55DB">
        <w:rPr>
          <w:rFonts w:ascii="標楷體" w:eastAsia="標楷體" w:hAnsi="標楷體"/>
          <w:sz w:val="28"/>
          <w:szCs w:val="28"/>
        </w:rPr>
        <w:t>治理</w:t>
      </w:r>
      <w:r w:rsidR="00B66A67" w:rsidRPr="005E55DB">
        <w:rPr>
          <w:rFonts w:ascii="標楷體" w:eastAsia="標楷體" w:hAnsi="標楷體" w:hint="eastAsia"/>
          <w:sz w:val="28"/>
          <w:szCs w:val="28"/>
        </w:rPr>
        <w:t>(G)永</w:t>
      </w:r>
      <w:r w:rsidR="00B66A67" w:rsidRPr="005E55DB">
        <w:rPr>
          <w:rFonts w:ascii="標楷體" w:eastAsia="標楷體" w:hAnsi="標楷體"/>
          <w:sz w:val="28"/>
          <w:szCs w:val="28"/>
        </w:rPr>
        <w:t>續責</w:t>
      </w:r>
      <w:r w:rsidR="00B66A67" w:rsidRPr="005E55DB">
        <w:rPr>
          <w:rFonts w:ascii="標楷體" w:eastAsia="標楷體" w:hAnsi="標楷體"/>
          <w:sz w:val="28"/>
          <w:szCs w:val="28"/>
        </w:rPr>
        <w:lastRenderedPageBreak/>
        <w:t>任</w:t>
      </w:r>
      <w:r w:rsidR="00B66A67" w:rsidRPr="005E55DB">
        <w:rPr>
          <w:rFonts w:ascii="標楷體" w:eastAsia="標楷體" w:hAnsi="標楷體" w:hint="eastAsia"/>
          <w:sz w:val="28"/>
          <w:szCs w:val="28"/>
        </w:rPr>
        <w:t>」</w:t>
      </w:r>
      <w:r w:rsidR="00B66A67" w:rsidRPr="005E55DB">
        <w:rPr>
          <w:rFonts w:ascii="標楷體" w:eastAsia="標楷體" w:hAnsi="標楷體"/>
          <w:sz w:val="28"/>
          <w:szCs w:val="28"/>
        </w:rPr>
        <w:t>領</w:t>
      </w:r>
      <w:r w:rsidR="00B66A67" w:rsidRPr="005E55DB">
        <w:rPr>
          <w:rFonts w:ascii="標楷體" w:eastAsia="標楷體" w:hAnsi="標楷體" w:hint="eastAsia"/>
          <w:sz w:val="28"/>
          <w:szCs w:val="28"/>
        </w:rPr>
        <w:t>域</w:t>
      </w:r>
      <w:r w:rsidR="00B66A67" w:rsidRPr="005E55DB">
        <w:rPr>
          <w:rFonts w:ascii="標楷體" w:eastAsia="標楷體" w:hAnsi="標楷體"/>
          <w:sz w:val="28"/>
          <w:szCs w:val="28"/>
        </w:rPr>
        <w:t>課</w:t>
      </w:r>
      <w:r w:rsidR="00B66A67" w:rsidRPr="005E55DB">
        <w:rPr>
          <w:rFonts w:ascii="標楷體" w:eastAsia="標楷體" w:hAnsi="標楷體" w:hint="eastAsia"/>
          <w:sz w:val="28"/>
          <w:szCs w:val="28"/>
        </w:rPr>
        <w:t>程</w:t>
      </w:r>
      <w:r w:rsidR="00B66A67" w:rsidRPr="005E55DB">
        <w:rPr>
          <w:rFonts w:ascii="標楷體" w:eastAsia="標楷體" w:hAnsi="標楷體"/>
          <w:sz w:val="28"/>
          <w:szCs w:val="28"/>
        </w:rPr>
        <w:t>應占二分之一</w:t>
      </w:r>
      <w:r w:rsidR="00B66A67" w:rsidRPr="005E55DB">
        <w:rPr>
          <w:rFonts w:ascii="標楷體" w:eastAsia="標楷體" w:hAnsi="標楷體" w:hint="eastAsia"/>
          <w:sz w:val="28"/>
          <w:szCs w:val="28"/>
        </w:rPr>
        <w:t>(含)以</w:t>
      </w:r>
      <w:r w:rsidR="00B66A67" w:rsidRPr="005E55DB">
        <w:rPr>
          <w:rFonts w:ascii="標楷體" w:eastAsia="標楷體" w:hAnsi="標楷體"/>
          <w:sz w:val="28"/>
          <w:szCs w:val="28"/>
        </w:rPr>
        <w:t>上。</w:t>
      </w:r>
    </w:p>
    <w:p w14:paraId="783C90B3" w14:textId="4111D95C" w:rsidR="007673BE" w:rsidRPr="00D647D0" w:rsidRDefault="00F43146" w:rsidP="00C504FB">
      <w:pPr>
        <w:pStyle w:val="a3"/>
        <w:numPr>
          <w:ilvl w:val="0"/>
          <w:numId w:val="24"/>
        </w:numPr>
        <w:spacing w:line="400" w:lineRule="exact"/>
        <w:ind w:leftChars="0" w:left="560" w:hangingChars="200" w:hanging="560"/>
        <w:jc w:val="both"/>
        <w:rPr>
          <w:rFonts w:ascii="標楷體" w:eastAsia="標楷體" w:hAnsi="標楷體"/>
          <w:sz w:val="28"/>
          <w:szCs w:val="28"/>
        </w:rPr>
      </w:pPr>
      <w:r w:rsidRPr="005E55DB">
        <w:rPr>
          <w:rFonts w:ascii="標楷體" w:eastAsia="標楷體" w:hAnsi="標楷體" w:hint="eastAsia"/>
          <w:sz w:val="28"/>
          <w:szCs w:val="28"/>
        </w:rPr>
        <w:t>就</w:t>
      </w:r>
      <w:r w:rsidRPr="005E55DB">
        <w:rPr>
          <w:rFonts w:ascii="標楷體" w:eastAsia="標楷體" w:hAnsi="標楷體"/>
          <w:sz w:val="28"/>
          <w:szCs w:val="28"/>
        </w:rPr>
        <w:t>任次年度</w:t>
      </w:r>
      <w:r w:rsidRPr="005E55DB">
        <w:rPr>
          <w:rFonts w:ascii="標楷體" w:eastAsia="標楷體" w:hAnsi="標楷體" w:hint="eastAsia"/>
          <w:sz w:val="28"/>
          <w:szCs w:val="28"/>
        </w:rPr>
        <w:t>起</w:t>
      </w:r>
      <w:r w:rsidRPr="005E55DB">
        <w:rPr>
          <w:rFonts w:ascii="標楷體" w:eastAsia="標楷體" w:hAnsi="標楷體"/>
          <w:sz w:val="28"/>
          <w:szCs w:val="28"/>
        </w:rPr>
        <w:t>每年至少</w:t>
      </w:r>
      <w:r w:rsidR="00BF36B5" w:rsidRPr="005E55DB">
        <w:rPr>
          <w:rFonts w:ascii="標楷體" w:eastAsia="標楷體" w:hAnsi="標楷體" w:hint="eastAsia"/>
          <w:sz w:val="28"/>
          <w:szCs w:val="28"/>
        </w:rPr>
        <w:t>應</w:t>
      </w:r>
      <w:r w:rsidRPr="005E55DB">
        <w:rPr>
          <w:rFonts w:ascii="標楷體" w:eastAsia="標楷體" w:hAnsi="標楷體"/>
          <w:sz w:val="28"/>
          <w:szCs w:val="28"/>
        </w:rPr>
        <w:t>進修六小</w:t>
      </w:r>
      <w:r w:rsidRPr="005E55DB">
        <w:rPr>
          <w:rFonts w:ascii="標楷體" w:eastAsia="標楷體" w:hAnsi="標楷體" w:hint="eastAsia"/>
          <w:sz w:val="28"/>
          <w:szCs w:val="28"/>
        </w:rPr>
        <w:t>時</w:t>
      </w:r>
      <w:r w:rsidRPr="00D647D0">
        <w:rPr>
          <w:rFonts w:ascii="標楷體" w:eastAsia="標楷體" w:hAnsi="標楷體"/>
          <w:sz w:val="28"/>
          <w:szCs w:val="28"/>
        </w:rPr>
        <w:t>，其中「</w:t>
      </w:r>
      <w:r w:rsidRPr="00D647D0">
        <w:rPr>
          <w:rFonts w:ascii="標楷體" w:eastAsia="標楷體" w:hAnsi="標楷體" w:hint="eastAsia"/>
          <w:sz w:val="28"/>
          <w:szCs w:val="28"/>
        </w:rPr>
        <w:t>環</w:t>
      </w:r>
      <w:r w:rsidRPr="00D647D0">
        <w:rPr>
          <w:rFonts w:ascii="標楷體" w:eastAsia="標楷體" w:hAnsi="標楷體"/>
          <w:sz w:val="28"/>
          <w:szCs w:val="28"/>
        </w:rPr>
        <w:t>境(E)</w:t>
      </w:r>
      <w:r w:rsidRPr="00D647D0">
        <w:rPr>
          <w:rFonts w:ascii="標楷體" w:eastAsia="標楷體" w:hAnsi="標楷體" w:hint="eastAsia"/>
          <w:sz w:val="28"/>
          <w:szCs w:val="28"/>
        </w:rPr>
        <w:t>社</w:t>
      </w:r>
      <w:r w:rsidRPr="00D647D0">
        <w:rPr>
          <w:rFonts w:ascii="標楷體" w:eastAsia="標楷體" w:hAnsi="標楷體"/>
          <w:sz w:val="28"/>
          <w:szCs w:val="28"/>
        </w:rPr>
        <w:t>會</w:t>
      </w:r>
      <w:r w:rsidRPr="00D647D0">
        <w:rPr>
          <w:rFonts w:ascii="標楷體" w:eastAsia="標楷體" w:hAnsi="標楷體" w:hint="eastAsia"/>
          <w:sz w:val="28"/>
          <w:szCs w:val="28"/>
        </w:rPr>
        <w:t>(S)及</w:t>
      </w:r>
      <w:r w:rsidRPr="00D647D0">
        <w:rPr>
          <w:rFonts w:ascii="標楷體" w:eastAsia="標楷體" w:hAnsi="標楷體"/>
          <w:sz w:val="28"/>
          <w:szCs w:val="28"/>
        </w:rPr>
        <w:t>治理</w:t>
      </w:r>
      <w:r w:rsidRPr="00D647D0">
        <w:rPr>
          <w:rFonts w:ascii="標楷體" w:eastAsia="標楷體" w:hAnsi="標楷體" w:hint="eastAsia"/>
          <w:sz w:val="28"/>
          <w:szCs w:val="28"/>
        </w:rPr>
        <w:t>(G)永</w:t>
      </w:r>
      <w:r w:rsidRPr="00D647D0">
        <w:rPr>
          <w:rFonts w:ascii="標楷體" w:eastAsia="標楷體" w:hAnsi="標楷體"/>
          <w:sz w:val="28"/>
          <w:szCs w:val="28"/>
        </w:rPr>
        <w:t>續責任</w:t>
      </w:r>
      <w:r w:rsidRPr="00D647D0">
        <w:rPr>
          <w:rFonts w:ascii="標楷體" w:eastAsia="標楷體" w:hAnsi="標楷體" w:hint="eastAsia"/>
          <w:sz w:val="28"/>
          <w:szCs w:val="28"/>
        </w:rPr>
        <w:t>」</w:t>
      </w:r>
      <w:r w:rsidRPr="00D647D0">
        <w:rPr>
          <w:rFonts w:ascii="標楷體" w:eastAsia="標楷體" w:hAnsi="標楷體"/>
          <w:sz w:val="28"/>
          <w:szCs w:val="28"/>
        </w:rPr>
        <w:t>領域課程應占二分之一</w:t>
      </w:r>
      <w:r w:rsidRPr="00D647D0">
        <w:rPr>
          <w:rFonts w:ascii="標楷體" w:eastAsia="標楷體" w:hAnsi="標楷體" w:hint="eastAsia"/>
          <w:sz w:val="28"/>
          <w:szCs w:val="28"/>
        </w:rPr>
        <w:t>(含)以</w:t>
      </w:r>
      <w:r w:rsidRPr="00D647D0">
        <w:rPr>
          <w:rFonts w:ascii="標楷體" w:eastAsia="標楷體" w:hAnsi="標楷體"/>
          <w:sz w:val="28"/>
          <w:szCs w:val="28"/>
        </w:rPr>
        <w:t>上。</w:t>
      </w:r>
    </w:p>
    <w:p w14:paraId="4688221B" w14:textId="65BB6256" w:rsidR="007673BE" w:rsidRPr="004017E3" w:rsidRDefault="007673BE" w:rsidP="00C504FB">
      <w:pPr>
        <w:pStyle w:val="a3"/>
        <w:numPr>
          <w:ilvl w:val="0"/>
          <w:numId w:val="24"/>
        </w:numPr>
        <w:spacing w:line="400" w:lineRule="exact"/>
        <w:ind w:leftChars="0" w:left="560" w:hangingChars="200" w:hanging="560"/>
        <w:jc w:val="both"/>
        <w:rPr>
          <w:rFonts w:ascii="標楷體" w:eastAsia="標楷體" w:hAnsi="標楷體"/>
          <w:sz w:val="28"/>
          <w:szCs w:val="28"/>
        </w:rPr>
      </w:pPr>
      <w:r w:rsidRPr="00D647D0">
        <w:rPr>
          <w:rFonts w:ascii="標楷體" w:eastAsia="標楷體" w:hAnsi="標楷體"/>
          <w:sz w:val="28"/>
          <w:szCs w:val="28"/>
        </w:rPr>
        <w:t>續任者任期中每年至少</w:t>
      </w:r>
      <w:r w:rsidR="009B20E4" w:rsidRPr="00D647D0">
        <w:rPr>
          <w:rFonts w:ascii="標楷體" w:eastAsia="標楷體" w:hAnsi="標楷體" w:hint="eastAsia"/>
          <w:sz w:val="28"/>
          <w:szCs w:val="28"/>
        </w:rPr>
        <w:t>應</w:t>
      </w:r>
      <w:r w:rsidRPr="00D647D0">
        <w:rPr>
          <w:rFonts w:ascii="標楷體" w:eastAsia="標楷體" w:hAnsi="標楷體"/>
          <w:sz w:val="28"/>
          <w:szCs w:val="28"/>
        </w:rPr>
        <w:t>進修六小時。但當年度擔任本</w:t>
      </w:r>
      <w:r w:rsidR="00FC0CF5" w:rsidRPr="00D647D0">
        <w:rPr>
          <w:rFonts w:ascii="標楷體" w:eastAsia="標楷體" w:hAnsi="標楷體" w:hint="eastAsia"/>
          <w:sz w:val="28"/>
          <w:szCs w:val="28"/>
        </w:rPr>
        <w:t>進修推行要點</w:t>
      </w:r>
      <w:r w:rsidR="007011D1" w:rsidRPr="00726FDD">
        <w:rPr>
          <w:rFonts w:ascii="標楷體" w:eastAsia="標楷體" w:hAnsi="標楷體" w:hint="eastAsia"/>
          <w:color w:val="2F5496" w:themeColor="accent1" w:themeShade="BF"/>
          <w:sz w:val="28"/>
          <w:szCs w:val="28"/>
        </w:rPr>
        <w:t>及</w:t>
      </w:r>
      <w:r w:rsidRPr="00D647D0">
        <w:rPr>
          <w:rFonts w:ascii="標楷體" w:eastAsia="標楷體" w:hAnsi="標楷體" w:hint="eastAsia"/>
          <w:sz w:val="28"/>
          <w:szCs w:val="28"/>
        </w:rPr>
        <w:t>進修地圖</w:t>
      </w:r>
      <w:r w:rsidRPr="00D647D0">
        <w:rPr>
          <w:rFonts w:ascii="標楷體" w:eastAsia="標楷體" w:hAnsi="標楷體"/>
          <w:sz w:val="28"/>
          <w:szCs w:val="28"/>
        </w:rPr>
        <w:t>之進修課程授課講師，已符合前款</w:t>
      </w:r>
      <w:r w:rsidRPr="004017E3">
        <w:rPr>
          <w:rFonts w:ascii="標楷體" w:eastAsia="標楷體" w:hAnsi="標楷體"/>
          <w:sz w:val="28"/>
          <w:szCs w:val="28"/>
        </w:rPr>
        <w:t>有關新任當年度進修時</w:t>
      </w:r>
      <w:r w:rsidR="00991C02" w:rsidRPr="004017E3">
        <w:rPr>
          <w:rFonts w:ascii="標楷體" w:eastAsia="標楷體" w:hAnsi="標楷體" w:hint="eastAsia"/>
          <w:sz w:val="28"/>
          <w:szCs w:val="28"/>
        </w:rPr>
        <w:t>數</w:t>
      </w:r>
      <w:r w:rsidRPr="004017E3">
        <w:rPr>
          <w:rFonts w:ascii="標楷體" w:eastAsia="標楷體" w:hAnsi="標楷體"/>
          <w:sz w:val="28"/>
          <w:szCs w:val="28"/>
        </w:rPr>
        <w:t>之規定者，講授課程一次得抵減一小時，總抵減時數以三小時為限。</w:t>
      </w:r>
    </w:p>
    <w:p w14:paraId="6F91420B" w14:textId="77777777" w:rsidR="007673BE" w:rsidRPr="001E74E7" w:rsidRDefault="007673BE" w:rsidP="001E74E7">
      <w:pPr>
        <w:spacing w:line="400" w:lineRule="exact"/>
        <w:jc w:val="both"/>
        <w:rPr>
          <w:rFonts w:ascii="標楷體" w:eastAsia="標楷體" w:hAnsi="標楷體"/>
          <w:sz w:val="28"/>
          <w:szCs w:val="28"/>
        </w:rPr>
      </w:pPr>
      <w:r w:rsidRPr="001E74E7">
        <w:rPr>
          <w:rFonts w:ascii="標楷體" w:eastAsia="標楷體" w:hAnsi="標楷體"/>
          <w:sz w:val="28"/>
          <w:szCs w:val="28"/>
        </w:rPr>
        <w:t>進修時數</w:t>
      </w:r>
      <w:proofErr w:type="gramStart"/>
      <w:r w:rsidRPr="001E74E7">
        <w:rPr>
          <w:rFonts w:ascii="標楷體" w:eastAsia="標楷體" w:hAnsi="標楷體"/>
          <w:sz w:val="28"/>
          <w:szCs w:val="28"/>
        </w:rPr>
        <w:t>採</w:t>
      </w:r>
      <w:proofErr w:type="gramEnd"/>
      <w:r w:rsidRPr="001E74E7">
        <w:rPr>
          <w:rFonts w:ascii="標楷體" w:eastAsia="標楷體" w:hAnsi="標楷體"/>
          <w:sz w:val="28"/>
          <w:szCs w:val="28"/>
        </w:rPr>
        <w:t>累進計算方式，原則上自當年度一月一日起至十二月三十一日止，如因情況特殊或課程設計須跨年度計算者，應於揭露進修執行情形時一併敘明原因。</w:t>
      </w:r>
    </w:p>
    <w:p w14:paraId="410DCB1C" w14:textId="0FC03E98" w:rsidR="00C5405F" w:rsidRPr="003C41E9" w:rsidRDefault="00C5405F" w:rsidP="003C41E9">
      <w:pPr>
        <w:spacing w:line="400" w:lineRule="exact"/>
        <w:jc w:val="both"/>
        <w:rPr>
          <w:rFonts w:ascii="標楷體" w:eastAsia="標楷體" w:hAnsi="標楷體"/>
          <w:sz w:val="28"/>
          <w:szCs w:val="28"/>
        </w:rPr>
      </w:pPr>
    </w:p>
    <w:p w14:paraId="791E3AAF" w14:textId="77777777" w:rsidR="007673BE" w:rsidRPr="003C41E9" w:rsidRDefault="007673BE"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w:t>
      </w:r>
      <w:r w:rsidRPr="003C41E9">
        <w:rPr>
          <w:rFonts w:ascii="標楷體" w:eastAsia="標楷體" w:hAnsi="標楷體" w:hint="eastAsia"/>
          <w:b/>
          <w:bCs/>
          <w:sz w:val="28"/>
          <w:szCs w:val="28"/>
        </w:rPr>
        <w:t>四</w:t>
      </w:r>
      <w:r w:rsidRPr="003C41E9">
        <w:rPr>
          <w:rFonts w:ascii="標楷體" w:eastAsia="標楷體" w:hAnsi="標楷體"/>
          <w:b/>
          <w:bCs/>
          <w:sz w:val="28"/>
          <w:szCs w:val="28"/>
        </w:rPr>
        <w:t>條(進修之安排)</w:t>
      </w:r>
    </w:p>
    <w:p w14:paraId="17BE414A" w14:textId="55018D7B"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應瞭解所有董事</w:t>
      </w:r>
      <w:r w:rsidR="00A12F5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、監察人之學經歷及專業背景，衡酌公司之經營主軸與主要業務發展方向，以適當安排各成員之進修時段及進修內容。</w:t>
      </w:r>
    </w:p>
    <w:p w14:paraId="78DB7524" w14:textId="26D010B8" w:rsidR="007673BE" w:rsidRPr="003C41E9" w:rsidRDefault="007673BE" w:rsidP="007179A1">
      <w:pPr>
        <w:spacing w:line="400" w:lineRule="exact"/>
        <w:rPr>
          <w:rFonts w:ascii="標楷體" w:eastAsia="標楷體" w:hAnsi="標楷體"/>
          <w:sz w:val="28"/>
          <w:szCs w:val="28"/>
        </w:rPr>
      </w:pP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之董事</w:t>
      </w:r>
      <w:r w:rsidR="005D4DB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、監察人，應定期向公司申報進修證明。</w:t>
      </w: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應定期檢視董事</w:t>
      </w:r>
      <w:r w:rsidR="00A12F5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、監察人之進修情形</w:t>
      </w:r>
      <w:r w:rsidR="00171341">
        <w:rPr>
          <w:rFonts w:ascii="標楷體" w:eastAsia="標楷體" w:hAnsi="標楷體" w:hint="eastAsia"/>
          <w:sz w:val="28"/>
          <w:szCs w:val="28"/>
        </w:rPr>
        <w:t>，</w:t>
      </w:r>
      <w:r w:rsidR="00975F7B" w:rsidRPr="009B20E4">
        <w:rPr>
          <w:rFonts w:ascii="標楷體" w:eastAsia="標楷體" w:hAnsi="標楷體" w:hint="eastAsia"/>
          <w:sz w:val="28"/>
          <w:szCs w:val="28"/>
        </w:rPr>
        <w:t>並</w:t>
      </w:r>
      <w:r w:rsidR="007179A1" w:rsidRPr="009B20E4">
        <w:rPr>
          <w:rFonts w:ascii="標楷體" w:eastAsia="標楷體" w:hAnsi="標楷體" w:hint="eastAsia"/>
          <w:sz w:val="28"/>
          <w:szCs w:val="28"/>
        </w:rPr>
        <w:t>定期向本公會申報</w:t>
      </w:r>
      <w:r w:rsidR="007179A1" w:rsidRPr="009B20E4">
        <w:rPr>
          <w:rFonts w:ascii="標楷體" w:eastAsia="標楷體" w:hAnsi="標楷體"/>
          <w:sz w:val="28"/>
          <w:szCs w:val="28"/>
        </w:rPr>
        <w:t>董事</w:t>
      </w:r>
      <w:r w:rsidR="007179A1" w:rsidRPr="009B20E4">
        <w:rPr>
          <w:rFonts w:ascii="標楷體" w:eastAsia="標楷體" w:hAnsi="標楷體" w:hint="eastAsia"/>
          <w:sz w:val="28"/>
          <w:szCs w:val="28"/>
        </w:rPr>
        <w:t>(含</w:t>
      </w:r>
      <w:r w:rsidR="007179A1" w:rsidRPr="009B20E4">
        <w:rPr>
          <w:rFonts w:ascii="標楷體" w:eastAsia="標楷體" w:hAnsi="標楷體"/>
          <w:sz w:val="28"/>
          <w:szCs w:val="28"/>
        </w:rPr>
        <w:t>獨</w:t>
      </w:r>
      <w:r w:rsidR="007179A1" w:rsidRPr="009B20E4">
        <w:rPr>
          <w:rFonts w:ascii="標楷體" w:eastAsia="標楷體" w:hAnsi="標楷體" w:hint="eastAsia"/>
          <w:sz w:val="28"/>
          <w:szCs w:val="28"/>
        </w:rPr>
        <w:t>立</w:t>
      </w:r>
      <w:r w:rsidR="007179A1" w:rsidRPr="009B20E4">
        <w:rPr>
          <w:rFonts w:ascii="標楷體" w:eastAsia="標楷體" w:hAnsi="標楷體"/>
          <w:sz w:val="28"/>
          <w:szCs w:val="28"/>
        </w:rPr>
        <w:t>董事</w:t>
      </w:r>
      <w:r w:rsidR="007179A1" w:rsidRPr="009B20E4">
        <w:rPr>
          <w:rFonts w:ascii="標楷體" w:eastAsia="標楷體" w:hAnsi="標楷體" w:hint="eastAsia"/>
          <w:sz w:val="28"/>
          <w:szCs w:val="28"/>
        </w:rPr>
        <w:t>)</w:t>
      </w:r>
      <w:r w:rsidR="007179A1" w:rsidRPr="009B20E4">
        <w:rPr>
          <w:rFonts w:ascii="標楷體" w:eastAsia="標楷體" w:hAnsi="標楷體"/>
          <w:sz w:val="28"/>
          <w:szCs w:val="28"/>
        </w:rPr>
        <w:t>、監察人</w:t>
      </w:r>
      <w:r w:rsidR="00844A97" w:rsidRPr="009B20E4">
        <w:rPr>
          <w:rFonts w:ascii="標楷體" w:eastAsia="標楷體" w:hAnsi="標楷體" w:hint="eastAsia"/>
          <w:sz w:val="28"/>
          <w:szCs w:val="28"/>
        </w:rPr>
        <w:t>之</w:t>
      </w:r>
      <w:r w:rsidR="007179A1" w:rsidRPr="009B20E4">
        <w:rPr>
          <w:rFonts w:ascii="標楷體" w:eastAsia="標楷體" w:hAnsi="標楷體"/>
          <w:sz w:val="28"/>
          <w:szCs w:val="28"/>
        </w:rPr>
        <w:t>進修</w:t>
      </w:r>
      <w:r w:rsidR="007179A1" w:rsidRPr="009B20E4">
        <w:rPr>
          <w:rFonts w:ascii="標楷體" w:eastAsia="標楷體" w:hAnsi="標楷體" w:hint="eastAsia"/>
          <w:sz w:val="28"/>
          <w:szCs w:val="28"/>
        </w:rPr>
        <w:t>時</w:t>
      </w:r>
      <w:r w:rsidR="007179A1" w:rsidRPr="009B20E4">
        <w:rPr>
          <w:rFonts w:ascii="標楷體" w:eastAsia="標楷體" w:hAnsi="標楷體"/>
          <w:sz w:val="28"/>
          <w:szCs w:val="28"/>
        </w:rPr>
        <w:t>數。</w:t>
      </w:r>
    </w:p>
    <w:p w14:paraId="1629EE4D" w14:textId="4A9326FA"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聘外國人擔任董事</w:t>
      </w:r>
      <w:r w:rsidR="003511B1"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、監察人者，公司除應確實瞭解其國外進修之實質內容外，另應以英文或其母語每年提供我國證券及相關產業法規之翻譯版供其參考。</w:t>
      </w:r>
    </w:p>
    <w:p w14:paraId="1DC9B25D" w14:textId="68C32E6A" w:rsidR="002922E3" w:rsidRPr="004E16D3" w:rsidRDefault="002922E3" w:rsidP="003C41E9">
      <w:pPr>
        <w:spacing w:line="400" w:lineRule="exact"/>
        <w:jc w:val="both"/>
        <w:rPr>
          <w:rFonts w:ascii="標楷體" w:eastAsia="標楷體" w:hAnsi="標楷體"/>
          <w:sz w:val="28"/>
          <w:szCs w:val="28"/>
        </w:rPr>
      </w:pPr>
    </w:p>
    <w:p w14:paraId="597FF405" w14:textId="77777777" w:rsidR="007673BE" w:rsidRPr="003C41E9" w:rsidRDefault="007673BE"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w:t>
      </w:r>
      <w:r w:rsidRPr="003C41E9">
        <w:rPr>
          <w:rFonts w:ascii="標楷體" w:eastAsia="標楷體" w:hAnsi="標楷體" w:hint="eastAsia"/>
          <w:b/>
          <w:bCs/>
          <w:sz w:val="28"/>
          <w:szCs w:val="28"/>
        </w:rPr>
        <w:t>五</w:t>
      </w:r>
      <w:r w:rsidRPr="003C41E9">
        <w:rPr>
          <w:rFonts w:ascii="標楷體" w:eastAsia="標楷體" w:hAnsi="標楷體"/>
          <w:b/>
          <w:bCs/>
          <w:sz w:val="28"/>
          <w:szCs w:val="28"/>
        </w:rPr>
        <w:t>條(進修之</w:t>
      </w:r>
      <w:r w:rsidRPr="003C41E9">
        <w:rPr>
          <w:rFonts w:ascii="標楷體" w:eastAsia="標楷體" w:hAnsi="標楷體" w:hint="eastAsia"/>
          <w:b/>
          <w:bCs/>
          <w:sz w:val="28"/>
          <w:szCs w:val="28"/>
        </w:rPr>
        <w:t>資訊揭露</w:t>
      </w:r>
      <w:r w:rsidRPr="003C41E9">
        <w:rPr>
          <w:rFonts w:ascii="標楷體" w:eastAsia="標楷體" w:hAnsi="標楷體"/>
          <w:b/>
          <w:bCs/>
          <w:sz w:val="28"/>
          <w:szCs w:val="28"/>
        </w:rPr>
        <w:t>)</w:t>
      </w:r>
    </w:p>
    <w:p w14:paraId="1CC14826" w14:textId="43131D01" w:rsidR="007673BE" w:rsidRPr="003C41E9" w:rsidRDefault="007673BE" w:rsidP="003C41E9">
      <w:pPr>
        <w:spacing w:line="400" w:lineRule="exact"/>
        <w:rPr>
          <w:rFonts w:ascii="標楷體" w:eastAsia="標楷體" w:hAnsi="標楷體"/>
          <w:sz w:val="28"/>
          <w:szCs w:val="28"/>
        </w:rPr>
      </w:pP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應依「證券</w:t>
      </w:r>
      <w:r w:rsidR="000A2F27">
        <w:rPr>
          <w:rFonts w:ascii="標楷體" w:eastAsia="標楷體" w:hAnsi="標楷體" w:hint="eastAsia"/>
          <w:sz w:val="28"/>
          <w:szCs w:val="28"/>
        </w:rPr>
        <w:t>商</w:t>
      </w:r>
      <w:r w:rsidRPr="003C41E9">
        <w:rPr>
          <w:rFonts w:ascii="標楷體" w:eastAsia="標楷體" w:hAnsi="標楷體"/>
          <w:sz w:val="28"/>
          <w:szCs w:val="28"/>
        </w:rPr>
        <w:t>公司治理實務守則」</w:t>
      </w:r>
      <w:r w:rsidR="00701A72">
        <w:rPr>
          <w:rFonts w:ascii="標楷體" w:eastAsia="標楷體" w:hAnsi="標楷體" w:hint="eastAsia"/>
          <w:sz w:val="28"/>
          <w:szCs w:val="28"/>
        </w:rPr>
        <w:t>第六十一條</w:t>
      </w:r>
      <w:r w:rsidRPr="003C41E9">
        <w:rPr>
          <w:rFonts w:ascii="標楷體" w:eastAsia="標楷體" w:hAnsi="標楷體"/>
          <w:sz w:val="28"/>
          <w:szCs w:val="28"/>
        </w:rPr>
        <w:t>之規定，揭露董事</w:t>
      </w:r>
      <w:r w:rsidR="00A12F5C"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、監察人之進修情形資訊。</w:t>
      </w:r>
    </w:p>
    <w:p w14:paraId="7BA73A99" w14:textId="77777777" w:rsidR="007673BE" w:rsidRPr="000A2F27" w:rsidRDefault="007673BE" w:rsidP="003C41E9">
      <w:pPr>
        <w:spacing w:line="400" w:lineRule="exact"/>
        <w:jc w:val="both"/>
        <w:rPr>
          <w:rFonts w:ascii="標楷體" w:eastAsia="標楷體" w:hAnsi="標楷體"/>
          <w:sz w:val="28"/>
          <w:szCs w:val="28"/>
        </w:rPr>
      </w:pPr>
    </w:p>
    <w:p w14:paraId="67D3A7AB" w14:textId="77777777" w:rsidR="007673BE" w:rsidRPr="003C41E9" w:rsidRDefault="007673BE" w:rsidP="003C41E9">
      <w:pPr>
        <w:spacing w:line="400" w:lineRule="exact"/>
        <w:jc w:val="both"/>
        <w:rPr>
          <w:rFonts w:ascii="標楷體" w:eastAsia="標楷體" w:hAnsi="標楷體"/>
          <w:b/>
          <w:bCs/>
          <w:sz w:val="28"/>
          <w:szCs w:val="28"/>
        </w:rPr>
      </w:pPr>
      <w:r w:rsidRPr="003C41E9">
        <w:rPr>
          <w:rFonts w:ascii="標楷體" w:eastAsia="標楷體" w:hAnsi="標楷體"/>
          <w:b/>
          <w:bCs/>
          <w:sz w:val="28"/>
          <w:szCs w:val="28"/>
        </w:rPr>
        <w:t>第</w:t>
      </w:r>
      <w:r w:rsidRPr="003C41E9">
        <w:rPr>
          <w:rFonts w:ascii="標楷體" w:eastAsia="標楷體" w:hAnsi="標楷體" w:hint="eastAsia"/>
          <w:b/>
          <w:bCs/>
          <w:sz w:val="28"/>
          <w:szCs w:val="28"/>
        </w:rPr>
        <w:t>六</w:t>
      </w:r>
      <w:r w:rsidRPr="003C41E9">
        <w:rPr>
          <w:rFonts w:ascii="標楷體" w:eastAsia="標楷體" w:hAnsi="標楷體"/>
          <w:b/>
          <w:bCs/>
          <w:sz w:val="28"/>
          <w:szCs w:val="28"/>
        </w:rPr>
        <w:t>條(進修體系)</w:t>
      </w:r>
    </w:p>
    <w:p w14:paraId="3DD43AB1" w14:textId="704CBB1D"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安排董事</w:t>
      </w:r>
      <w:r w:rsidR="00EA4245" w:rsidRPr="00063524">
        <w:rPr>
          <w:rFonts w:ascii="標楷體" w:eastAsia="標楷體" w:hAnsi="標楷體" w:cs="細明體"/>
          <w:color w:val="000000" w:themeColor="text1"/>
          <w:kern w:val="0"/>
          <w:sz w:val="28"/>
          <w:szCs w:val="28"/>
        </w:rPr>
        <w:t>（含獨立董事）</w:t>
      </w:r>
      <w:r w:rsidRPr="003C41E9">
        <w:rPr>
          <w:rFonts w:ascii="標楷體" w:eastAsia="標楷體" w:hAnsi="標楷體"/>
          <w:sz w:val="28"/>
          <w:szCs w:val="28"/>
        </w:rPr>
        <w:t>、監察人進修，應由</w:t>
      </w:r>
      <w:r w:rsidR="000A2F27" w:rsidRPr="008C598D">
        <w:rPr>
          <w:rFonts w:ascii="標楷體" w:eastAsia="標楷體" w:hAnsi="標楷體" w:hint="eastAsia"/>
          <w:color w:val="000000" w:themeColor="text1"/>
          <w:sz w:val="28"/>
          <w:szCs w:val="28"/>
        </w:rPr>
        <w:t>本公會或</w:t>
      </w:r>
      <w:r w:rsidRPr="008C598D">
        <w:rPr>
          <w:rFonts w:ascii="標楷體" w:eastAsia="標楷體" w:hAnsi="標楷體"/>
          <w:color w:val="000000" w:themeColor="text1"/>
          <w:sz w:val="28"/>
          <w:szCs w:val="28"/>
        </w:rPr>
        <w:t>下列單位舉辦（含主辦、協辦）符合</w:t>
      </w:r>
      <w:r w:rsidRPr="008C598D">
        <w:rPr>
          <w:rFonts w:ascii="標楷體" w:eastAsia="標楷體" w:hAnsi="標楷體" w:hint="eastAsia"/>
          <w:color w:val="000000" w:themeColor="text1"/>
          <w:sz w:val="28"/>
          <w:szCs w:val="28"/>
        </w:rPr>
        <w:t>第七條</w:t>
      </w:r>
      <w:r w:rsidRPr="008C598D">
        <w:rPr>
          <w:rFonts w:ascii="標楷體" w:eastAsia="標楷體" w:hAnsi="標楷體"/>
          <w:color w:val="000000" w:themeColor="text1"/>
          <w:sz w:val="28"/>
          <w:szCs w:val="28"/>
        </w:rPr>
        <w:t>「進修</w:t>
      </w:r>
      <w:r w:rsidRPr="008C598D">
        <w:rPr>
          <w:rFonts w:ascii="標楷體" w:eastAsia="標楷體" w:hAnsi="標楷體" w:hint="eastAsia"/>
          <w:color w:val="000000" w:themeColor="text1"/>
          <w:sz w:val="28"/>
          <w:szCs w:val="28"/>
        </w:rPr>
        <w:t>課程範圍</w:t>
      </w:r>
      <w:r w:rsidRPr="008C598D">
        <w:rPr>
          <w:rFonts w:ascii="標楷體" w:eastAsia="標楷體" w:hAnsi="標楷體"/>
          <w:color w:val="000000" w:themeColor="text1"/>
          <w:sz w:val="28"/>
          <w:szCs w:val="28"/>
        </w:rPr>
        <w:t>」所列內容之專題講座、研討會、座談會</w:t>
      </w:r>
      <w:r w:rsidRPr="008C598D">
        <w:rPr>
          <w:rFonts w:ascii="標楷體" w:eastAsia="標楷體" w:hAnsi="標楷體" w:hint="eastAsia"/>
          <w:color w:val="000000" w:themeColor="text1"/>
          <w:sz w:val="28"/>
          <w:szCs w:val="28"/>
        </w:rPr>
        <w:t>或</w:t>
      </w:r>
      <w:r w:rsidR="00322B09" w:rsidRPr="008C598D">
        <w:rPr>
          <w:rFonts w:ascii="標楷體" w:eastAsia="標楷體" w:hAnsi="標楷體" w:hint="eastAsia"/>
          <w:color w:val="000000" w:themeColor="text1"/>
          <w:sz w:val="28"/>
          <w:szCs w:val="28"/>
        </w:rPr>
        <w:t>進修</w:t>
      </w:r>
      <w:r w:rsidRPr="008C598D">
        <w:rPr>
          <w:rFonts w:ascii="標楷體" w:eastAsia="標楷體" w:hAnsi="標楷體"/>
          <w:color w:val="000000" w:themeColor="text1"/>
          <w:sz w:val="28"/>
          <w:szCs w:val="28"/>
        </w:rPr>
        <w:t>課程</w:t>
      </w:r>
      <w:r w:rsidR="00322B09" w:rsidRPr="008C598D">
        <w:rPr>
          <w:rFonts w:ascii="標楷體" w:eastAsia="標楷體" w:hAnsi="標楷體" w:hint="eastAsia"/>
          <w:color w:val="000000" w:themeColor="text1"/>
          <w:sz w:val="28"/>
          <w:szCs w:val="28"/>
        </w:rPr>
        <w:t>均可同步認列本進修時數</w:t>
      </w:r>
      <w:r w:rsidRPr="003C41E9">
        <w:rPr>
          <w:rFonts w:ascii="標楷體" w:eastAsia="標楷體" w:hAnsi="標楷體"/>
          <w:sz w:val="28"/>
          <w:szCs w:val="28"/>
        </w:rPr>
        <w:t>：</w:t>
      </w:r>
    </w:p>
    <w:p w14:paraId="11DC5D8A" w14:textId="749036E3" w:rsidR="007673BE" w:rsidRPr="00892B2B" w:rsidRDefault="007673BE" w:rsidP="00E9753E">
      <w:pPr>
        <w:spacing w:line="400" w:lineRule="exact"/>
        <w:ind w:left="560" w:hangingChars="200" w:hanging="560"/>
        <w:jc w:val="both"/>
        <w:rPr>
          <w:rFonts w:ascii="標楷體" w:eastAsia="標楷體" w:hAnsi="標楷體"/>
          <w:sz w:val="28"/>
          <w:szCs w:val="28"/>
        </w:rPr>
      </w:pPr>
      <w:r w:rsidRPr="003C41E9">
        <w:rPr>
          <w:rFonts w:ascii="標楷體" w:eastAsia="標楷體" w:hAnsi="標楷體"/>
          <w:sz w:val="28"/>
          <w:szCs w:val="28"/>
        </w:rPr>
        <w:t>一、</w:t>
      </w:r>
      <w:r w:rsidRPr="00892B2B">
        <w:rPr>
          <w:rFonts w:ascii="標楷體" w:eastAsia="標楷體" w:hAnsi="標楷體"/>
          <w:sz w:val="28"/>
          <w:szCs w:val="28"/>
        </w:rPr>
        <w:t>主管機關、臺灣證券交易所、證券櫃檯買賣中心、</w:t>
      </w:r>
      <w:r w:rsidR="000A2F27" w:rsidRPr="00892B2B">
        <w:rPr>
          <w:rFonts w:ascii="標楷體" w:eastAsia="標楷體" w:hAnsi="標楷體"/>
          <w:sz w:val="28"/>
          <w:szCs w:val="28"/>
        </w:rPr>
        <w:t>臺灣</w:t>
      </w:r>
      <w:r w:rsidR="000A2F27" w:rsidRPr="00892B2B">
        <w:rPr>
          <w:rFonts w:ascii="標楷體" w:eastAsia="標楷體" w:hAnsi="標楷體" w:hint="eastAsia"/>
          <w:sz w:val="28"/>
          <w:szCs w:val="28"/>
        </w:rPr>
        <w:t>期貨交易所</w:t>
      </w:r>
      <w:r w:rsidRPr="00892B2B">
        <w:rPr>
          <w:rFonts w:ascii="標楷體" w:eastAsia="標楷體" w:hAnsi="標楷體"/>
          <w:sz w:val="28"/>
          <w:szCs w:val="28"/>
        </w:rPr>
        <w:t>、</w:t>
      </w:r>
      <w:r w:rsidR="00A1737A" w:rsidRPr="006C0144">
        <w:rPr>
          <w:rFonts w:ascii="標楷體" w:eastAsia="標楷體" w:hAnsi="標楷體" w:hint="eastAsia"/>
          <w:sz w:val="28"/>
          <w:szCs w:val="28"/>
        </w:rPr>
        <w:t>臺灣集中保</w:t>
      </w:r>
      <w:r w:rsidR="00802F6E" w:rsidRPr="006C0144">
        <w:rPr>
          <w:rFonts w:ascii="標楷體" w:eastAsia="標楷體" w:hAnsi="標楷體" w:hint="eastAsia"/>
          <w:sz w:val="28"/>
          <w:szCs w:val="28"/>
        </w:rPr>
        <w:t>管結算所</w:t>
      </w:r>
      <w:r w:rsidR="00802F6E">
        <w:rPr>
          <w:rFonts w:ascii="標楷體" w:eastAsia="標楷體" w:hAnsi="標楷體" w:hint="eastAsia"/>
          <w:sz w:val="28"/>
          <w:szCs w:val="28"/>
        </w:rPr>
        <w:t>、</w:t>
      </w:r>
      <w:r w:rsidR="007D17F4">
        <w:rPr>
          <w:rFonts w:ascii="標楷體" w:eastAsia="標楷體" w:hAnsi="標楷體" w:hint="eastAsia"/>
          <w:sz w:val="28"/>
          <w:szCs w:val="28"/>
        </w:rPr>
        <w:t>中華</w:t>
      </w:r>
      <w:r w:rsidR="00150099">
        <w:rPr>
          <w:rFonts w:ascii="標楷體" w:eastAsia="標楷體" w:hAnsi="標楷體" w:hint="eastAsia"/>
          <w:sz w:val="28"/>
          <w:szCs w:val="28"/>
        </w:rPr>
        <w:t>民國</w:t>
      </w:r>
      <w:r w:rsidRPr="00892B2B">
        <w:rPr>
          <w:rFonts w:ascii="標楷體" w:eastAsia="標楷體" w:hAnsi="標楷體" w:hint="eastAsia"/>
          <w:sz w:val="28"/>
          <w:szCs w:val="28"/>
        </w:rPr>
        <w:t>期貨業商業同業公會及</w:t>
      </w:r>
      <w:r w:rsidR="00150099">
        <w:rPr>
          <w:rFonts w:ascii="標楷體" w:eastAsia="標楷體" w:hAnsi="標楷體" w:hint="eastAsia"/>
          <w:sz w:val="28"/>
          <w:szCs w:val="28"/>
        </w:rPr>
        <w:t>中華民國</w:t>
      </w:r>
      <w:r w:rsidR="000A2F27" w:rsidRPr="00892B2B">
        <w:rPr>
          <w:rFonts w:ascii="標楷體" w:eastAsia="標楷體" w:hAnsi="標楷體"/>
          <w:sz w:val="28"/>
          <w:szCs w:val="28"/>
        </w:rPr>
        <w:t>證券投資信託暨顧問商業同業公會</w:t>
      </w:r>
      <w:r w:rsidRPr="00892B2B">
        <w:rPr>
          <w:rFonts w:ascii="標楷體" w:eastAsia="標楷體" w:hAnsi="標楷體"/>
          <w:sz w:val="28"/>
          <w:szCs w:val="28"/>
        </w:rPr>
        <w:t>。</w:t>
      </w:r>
    </w:p>
    <w:p w14:paraId="4DFD2450" w14:textId="74D3B5B1" w:rsidR="007673BE" w:rsidRPr="00892B2B" w:rsidRDefault="007673BE" w:rsidP="00E9753E">
      <w:pPr>
        <w:spacing w:line="400" w:lineRule="exact"/>
        <w:ind w:left="560" w:hangingChars="200" w:hanging="560"/>
        <w:jc w:val="both"/>
        <w:rPr>
          <w:rFonts w:ascii="標楷體" w:eastAsia="標楷體" w:hAnsi="標楷體"/>
          <w:sz w:val="28"/>
          <w:szCs w:val="28"/>
        </w:rPr>
      </w:pPr>
      <w:r w:rsidRPr="00892B2B">
        <w:rPr>
          <w:rFonts w:ascii="標楷體" w:eastAsia="標楷體" w:hAnsi="標楷體"/>
          <w:sz w:val="28"/>
          <w:szCs w:val="28"/>
        </w:rPr>
        <w:t>二、</w:t>
      </w:r>
      <w:r w:rsidR="00D6740C" w:rsidRPr="00892B2B">
        <w:rPr>
          <w:rFonts w:ascii="標楷體" w:eastAsia="標楷體" w:hAnsi="標楷體" w:hint="eastAsia"/>
          <w:sz w:val="28"/>
          <w:szCs w:val="28"/>
        </w:rPr>
        <w:t>經</w:t>
      </w:r>
      <w:r w:rsidR="006725B7" w:rsidRPr="00892B2B">
        <w:rPr>
          <w:rFonts w:ascii="標楷體" w:eastAsia="標楷體" w:hAnsi="標楷體" w:hint="eastAsia"/>
          <w:sz w:val="28"/>
          <w:szCs w:val="28"/>
        </w:rPr>
        <w:t>本公會</w:t>
      </w:r>
      <w:r w:rsidR="006725B7" w:rsidRPr="00892B2B">
        <w:rPr>
          <w:rFonts w:ascii="標楷體" w:eastAsia="標楷體" w:hAnsi="標楷體" w:cs="細明體"/>
          <w:kern w:val="0"/>
          <w:sz w:val="28"/>
          <w:szCs w:val="28"/>
        </w:rPr>
        <w:t>及其他經</w:t>
      </w:r>
      <w:r w:rsidR="00F24DF6" w:rsidRPr="00892B2B">
        <w:rPr>
          <w:rFonts w:ascii="標楷體" w:eastAsia="標楷體" w:hAnsi="標楷體"/>
          <w:sz w:val="28"/>
          <w:szCs w:val="28"/>
        </w:rPr>
        <w:t>臺灣證券交易所</w:t>
      </w:r>
      <w:r w:rsidR="006725B7" w:rsidRPr="00892B2B">
        <w:rPr>
          <w:rFonts w:ascii="標楷體" w:eastAsia="標楷體" w:hAnsi="標楷體" w:cs="細明體"/>
          <w:kern w:val="0"/>
          <w:sz w:val="28"/>
          <w:szCs w:val="28"/>
        </w:rPr>
        <w:t>或</w:t>
      </w:r>
      <w:r w:rsidR="003D5C6C" w:rsidRPr="00892B2B">
        <w:rPr>
          <w:rFonts w:ascii="標楷體" w:eastAsia="標楷體" w:hAnsi="標楷體"/>
          <w:sz w:val="28"/>
          <w:szCs w:val="28"/>
        </w:rPr>
        <w:t>證券</w:t>
      </w:r>
      <w:r w:rsidR="006725B7" w:rsidRPr="00892B2B">
        <w:rPr>
          <w:rFonts w:ascii="標楷體" w:eastAsia="標楷體" w:hAnsi="標楷體" w:cs="細明體"/>
          <w:kern w:val="0"/>
          <w:sz w:val="28"/>
          <w:szCs w:val="28"/>
        </w:rPr>
        <w:t>櫃檯買賣中心</w:t>
      </w:r>
      <w:r w:rsidR="008C598D" w:rsidRPr="00892B2B">
        <w:rPr>
          <w:rFonts w:ascii="標楷體" w:eastAsia="標楷體" w:hAnsi="標楷體" w:cs="細明體" w:hint="eastAsia"/>
          <w:kern w:val="0"/>
          <w:sz w:val="28"/>
          <w:szCs w:val="28"/>
        </w:rPr>
        <w:t>依</w:t>
      </w:r>
      <w:r w:rsidR="00A12F5C" w:rsidRPr="00892B2B">
        <w:rPr>
          <w:rFonts w:ascii="標楷體" w:eastAsia="標楷體" w:hAnsi="標楷體" w:cs="新細明體" w:hint="eastAsia"/>
          <w:kern w:val="0"/>
          <w:sz w:val="28"/>
          <w:szCs w:val="28"/>
        </w:rPr>
        <w:t>「上市上櫃公司董事、監察人進修推行要點進修體系機構認可審核原則」</w:t>
      </w:r>
      <w:r w:rsidR="006725B7" w:rsidRPr="00892B2B">
        <w:rPr>
          <w:rFonts w:ascii="標楷體" w:eastAsia="標楷體" w:hAnsi="標楷體" w:cs="細明體"/>
          <w:kern w:val="0"/>
          <w:sz w:val="28"/>
          <w:szCs w:val="28"/>
        </w:rPr>
        <w:lastRenderedPageBreak/>
        <w:t>認可之</w:t>
      </w:r>
      <w:r w:rsidR="00D6740C" w:rsidRPr="00892B2B">
        <w:rPr>
          <w:rFonts w:ascii="標楷體" w:eastAsia="標楷體" w:hAnsi="標楷體" w:cs="細明體" w:hint="eastAsia"/>
          <w:kern w:val="0"/>
          <w:sz w:val="28"/>
          <w:szCs w:val="28"/>
        </w:rPr>
        <w:t>訓練</w:t>
      </w:r>
      <w:r w:rsidR="006725B7" w:rsidRPr="00892B2B">
        <w:rPr>
          <w:rFonts w:ascii="標楷體" w:eastAsia="標楷體" w:hAnsi="標楷體" w:cs="細明體"/>
          <w:kern w:val="0"/>
          <w:sz w:val="28"/>
          <w:szCs w:val="28"/>
        </w:rPr>
        <w:t>機構</w:t>
      </w:r>
      <w:r w:rsidRPr="00892B2B">
        <w:rPr>
          <w:rFonts w:ascii="標楷體" w:eastAsia="標楷體" w:hAnsi="標楷體"/>
          <w:sz w:val="28"/>
          <w:szCs w:val="28"/>
        </w:rPr>
        <w:t>。</w:t>
      </w:r>
    </w:p>
    <w:p w14:paraId="0366FF36" w14:textId="7496CB1C" w:rsidR="007673BE" w:rsidRPr="00892B2B" w:rsidRDefault="007673BE" w:rsidP="00E9753E">
      <w:pPr>
        <w:spacing w:line="400" w:lineRule="exact"/>
        <w:ind w:left="560" w:hangingChars="200" w:hanging="560"/>
        <w:jc w:val="both"/>
        <w:rPr>
          <w:rFonts w:ascii="標楷體" w:eastAsia="標楷體" w:hAnsi="標楷體"/>
          <w:sz w:val="28"/>
          <w:szCs w:val="28"/>
        </w:rPr>
      </w:pPr>
      <w:r w:rsidRPr="003C41E9">
        <w:rPr>
          <w:rFonts w:ascii="標楷體" w:eastAsia="標楷體" w:hAnsi="標楷體"/>
          <w:sz w:val="28"/>
          <w:szCs w:val="28"/>
        </w:rPr>
        <w:t>三、</w:t>
      </w:r>
      <w:r w:rsidRPr="003C41E9">
        <w:rPr>
          <w:rFonts w:ascii="標楷體" w:eastAsia="標楷體" w:hAnsi="標楷體" w:hint="eastAsia"/>
          <w:sz w:val="28"/>
          <w:szCs w:val="28"/>
        </w:rPr>
        <w:t>證券</w:t>
      </w:r>
      <w:r w:rsidR="004E16D3">
        <w:rPr>
          <w:rFonts w:ascii="標楷體" w:eastAsia="標楷體" w:hAnsi="標楷體" w:hint="eastAsia"/>
          <w:sz w:val="28"/>
          <w:szCs w:val="28"/>
        </w:rPr>
        <w:t>商</w:t>
      </w:r>
      <w:r w:rsidRPr="003C41E9">
        <w:rPr>
          <w:rFonts w:ascii="標楷體" w:eastAsia="標楷體" w:hAnsi="標楷體"/>
          <w:sz w:val="28"/>
          <w:szCs w:val="28"/>
        </w:rPr>
        <w:t>或其關係企業所舉辦</w:t>
      </w:r>
      <w:r w:rsidR="006613CD" w:rsidRPr="006C0144">
        <w:rPr>
          <w:rFonts w:ascii="標楷體" w:eastAsia="標楷體" w:hAnsi="標楷體"/>
          <w:sz w:val="28"/>
          <w:szCs w:val="28"/>
        </w:rPr>
        <w:t>符合</w:t>
      </w:r>
      <w:r w:rsidR="006613CD" w:rsidRPr="006C0144">
        <w:rPr>
          <w:rFonts w:ascii="標楷體" w:eastAsia="標楷體" w:hAnsi="標楷體" w:hint="eastAsia"/>
          <w:sz w:val="28"/>
          <w:szCs w:val="28"/>
        </w:rPr>
        <w:t>第七條</w:t>
      </w:r>
      <w:r w:rsidR="006613CD" w:rsidRPr="006C0144">
        <w:rPr>
          <w:rFonts w:ascii="標楷體" w:eastAsia="標楷體" w:hAnsi="標楷體"/>
          <w:sz w:val="28"/>
          <w:szCs w:val="28"/>
        </w:rPr>
        <w:t>「進修</w:t>
      </w:r>
      <w:r w:rsidR="006613CD" w:rsidRPr="006C0144">
        <w:rPr>
          <w:rFonts w:ascii="標楷體" w:eastAsia="標楷體" w:hAnsi="標楷體" w:hint="eastAsia"/>
          <w:sz w:val="28"/>
          <w:szCs w:val="28"/>
        </w:rPr>
        <w:t>課程範圍</w:t>
      </w:r>
      <w:r w:rsidR="006613CD" w:rsidRPr="006C0144">
        <w:rPr>
          <w:rFonts w:ascii="標楷體" w:eastAsia="標楷體" w:hAnsi="標楷體"/>
          <w:sz w:val="28"/>
          <w:szCs w:val="28"/>
        </w:rPr>
        <w:t>」所列內容</w:t>
      </w:r>
      <w:r w:rsidRPr="003C41E9">
        <w:rPr>
          <w:rFonts w:ascii="標楷體" w:eastAsia="標楷體" w:hAnsi="標楷體"/>
          <w:sz w:val="28"/>
          <w:szCs w:val="28"/>
        </w:rPr>
        <w:t>之研討會、座談會及內部訓練者，惟其可列入計算之時數，以</w:t>
      </w:r>
      <w:r w:rsidR="009D1286" w:rsidRPr="003C41E9">
        <w:rPr>
          <w:rFonts w:ascii="標楷體" w:eastAsia="標楷體" w:hAnsi="標楷體"/>
          <w:sz w:val="28"/>
          <w:szCs w:val="28"/>
        </w:rPr>
        <w:t>本</w:t>
      </w:r>
      <w:r w:rsidR="00002BCE" w:rsidRPr="006C0144">
        <w:rPr>
          <w:rFonts w:ascii="標楷體" w:eastAsia="標楷體" w:hAnsi="標楷體" w:hint="eastAsia"/>
          <w:sz w:val="28"/>
          <w:szCs w:val="28"/>
        </w:rPr>
        <w:t>進修推行要點</w:t>
      </w:r>
      <w:r w:rsidR="00150099" w:rsidRPr="006C0144">
        <w:rPr>
          <w:rFonts w:ascii="標楷體" w:eastAsia="標楷體" w:hAnsi="標楷體" w:hint="eastAsia"/>
          <w:sz w:val="28"/>
          <w:szCs w:val="28"/>
        </w:rPr>
        <w:t>及</w:t>
      </w:r>
      <w:r w:rsidRPr="003C41E9">
        <w:rPr>
          <w:rFonts w:ascii="標楷體" w:eastAsia="標楷體" w:hAnsi="標楷體" w:hint="eastAsia"/>
          <w:sz w:val="28"/>
          <w:szCs w:val="28"/>
        </w:rPr>
        <w:t>進修地圖</w:t>
      </w:r>
      <w:r w:rsidRPr="003C41E9">
        <w:rPr>
          <w:rFonts w:ascii="標楷體" w:eastAsia="標楷體" w:hAnsi="標楷體"/>
          <w:sz w:val="28"/>
          <w:szCs w:val="28"/>
        </w:rPr>
        <w:t>每年</w:t>
      </w:r>
      <w:r w:rsidR="005E2C96" w:rsidRPr="00892B2B">
        <w:rPr>
          <w:rFonts w:ascii="標楷體" w:eastAsia="標楷體" w:hAnsi="標楷體" w:hint="eastAsia"/>
          <w:sz w:val="28"/>
          <w:szCs w:val="28"/>
        </w:rPr>
        <w:t>應</w:t>
      </w:r>
      <w:r w:rsidRPr="00892B2B">
        <w:rPr>
          <w:rFonts w:ascii="標楷體" w:eastAsia="標楷體" w:hAnsi="標楷體"/>
          <w:sz w:val="28"/>
          <w:szCs w:val="28"/>
        </w:rPr>
        <w:t>進修時數之</w:t>
      </w:r>
      <w:r w:rsidR="009308B6" w:rsidRPr="006C0144">
        <w:rPr>
          <w:rFonts w:ascii="標楷體" w:eastAsia="標楷體" w:hAnsi="標楷體" w:hint="eastAsia"/>
          <w:sz w:val="28"/>
          <w:szCs w:val="28"/>
        </w:rPr>
        <w:t>二</w:t>
      </w:r>
      <w:r w:rsidRPr="006C0144">
        <w:rPr>
          <w:rFonts w:ascii="標楷體" w:eastAsia="標楷體" w:hAnsi="標楷體"/>
          <w:sz w:val="28"/>
          <w:szCs w:val="28"/>
        </w:rPr>
        <w:t>分之一</w:t>
      </w:r>
      <w:r w:rsidRPr="00892B2B">
        <w:rPr>
          <w:rFonts w:ascii="標楷體" w:eastAsia="標楷體" w:hAnsi="標楷體"/>
          <w:sz w:val="28"/>
          <w:szCs w:val="28"/>
        </w:rPr>
        <w:t>為限。</w:t>
      </w:r>
    </w:p>
    <w:p w14:paraId="2F9B703E" w14:textId="77777777" w:rsidR="00571016" w:rsidRDefault="007673BE" w:rsidP="00BB5CBB">
      <w:pPr>
        <w:spacing w:line="400" w:lineRule="exact"/>
        <w:ind w:leftChars="1" w:left="568" w:hangingChars="202" w:hanging="566"/>
        <w:jc w:val="both"/>
        <w:rPr>
          <w:rFonts w:ascii="標楷體" w:eastAsia="標楷體" w:hAnsi="標楷體"/>
          <w:sz w:val="28"/>
          <w:szCs w:val="28"/>
        </w:rPr>
      </w:pPr>
      <w:r w:rsidRPr="00892B2B">
        <w:rPr>
          <w:rFonts w:ascii="標楷體" w:eastAsia="標楷體" w:hAnsi="標楷體"/>
          <w:sz w:val="28"/>
          <w:szCs w:val="28"/>
        </w:rPr>
        <w:t>四、</w:t>
      </w:r>
      <w:r w:rsidR="00571016" w:rsidRPr="00BB5CBB">
        <w:rPr>
          <w:rFonts w:ascii="標楷體" w:eastAsia="標楷體" w:hAnsi="標楷體"/>
          <w:sz w:val="28"/>
          <w:szCs w:val="28"/>
        </w:rPr>
        <w:t>董事(含獨立董事)、監察人參加經濟合作暨發展組織(OECD)等國際組織或機構以及世界主要證券市場之當地主管機關或專業訓練機構所舉辦之專題講座、研討會、座談會等，其主題符合第七條「進修課程範圍」所列內容者。</w:t>
      </w:r>
    </w:p>
    <w:p w14:paraId="0A0F53AE" w14:textId="77777777" w:rsidR="006C63A7" w:rsidRPr="003C41E9" w:rsidRDefault="006C63A7" w:rsidP="003C41E9">
      <w:pPr>
        <w:spacing w:line="400" w:lineRule="exact"/>
        <w:jc w:val="both"/>
        <w:rPr>
          <w:rFonts w:ascii="標楷體" w:eastAsia="標楷體" w:hAnsi="標楷體"/>
          <w:sz w:val="28"/>
          <w:szCs w:val="28"/>
        </w:rPr>
      </w:pPr>
    </w:p>
    <w:p w14:paraId="0B0E7959" w14:textId="77777777" w:rsidR="007673BE" w:rsidRPr="00E9753E" w:rsidRDefault="007673BE" w:rsidP="003C41E9">
      <w:pPr>
        <w:spacing w:line="400" w:lineRule="exact"/>
        <w:jc w:val="both"/>
        <w:rPr>
          <w:rFonts w:ascii="標楷體" w:eastAsia="標楷體" w:hAnsi="標楷體"/>
          <w:b/>
          <w:bCs/>
          <w:sz w:val="28"/>
          <w:szCs w:val="28"/>
        </w:rPr>
      </w:pPr>
      <w:r w:rsidRPr="00E9753E">
        <w:rPr>
          <w:rFonts w:ascii="標楷體" w:eastAsia="標楷體" w:hAnsi="標楷體"/>
          <w:b/>
          <w:bCs/>
          <w:sz w:val="28"/>
          <w:szCs w:val="28"/>
        </w:rPr>
        <w:t>第</w:t>
      </w:r>
      <w:r w:rsidRPr="00E9753E">
        <w:rPr>
          <w:rFonts w:ascii="標楷體" w:eastAsia="標楷體" w:hAnsi="標楷體" w:hint="eastAsia"/>
          <w:b/>
          <w:bCs/>
          <w:sz w:val="28"/>
          <w:szCs w:val="28"/>
        </w:rPr>
        <w:t>七</w:t>
      </w:r>
      <w:r w:rsidRPr="00E9753E">
        <w:rPr>
          <w:rFonts w:ascii="標楷體" w:eastAsia="標楷體" w:hAnsi="標楷體"/>
          <w:b/>
          <w:bCs/>
          <w:sz w:val="28"/>
          <w:szCs w:val="28"/>
        </w:rPr>
        <w:t>條(進修</w:t>
      </w:r>
      <w:r w:rsidRPr="00E9753E">
        <w:rPr>
          <w:rFonts w:ascii="標楷體" w:eastAsia="標楷體" w:hAnsi="標楷體" w:hint="eastAsia"/>
          <w:b/>
          <w:bCs/>
          <w:sz w:val="28"/>
          <w:szCs w:val="28"/>
        </w:rPr>
        <w:t>課程範圍</w:t>
      </w:r>
      <w:r w:rsidRPr="00E9753E">
        <w:rPr>
          <w:rFonts w:ascii="標楷體" w:eastAsia="標楷體" w:hAnsi="標楷體"/>
          <w:b/>
          <w:bCs/>
          <w:sz w:val="28"/>
          <w:szCs w:val="28"/>
        </w:rPr>
        <w:t>)</w:t>
      </w:r>
    </w:p>
    <w:p w14:paraId="45520BC5" w14:textId="1D40D9C2" w:rsidR="007673BE" w:rsidRPr="003C41E9" w:rsidRDefault="007673BE" w:rsidP="003C41E9">
      <w:pPr>
        <w:spacing w:line="400" w:lineRule="exact"/>
        <w:jc w:val="both"/>
        <w:rPr>
          <w:rFonts w:ascii="標楷體" w:eastAsia="標楷體" w:hAnsi="標楷體"/>
          <w:sz w:val="28"/>
          <w:szCs w:val="28"/>
        </w:rPr>
      </w:pPr>
      <w:r w:rsidRPr="003C41E9">
        <w:rPr>
          <w:rFonts w:ascii="標楷體" w:eastAsia="標楷體" w:hAnsi="標楷體" w:hint="eastAsia"/>
          <w:sz w:val="28"/>
          <w:szCs w:val="28"/>
        </w:rPr>
        <w:t>依據</w:t>
      </w:r>
      <w:r w:rsidRPr="003C41E9">
        <w:rPr>
          <w:rFonts w:ascii="標楷體" w:eastAsia="標楷體" w:hAnsi="標楷體"/>
          <w:sz w:val="28"/>
          <w:szCs w:val="28"/>
        </w:rPr>
        <w:t>「證券</w:t>
      </w:r>
      <w:r w:rsidR="006725B7">
        <w:rPr>
          <w:rFonts w:ascii="標楷體" w:eastAsia="標楷體" w:hAnsi="標楷體" w:hint="eastAsia"/>
          <w:sz w:val="28"/>
          <w:szCs w:val="28"/>
        </w:rPr>
        <w:t>商</w:t>
      </w:r>
      <w:r w:rsidRPr="003C41E9">
        <w:rPr>
          <w:rFonts w:ascii="標楷體" w:eastAsia="標楷體" w:hAnsi="標楷體"/>
          <w:sz w:val="28"/>
          <w:szCs w:val="28"/>
        </w:rPr>
        <w:t>公司治理實務守則」</w:t>
      </w:r>
      <w:r w:rsidRPr="005A5F27">
        <w:rPr>
          <w:rFonts w:ascii="標楷體" w:eastAsia="標楷體" w:hAnsi="標楷體"/>
          <w:sz w:val="28"/>
          <w:szCs w:val="28"/>
        </w:rPr>
        <w:t>第</w:t>
      </w:r>
      <w:r w:rsidRPr="005A5F27">
        <w:rPr>
          <w:rFonts w:ascii="標楷體" w:eastAsia="標楷體" w:hAnsi="標楷體" w:hint="eastAsia"/>
          <w:sz w:val="28"/>
          <w:szCs w:val="28"/>
        </w:rPr>
        <w:t>二十</w:t>
      </w:r>
      <w:r w:rsidRPr="005A5F27">
        <w:rPr>
          <w:rFonts w:ascii="標楷體" w:eastAsia="標楷體" w:hAnsi="標楷體"/>
          <w:sz w:val="28"/>
          <w:szCs w:val="28"/>
        </w:rPr>
        <w:t>條</w:t>
      </w:r>
      <w:r w:rsidRPr="003C41E9">
        <w:rPr>
          <w:rFonts w:ascii="標楷體" w:eastAsia="標楷體" w:hAnsi="標楷體" w:hint="eastAsia"/>
          <w:sz w:val="28"/>
          <w:szCs w:val="28"/>
        </w:rPr>
        <w:t>董事會整體應具備能力</w:t>
      </w:r>
      <w:r w:rsidR="00275C25" w:rsidRPr="00652E6D">
        <w:rPr>
          <w:rFonts w:ascii="標楷體" w:eastAsia="標楷體" w:hAnsi="標楷體" w:hint="eastAsia"/>
          <w:sz w:val="28"/>
          <w:szCs w:val="28"/>
        </w:rPr>
        <w:t>暨</w:t>
      </w:r>
      <w:r w:rsidR="00275C25" w:rsidRPr="00652E6D">
        <w:rPr>
          <w:rFonts w:ascii="標楷體" w:eastAsia="標楷體" w:hAnsi="標楷體" w:cs="細明體"/>
          <w:kern w:val="0"/>
          <w:sz w:val="28"/>
          <w:szCs w:val="28"/>
        </w:rPr>
        <w:t>「證券期貨業永續發展轉型執行策略」</w:t>
      </w:r>
      <w:r w:rsidRPr="00652E6D">
        <w:rPr>
          <w:rFonts w:ascii="標楷體" w:eastAsia="標楷體" w:hAnsi="標楷體"/>
          <w:sz w:val="28"/>
          <w:szCs w:val="28"/>
        </w:rPr>
        <w:t>，</w:t>
      </w:r>
      <w:r w:rsidRPr="003C41E9">
        <w:rPr>
          <w:rFonts w:ascii="標楷體" w:eastAsia="標楷體" w:hAnsi="標楷體" w:hint="eastAsia"/>
          <w:sz w:val="28"/>
          <w:szCs w:val="28"/>
        </w:rPr>
        <w:t>證券</w:t>
      </w:r>
      <w:r w:rsidR="00FF1CF5">
        <w:rPr>
          <w:rFonts w:ascii="標楷體" w:eastAsia="標楷體" w:hAnsi="標楷體" w:hint="eastAsia"/>
          <w:sz w:val="28"/>
          <w:szCs w:val="28"/>
        </w:rPr>
        <w:t>商</w:t>
      </w:r>
      <w:r w:rsidRPr="003C41E9">
        <w:rPr>
          <w:rFonts w:ascii="標楷體" w:eastAsia="標楷體" w:hAnsi="標楷體"/>
          <w:sz w:val="28"/>
          <w:szCs w:val="28"/>
        </w:rPr>
        <w:t>安排董事</w:t>
      </w:r>
      <w:r w:rsidR="0010010C" w:rsidRPr="0015106B">
        <w:rPr>
          <w:rFonts w:ascii="標楷體" w:eastAsia="標楷體" w:hAnsi="標楷體" w:hint="eastAsia"/>
          <w:sz w:val="28"/>
          <w:szCs w:val="28"/>
        </w:rPr>
        <w:t>(含獨立董事)</w:t>
      </w:r>
      <w:r w:rsidRPr="003C41E9">
        <w:rPr>
          <w:rFonts w:ascii="標楷體" w:eastAsia="標楷體" w:hAnsi="標楷體"/>
          <w:sz w:val="28"/>
          <w:szCs w:val="28"/>
        </w:rPr>
        <w:t>、監察人進修</w:t>
      </w:r>
      <w:r w:rsidRPr="003C41E9">
        <w:rPr>
          <w:rFonts w:ascii="標楷體" w:eastAsia="標楷體" w:hAnsi="標楷體" w:hint="eastAsia"/>
          <w:sz w:val="28"/>
          <w:szCs w:val="28"/>
        </w:rPr>
        <w:t>課程</w:t>
      </w:r>
      <w:r w:rsidRPr="003C41E9">
        <w:rPr>
          <w:rFonts w:ascii="標楷體" w:eastAsia="標楷體" w:hAnsi="標楷體"/>
          <w:sz w:val="28"/>
          <w:szCs w:val="28"/>
        </w:rPr>
        <w:t>，</w:t>
      </w:r>
      <w:r w:rsidRPr="003C41E9">
        <w:rPr>
          <w:rFonts w:ascii="標楷體" w:eastAsia="標楷體" w:hAnsi="標楷體" w:hint="eastAsia"/>
          <w:sz w:val="28"/>
          <w:szCs w:val="28"/>
        </w:rPr>
        <w:t>應</w:t>
      </w:r>
      <w:r w:rsidRPr="003C41E9">
        <w:rPr>
          <w:rFonts w:ascii="標楷體" w:eastAsia="標楷體" w:hAnsi="標楷體"/>
          <w:sz w:val="28"/>
          <w:szCs w:val="28"/>
        </w:rPr>
        <w:t>涵蓋公司治理主題相關之財務、風險管理、業務、商務、會計或法律</w:t>
      </w:r>
      <w:r w:rsidR="00EF6D48" w:rsidRPr="00CD5733">
        <w:rPr>
          <w:rFonts w:ascii="標楷體" w:eastAsia="標楷體" w:hAnsi="標楷體" w:hint="eastAsia"/>
          <w:sz w:val="28"/>
          <w:szCs w:val="28"/>
        </w:rPr>
        <w:t>及</w:t>
      </w:r>
      <w:r w:rsidR="00CD5733" w:rsidRPr="008706E3">
        <w:rPr>
          <w:rFonts w:ascii="標楷體" w:eastAsia="標楷體" w:hAnsi="標楷體" w:hint="eastAsia"/>
          <w:sz w:val="28"/>
          <w:szCs w:val="28"/>
        </w:rPr>
        <w:t>環</w:t>
      </w:r>
      <w:r w:rsidR="00CD5733" w:rsidRPr="008706E3">
        <w:rPr>
          <w:rFonts w:ascii="標楷體" w:eastAsia="標楷體" w:hAnsi="標楷體"/>
          <w:sz w:val="28"/>
          <w:szCs w:val="28"/>
        </w:rPr>
        <w:t>境(E)</w:t>
      </w:r>
      <w:r w:rsidR="00CD5733" w:rsidRPr="008706E3">
        <w:rPr>
          <w:rFonts w:ascii="標楷體" w:eastAsia="標楷體" w:hAnsi="標楷體" w:hint="eastAsia"/>
          <w:sz w:val="28"/>
          <w:szCs w:val="28"/>
        </w:rPr>
        <w:t>社</w:t>
      </w:r>
      <w:r w:rsidR="00CD5733" w:rsidRPr="008706E3">
        <w:rPr>
          <w:rFonts w:ascii="標楷體" w:eastAsia="標楷體" w:hAnsi="標楷體"/>
          <w:sz w:val="28"/>
          <w:szCs w:val="28"/>
        </w:rPr>
        <w:t>會</w:t>
      </w:r>
      <w:r w:rsidR="00CD5733" w:rsidRPr="008706E3">
        <w:rPr>
          <w:rFonts w:ascii="標楷體" w:eastAsia="標楷體" w:hAnsi="標楷體" w:hint="eastAsia"/>
          <w:sz w:val="28"/>
          <w:szCs w:val="28"/>
        </w:rPr>
        <w:t>(S)及</w:t>
      </w:r>
      <w:r w:rsidR="00CD5733" w:rsidRPr="008706E3">
        <w:rPr>
          <w:rFonts w:ascii="標楷體" w:eastAsia="標楷體" w:hAnsi="標楷體"/>
          <w:sz w:val="28"/>
          <w:szCs w:val="28"/>
        </w:rPr>
        <w:t>治理</w:t>
      </w:r>
      <w:r w:rsidR="00CD5733" w:rsidRPr="008706E3">
        <w:rPr>
          <w:rFonts w:ascii="標楷體" w:eastAsia="標楷體" w:hAnsi="標楷體" w:hint="eastAsia"/>
          <w:sz w:val="28"/>
          <w:szCs w:val="28"/>
        </w:rPr>
        <w:t>(G)永</w:t>
      </w:r>
      <w:r w:rsidR="00CD5733" w:rsidRPr="008706E3">
        <w:rPr>
          <w:rFonts w:ascii="標楷體" w:eastAsia="標楷體" w:hAnsi="標楷體"/>
          <w:sz w:val="28"/>
          <w:szCs w:val="28"/>
        </w:rPr>
        <w:t>續責任</w:t>
      </w:r>
      <w:r w:rsidRPr="003C41E9">
        <w:rPr>
          <w:rFonts w:ascii="標楷體" w:eastAsia="標楷體" w:hAnsi="標楷體"/>
          <w:sz w:val="28"/>
          <w:szCs w:val="28"/>
        </w:rPr>
        <w:t>等</w:t>
      </w:r>
      <w:r w:rsidR="00195907" w:rsidRPr="000D5992">
        <w:rPr>
          <w:rFonts w:ascii="標楷體" w:eastAsia="標楷體" w:hAnsi="標楷體" w:hint="eastAsia"/>
          <w:sz w:val="28"/>
          <w:szCs w:val="28"/>
        </w:rPr>
        <w:t>相關</w:t>
      </w:r>
      <w:r w:rsidRPr="003C41E9">
        <w:rPr>
          <w:rFonts w:ascii="標楷體" w:eastAsia="標楷體" w:hAnsi="標楷體"/>
          <w:sz w:val="28"/>
          <w:szCs w:val="28"/>
        </w:rPr>
        <w:t>進修課程，</w:t>
      </w:r>
      <w:r w:rsidR="005A5F27">
        <w:rPr>
          <w:rFonts w:ascii="標楷體" w:eastAsia="標楷體" w:hAnsi="標楷體" w:hint="eastAsia"/>
          <w:sz w:val="28"/>
          <w:szCs w:val="28"/>
        </w:rPr>
        <w:t>分為</w:t>
      </w:r>
      <w:r w:rsidRPr="003C41E9">
        <w:rPr>
          <w:rFonts w:ascii="標楷體" w:eastAsia="標楷體" w:hAnsi="標楷體" w:hint="eastAsia"/>
          <w:sz w:val="28"/>
          <w:szCs w:val="28"/>
        </w:rPr>
        <w:t>核心課程</w:t>
      </w:r>
      <w:r w:rsidR="004B3CDA">
        <w:rPr>
          <w:rFonts w:ascii="標楷體" w:eastAsia="標楷體" w:hAnsi="標楷體" w:hint="eastAsia"/>
          <w:sz w:val="28"/>
          <w:szCs w:val="28"/>
        </w:rPr>
        <w:t>與</w:t>
      </w:r>
      <w:r w:rsidRPr="003C41E9">
        <w:rPr>
          <w:rFonts w:ascii="標楷體" w:eastAsia="標楷體" w:hAnsi="標楷體" w:hint="eastAsia"/>
          <w:sz w:val="28"/>
          <w:szCs w:val="28"/>
        </w:rPr>
        <w:t>專業課程：</w:t>
      </w:r>
    </w:p>
    <w:p w14:paraId="326B46F9" w14:textId="77777777" w:rsidR="000D5992" w:rsidRPr="000D5992" w:rsidRDefault="000D5992" w:rsidP="000D5992">
      <w:pPr>
        <w:spacing w:beforeLines="50" w:before="180" w:afterLines="50" w:after="180" w:line="400" w:lineRule="exact"/>
        <w:ind w:left="560" w:hangingChars="200" w:hanging="560"/>
        <w:jc w:val="both"/>
        <w:rPr>
          <w:rFonts w:ascii="標楷體" w:eastAsia="標楷體" w:hAnsi="標楷體"/>
          <w:sz w:val="28"/>
          <w:szCs w:val="28"/>
        </w:rPr>
      </w:pPr>
      <w:r w:rsidRPr="000D5992">
        <w:rPr>
          <w:rFonts w:ascii="標楷體" w:eastAsia="標楷體" w:hAnsi="標楷體" w:hint="eastAsia"/>
          <w:sz w:val="28"/>
          <w:szCs w:val="28"/>
        </w:rPr>
        <w:t>一、核心課程：涵蓋董事之義務與責任、董事會成員與架構、議事及與管理團隊之合作等相關課程，期能輔助公司董事熟悉自身在董事會的角色、功能、責任及義務，以有效落實公司治理制度。</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4253"/>
      </w:tblGrid>
      <w:tr w:rsidR="000D5992" w:rsidRPr="000D5992" w14:paraId="1BC6D5F9" w14:textId="77777777" w:rsidTr="00F22774">
        <w:tc>
          <w:tcPr>
            <w:tcW w:w="426" w:type="dxa"/>
            <w:tcBorders>
              <w:top w:val="single" w:sz="4" w:space="0" w:color="auto"/>
              <w:left w:val="single" w:sz="4" w:space="0" w:color="auto"/>
              <w:bottom w:val="single" w:sz="4" w:space="0" w:color="auto"/>
              <w:right w:val="single" w:sz="4" w:space="0" w:color="auto"/>
            </w:tcBorders>
            <w:vAlign w:val="center"/>
          </w:tcPr>
          <w:p w14:paraId="588E9898" w14:textId="77777777" w:rsidR="000D5992" w:rsidRPr="000D5992" w:rsidRDefault="000D5992" w:rsidP="00F22774">
            <w:pPr>
              <w:spacing w:afterLines="50" w:after="180" w:line="400" w:lineRule="exact"/>
              <w:jc w:val="both"/>
              <w:rPr>
                <w:rFonts w:ascii="標楷體" w:eastAsia="標楷體" w:hAnsi="標楷體"/>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80ECC3"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課程領域</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A07E41B"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課程舉例</w:t>
            </w:r>
          </w:p>
        </w:tc>
      </w:tr>
      <w:tr w:rsidR="000D5992" w:rsidRPr="000D5992" w14:paraId="26CDFAFB"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360B762B"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14:paraId="70C118C0"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董事的法律義務與責任</w:t>
            </w:r>
          </w:p>
        </w:tc>
        <w:tc>
          <w:tcPr>
            <w:tcW w:w="4253" w:type="dxa"/>
            <w:tcBorders>
              <w:top w:val="single" w:sz="4" w:space="0" w:color="auto"/>
              <w:left w:val="single" w:sz="4" w:space="0" w:color="auto"/>
              <w:bottom w:val="single" w:sz="4" w:space="0" w:color="auto"/>
              <w:right w:val="single" w:sz="4" w:space="0" w:color="auto"/>
            </w:tcBorders>
            <w:hideMark/>
          </w:tcPr>
          <w:p w14:paraId="3ADF6261" w14:textId="731DB8BE" w:rsidR="000D5992" w:rsidRPr="004B5560" w:rsidRDefault="000D5992" w:rsidP="00F2277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證券交易法、期貨</w:t>
            </w:r>
            <w:r w:rsidRPr="004B5560">
              <w:rPr>
                <w:rFonts w:ascii="標楷體" w:eastAsia="標楷體" w:hAnsi="標楷體"/>
                <w:sz w:val="28"/>
                <w:szCs w:val="28"/>
              </w:rPr>
              <w:t>交易法</w:t>
            </w:r>
            <w:r w:rsidRPr="004B5560">
              <w:rPr>
                <w:rFonts w:ascii="標楷體" w:eastAsia="標楷體" w:hAnsi="標楷體" w:hint="eastAsia"/>
                <w:sz w:val="28"/>
                <w:szCs w:val="28"/>
              </w:rPr>
              <w:t>、投</w:t>
            </w:r>
            <w:r w:rsidRPr="004B5560">
              <w:rPr>
                <w:rFonts w:ascii="標楷體" w:eastAsia="標楷體" w:hAnsi="標楷體"/>
                <w:sz w:val="28"/>
                <w:szCs w:val="28"/>
              </w:rPr>
              <w:t>信投顧法</w:t>
            </w:r>
            <w:r w:rsidRPr="004B5560">
              <w:rPr>
                <w:rFonts w:ascii="標楷體" w:eastAsia="標楷體" w:hAnsi="標楷體" w:hint="eastAsia"/>
                <w:sz w:val="28"/>
                <w:szCs w:val="28"/>
              </w:rPr>
              <w:t>、公司法</w:t>
            </w:r>
            <w:r w:rsidR="00C2511B" w:rsidRPr="004B5560">
              <w:rPr>
                <w:rFonts w:ascii="標楷體" w:eastAsia="標楷體" w:hAnsi="標楷體" w:hint="eastAsia"/>
                <w:sz w:val="28"/>
                <w:szCs w:val="28"/>
              </w:rPr>
              <w:t>等</w:t>
            </w:r>
            <w:r w:rsidR="009E1346" w:rsidRPr="004B5560">
              <w:rPr>
                <w:rFonts w:ascii="標楷體" w:eastAsia="標楷體" w:hAnsi="標楷體" w:hint="eastAsia"/>
                <w:sz w:val="28"/>
                <w:szCs w:val="28"/>
              </w:rPr>
              <w:t>相關法規</w:t>
            </w:r>
          </w:p>
        </w:tc>
      </w:tr>
      <w:tr w:rsidR="000D5992" w:rsidRPr="000D5992" w14:paraId="023B69B3"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47223D8F"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14:paraId="07A070A4"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董事會的成員與架構</w:t>
            </w:r>
          </w:p>
        </w:tc>
        <w:tc>
          <w:tcPr>
            <w:tcW w:w="4253" w:type="dxa"/>
            <w:tcBorders>
              <w:top w:val="single" w:sz="4" w:space="0" w:color="auto"/>
              <w:left w:val="single" w:sz="4" w:space="0" w:color="auto"/>
              <w:bottom w:val="single" w:sz="4" w:space="0" w:color="auto"/>
              <w:right w:val="single" w:sz="4" w:space="0" w:color="auto"/>
            </w:tcBorders>
            <w:hideMark/>
          </w:tcPr>
          <w:p w14:paraId="310E0751" w14:textId="58391BF7" w:rsidR="000D5992" w:rsidRPr="004B5560" w:rsidRDefault="000D5992" w:rsidP="00F2277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董事遴選、各類功能委員會的設置</w:t>
            </w:r>
            <w:r w:rsidR="00AE1623" w:rsidRPr="004B5560">
              <w:rPr>
                <w:rFonts w:ascii="標楷體" w:eastAsia="標楷體" w:hAnsi="標楷體" w:hint="eastAsia"/>
                <w:sz w:val="28"/>
                <w:szCs w:val="28"/>
              </w:rPr>
              <w:t>及運作等</w:t>
            </w:r>
          </w:p>
        </w:tc>
      </w:tr>
      <w:tr w:rsidR="000D5992" w:rsidRPr="000D5992" w14:paraId="645D23F5"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3C529F24"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14:paraId="48AFFAE0"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提升董事會績效</w:t>
            </w:r>
          </w:p>
        </w:tc>
        <w:tc>
          <w:tcPr>
            <w:tcW w:w="4253" w:type="dxa"/>
            <w:tcBorders>
              <w:top w:val="single" w:sz="4" w:space="0" w:color="auto"/>
              <w:left w:val="single" w:sz="4" w:space="0" w:color="auto"/>
              <w:bottom w:val="single" w:sz="4" w:space="0" w:color="auto"/>
              <w:right w:val="single" w:sz="4" w:space="0" w:color="auto"/>
            </w:tcBorders>
            <w:hideMark/>
          </w:tcPr>
          <w:p w14:paraId="22384934" w14:textId="7ED1276F" w:rsidR="000D5992" w:rsidRPr="004B5560" w:rsidRDefault="000D5992" w:rsidP="00F2277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董事會或功能委員會開會流程、開會品質、議題規劃、績效評估</w:t>
            </w:r>
            <w:r w:rsidR="0087433F" w:rsidRPr="004B5560">
              <w:rPr>
                <w:rFonts w:ascii="標楷體" w:eastAsia="標楷體" w:hAnsi="標楷體" w:hint="eastAsia"/>
                <w:sz w:val="28"/>
                <w:szCs w:val="28"/>
              </w:rPr>
              <w:t>等</w:t>
            </w:r>
          </w:p>
        </w:tc>
      </w:tr>
      <w:tr w:rsidR="000D5992" w:rsidRPr="000D5992" w14:paraId="4398CB54"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64396690"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14:paraId="0920861F"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董事會成員和管理團隊之間的關係與合作</w:t>
            </w:r>
          </w:p>
        </w:tc>
        <w:tc>
          <w:tcPr>
            <w:tcW w:w="4253" w:type="dxa"/>
            <w:tcBorders>
              <w:top w:val="single" w:sz="4" w:space="0" w:color="auto"/>
              <w:left w:val="single" w:sz="4" w:space="0" w:color="auto"/>
              <w:bottom w:val="single" w:sz="4" w:space="0" w:color="auto"/>
              <w:right w:val="single" w:sz="4" w:space="0" w:color="auto"/>
            </w:tcBorders>
            <w:hideMark/>
          </w:tcPr>
          <w:p w14:paraId="2AACD5F4" w14:textId="39A5C1ED" w:rsidR="000D5992" w:rsidRPr="004B5560" w:rsidRDefault="000D5992" w:rsidP="0087433F">
            <w:pPr>
              <w:spacing w:line="400" w:lineRule="exact"/>
              <w:jc w:val="both"/>
              <w:rPr>
                <w:rFonts w:ascii="標楷體" w:eastAsia="標楷體" w:hAnsi="標楷體"/>
                <w:sz w:val="28"/>
                <w:szCs w:val="28"/>
              </w:rPr>
            </w:pPr>
            <w:r w:rsidRPr="004B5560">
              <w:rPr>
                <w:rFonts w:ascii="標楷體" w:eastAsia="標楷體" w:hAnsi="標楷體" w:hint="eastAsia"/>
                <w:sz w:val="28"/>
                <w:szCs w:val="28"/>
              </w:rPr>
              <w:t>經營團隊之選任</w:t>
            </w:r>
            <w:r w:rsidR="005E2C96" w:rsidRPr="004B5560">
              <w:rPr>
                <w:rFonts w:ascii="標楷體" w:eastAsia="標楷體" w:hAnsi="標楷體" w:hint="eastAsia"/>
                <w:sz w:val="28"/>
                <w:szCs w:val="28"/>
              </w:rPr>
              <w:t>、</w:t>
            </w:r>
            <w:r w:rsidRPr="004B5560">
              <w:rPr>
                <w:rFonts w:ascii="標楷體" w:eastAsia="標楷體" w:hAnsi="標楷體" w:hint="eastAsia"/>
                <w:sz w:val="28"/>
                <w:szCs w:val="28"/>
              </w:rPr>
              <w:t>人才培養、接班計畫</w:t>
            </w:r>
            <w:r w:rsidR="002F5241" w:rsidRPr="004B5560">
              <w:rPr>
                <w:rFonts w:ascii="標楷體" w:eastAsia="標楷體" w:hAnsi="標楷體" w:hint="eastAsia"/>
                <w:sz w:val="28"/>
                <w:szCs w:val="28"/>
              </w:rPr>
              <w:t>等</w:t>
            </w:r>
          </w:p>
        </w:tc>
      </w:tr>
      <w:tr w:rsidR="000D5992" w:rsidRPr="000D5992" w14:paraId="1F0C2424"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57BD3F9D"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5</w:t>
            </w:r>
          </w:p>
        </w:tc>
        <w:tc>
          <w:tcPr>
            <w:tcW w:w="3118" w:type="dxa"/>
            <w:tcBorders>
              <w:top w:val="single" w:sz="4" w:space="0" w:color="auto"/>
              <w:left w:val="single" w:sz="4" w:space="0" w:color="auto"/>
              <w:bottom w:val="single" w:sz="4" w:space="0" w:color="auto"/>
              <w:right w:val="single" w:sz="4" w:space="0" w:color="auto"/>
            </w:tcBorders>
            <w:hideMark/>
          </w:tcPr>
          <w:p w14:paraId="123E4BAB"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董事與股東會事務</w:t>
            </w:r>
          </w:p>
        </w:tc>
        <w:tc>
          <w:tcPr>
            <w:tcW w:w="4253" w:type="dxa"/>
            <w:tcBorders>
              <w:top w:val="single" w:sz="4" w:space="0" w:color="auto"/>
              <w:left w:val="single" w:sz="4" w:space="0" w:color="auto"/>
              <w:bottom w:val="single" w:sz="4" w:space="0" w:color="auto"/>
              <w:right w:val="single" w:sz="4" w:space="0" w:color="auto"/>
            </w:tcBorders>
            <w:hideMark/>
          </w:tcPr>
          <w:p w14:paraId="718F3C60" w14:textId="40C7F40A" w:rsidR="000D5992" w:rsidRPr="004B5560" w:rsidRDefault="000D5992" w:rsidP="006E201F">
            <w:pPr>
              <w:spacing w:line="400" w:lineRule="exact"/>
              <w:jc w:val="both"/>
              <w:rPr>
                <w:rFonts w:ascii="標楷體" w:eastAsia="標楷體" w:hAnsi="標楷體"/>
                <w:sz w:val="28"/>
                <w:szCs w:val="28"/>
              </w:rPr>
            </w:pPr>
            <w:r w:rsidRPr="004B5560">
              <w:rPr>
                <w:rFonts w:ascii="標楷體" w:eastAsia="標楷體" w:hAnsi="標楷體" w:hint="eastAsia"/>
                <w:sz w:val="28"/>
                <w:szCs w:val="28"/>
              </w:rPr>
              <w:t>董事會</w:t>
            </w:r>
            <w:r w:rsidR="005E2C96" w:rsidRPr="004B5560">
              <w:rPr>
                <w:rFonts w:ascii="標楷體" w:eastAsia="標楷體" w:hAnsi="標楷體" w:hint="eastAsia"/>
                <w:sz w:val="28"/>
                <w:szCs w:val="28"/>
              </w:rPr>
              <w:t>及</w:t>
            </w:r>
            <w:r w:rsidRPr="004B5560">
              <w:rPr>
                <w:rFonts w:ascii="標楷體" w:eastAsia="標楷體" w:hAnsi="標楷體" w:hint="eastAsia"/>
                <w:sz w:val="28"/>
                <w:szCs w:val="28"/>
              </w:rPr>
              <w:t>股東會運作</w:t>
            </w:r>
            <w:r w:rsidR="00B46AEE" w:rsidRPr="004B5560">
              <w:rPr>
                <w:rFonts w:ascii="標楷體" w:eastAsia="標楷體" w:hAnsi="標楷體" w:hint="eastAsia"/>
                <w:sz w:val="28"/>
                <w:szCs w:val="28"/>
              </w:rPr>
              <w:t>實務</w:t>
            </w:r>
            <w:r w:rsidR="005E2C96" w:rsidRPr="004B5560">
              <w:rPr>
                <w:rFonts w:ascii="標楷體" w:eastAsia="標楷體" w:hAnsi="標楷體" w:hint="eastAsia"/>
                <w:sz w:val="28"/>
                <w:szCs w:val="28"/>
              </w:rPr>
              <w:t>、</w:t>
            </w:r>
            <w:hyperlink r:id="rId11" w:history="1">
              <w:r w:rsidR="00AC2B1F" w:rsidRPr="004B5560">
                <w:rPr>
                  <w:rFonts w:ascii="標楷體" w:eastAsia="標楷體" w:hAnsi="標楷體"/>
                  <w:sz w:val="28"/>
                  <w:szCs w:val="28"/>
                </w:rPr>
                <w:t>董事會應考量之相關法律議題</w:t>
              </w:r>
            </w:hyperlink>
            <w:r w:rsidRPr="004B5560">
              <w:rPr>
                <w:rFonts w:ascii="標楷體" w:eastAsia="標楷體" w:hAnsi="標楷體" w:hint="eastAsia"/>
                <w:sz w:val="28"/>
                <w:szCs w:val="28"/>
              </w:rPr>
              <w:t>、</w:t>
            </w:r>
            <w:r w:rsidR="001E6D66" w:rsidRPr="004B5560">
              <w:rPr>
                <w:rFonts w:ascii="標楷體" w:eastAsia="標楷體" w:hAnsi="標楷體" w:hint="eastAsia"/>
                <w:sz w:val="28"/>
                <w:szCs w:val="28"/>
              </w:rPr>
              <w:t>董</w:t>
            </w:r>
            <w:r w:rsidR="002F5241" w:rsidRPr="004B5560">
              <w:rPr>
                <w:rFonts w:ascii="標楷體" w:eastAsia="標楷體" w:hAnsi="標楷體" w:hint="eastAsia"/>
                <w:sz w:val="28"/>
                <w:szCs w:val="28"/>
              </w:rPr>
              <w:t>事會與</w:t>
            </w:r>
            <w:r w:rsidRPr="004B5560">
              <w:rPr>
                <w:rFonts w:ascii="標楷體" w:eastAsia="標楷體" w:hAnsi="標楷體" w:hint="eastAsia"/>
                <w:sz w:val="28"/>
                <w:szCs w:val="28"/>
              </w:rPr>
              <w:t>利害關係人</w:t>
            </w:r>
            <w:r w:rsidR="000378EA" w:rsidRPr="004B5560">
              <w:rPr>
                <w:rFonts w:ascii="標楷體" w:eastAsia="標楷體" w:hAnsi="標楷體" w:hint="eastAsia"/>
                <w:sz w:val="28"/>
                <w:szCs w:val="28"/>
              </w:rPr>
              <w:t>之職權與法律</w:t>
            </w:r>
            <w:r w:rsidRPr="004B5560">
              <w:rPr>
                <w:rFonts w:ascii="標楷體" w:eastAsia="標楷體" w:hAnsi="標楷體" w:hint="eastAsia"/>
                <w:sz w:val="28"/>
                <w:szCs w:val="28"/>
              </w:rPr>
              <w:t>關係</w:t>
            </w:r>
            <w:r w:rsidR="002F5241" w:rsidRPr="004B5560">
              <w:rPr>
                <w:rFonts w:ascii="標楷體" w:eastAsia="標楷體" w:hAnsi="標楷體" w:hint="eastAsia"/>
                <w:sz w:val="28"/>
                <w:szCs w:val="28"/>
              </w:rPr>
              <w:t>等</w:t>
            </w:r>
          </w:p>
        </w:tc>
      </w:tr>
      <w:tr w:rsidR="000D5992" w:rsidRPr="000D5992" w14:paraId="6849465A"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2FD336E5"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6</w:t>
            </w:r>
          </w:p>
        </w:tc>
        <w:tc>
          <w:tcPr>
            <w:tcW w:w="3118" w:type="dxa"/>
            <w:tcBorders>
              <w:top w:val="single" w:sz="4" w:space="0" w:color="auto"/>
              <w:left w:val="single" w:sz="4" w:space="0" w:color="auto"/>
              <w:bottom w:val="single" w:sz="4" w:space="0" w:color="auto"/>
              <w:right w:val="single" w:sz="4" w:space="0" w:color="auto"/>
            </w:tcBorders>
            <w:hideMark/>
          </w:tcPr>
          <w:p w14:paraId="54EDC369"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其他</w:t>
            </w:r>
          </w:p>
        </w:tc>
        <w:tc>
          <w:tcPr>
            <w:tcW w:w="4253" w:type="dxa"/>
            <w:tcBorders>
              <w:top w:val="single" w:sz="4" w:space="0" w:color="auto"/>
              <w:left w:val="single" w:sz="4" w:space="0" w:color="auto"/>
              <w:bottom w:val="single" w:sz="4" w:space="0" w:color="auto"/>
              <w:right w:val="single" w:sz="4" w:space="0" w:color="auto"/>
            </w:tcBorders>
            <w:hideMark/>
          </w:tcPr>
          <w:p w14:paraId="406E7347" w14:textId="1FAA1888" w:rsidR="000D5992" w:rsidRPr="000D5992" w:rsidRDefault="000D5992" w:rsidP="00F22774">
            <w:pPr>
              <w:spacing w:line="400" w:lineRule="exact"/>
              <w:jc w:val="both"/>
              <w:rPr>
                <w:rFonts w:ascii="標楷體" w:eastAsia="標楷體" w:hAnsi="標楷體"/>
                <w:sz w:val="28"/>
                <w:szCs w:val="28"/>
              </w:rPr>
            </w:pPr>
            <w:r w:rsidRPr="000D5992">
              <w:rPr>
                <w:rFonts w:ascii="標楷體" w:eastAsia="標楷體" w:hAnsi="標楷體" w:hint="eastAsia"/>
                <w:sz w:val="28"/>
                <w:szCs w:val="28"/>
              </w:rPr>
              <w:t>各訓練機構就建立</w:t>
            </w:r>
            <w:r w:rsidR="00CC630B">
              <w:rPr>
                <w:rFonts w:ascii="標楷體" w:eastAsia="標楷體" w:hAnsi="標楷體" w:hint="eastAsia"/>
                <w:sz w:val="28"/>
                <w:szCs w:val="28"/>
              </w:rPr>
              <w:t>公司治理</w:t>
            </w:r>
            <w:r w:rsidR="00483876">
              <w:rPr>
                <w:rFonts w:ascii="標楷體" w:eastAsia="標楷體" w:hAnsi="標楷體" w:hint="eastAsia"/>
                <w:sz w:val="28"/>
                <w:szCs w:val="28"/>
              </w:rPr>
              <w:t>、</w:t>
            </w:r>
            <w:r w:rsidR="00356ED4">
              <w:rPr>
                <w:rFonts w:ascii="標楷體" w:eastAsia="標楷體" w:hAnsi="標楷體" w:hint="eastAsia"/>
                <w:sz w:val="28"/>
                <w:szCs w:val="28"/>
              </w:rPr>
              <w:t>永續發展</w:t>
            </w:r>
            <w:r w:rsidRPr="000D5992">
              <w:rPr>
                <w:rFonts w:ascii="標楷體" w:eastAsia="標楷體" w:hAnsi="標楷體" w:hint="eastAsia"/>
                <w:sz w:val="28"/>
                <w:szCs w:val="28"/>
              </w:rPr>
              <w:t>等基本職能之課程</w:t>
            </w:r>
          </w:p>
        </w:tc>
      </w:tr>
    </w:tbl>
    <w:p w14:paraId="5E1CE98C" w14:textId="0F4529BA" w:rsidR="000D5992" w:rsidRPr="000D5992" w:rsidRDefault="000D5992" w:rsidP="000D5992">
      <w:pPr>
        <w:spacing w:beforeLines="50" w:before="180" w:afterLines="50" w:after="180" w:line="400" w:lineRule="exact"/>
        <w:ind w:left="560" w:hangingChars="200" w:hanging="560"/>
        <w:jc w:val="both"/>
        <w:rPr>
          <w:rFonts w:ascii="標楷體" w:eastAsia="標楷體" w:hAnsi="標楷體"/>
          <w:sz w:val="28"/>
          <w:szCs w:val="28"/>
        </w:rPr>
      </w:pPr>
      <w:r w:rsidRPr="000D5992">
        <w:rPr>
          <w:rFonts w:ascii="標楷體" w:eastAsia="標楷體" w:hAnsi="標楷體" w:hint="eastAsia"/>
          <w:sz w:val="28"/>
          <w:szCs w:val="28"/>
        </w:rPr>
        <w:lastRenderedPageBreak/>
        <w:t>二、專業課程：涵蓋公司治理主題相關之財務、風險管理、業務、商務、法務、會計</w:t>
      </w:r>
      <w:r w:rsidR="00AC2B1F" w:rsidRPr="005836B1">
        <w:rPr>
          <w:rFonts w:ascii="標楷體" w:eastAsia="標楷體" w:hAnsi="標楷體" w:hint="eastAsia"/>
          <w:color w:val="0070C0"/>
          <w:sz w:val="28"/>
          <w:szCs w:val="28"/>
        </w:rPr>
        <w:t>、</w:t>
      </w:r>
      <w:r w:rsidRPr="000D5992">
        <w:rPr>
          <w:rFonts w:ascii="標楷體" w:eastAsia="標楷體" w:hAnsi="標楷體" w:hint="eastAsia"/>
          <w:sz w:val="28"/>
          <w:szCs w:val="28"/>
        </w:rPr>
        <w:t>內部控制制度、財務報告責任</w:t>
      </w:r>
      <w:r w:rsidR="002F2006" w:rsidRPr="000D5992">
        <w:rPr>
          <w:rFonts w:ascii="標楷體" w:eastAsia="標楷體" w:hAnsi="標楷體" w:hint="eastAsia"/>
          <w:sz w:val="28"/>
          <w:szCs w:val="28"/>
        </w:rPr>
        <w:t>、</w:t>
      </w:r>
      <w:r w:rsidR="00CD5733" w:rsidRPr="008706E3">
        <w:rPr>
          <w:rFonts w:ascii="標楷體" w:eastAsia="標楷體" w:hAnsi="標楷體" w:hint="eastAsia"/>
          <w:sz w:val="28"/>
          <w:szCs w:val="28"/>
        </w:rPr>
        <w:t>環</w:t>
      </w:r>
      <w:r w:rsidR="00CD5733" w:rsidRPr="008706E3">
        <w:rPr>
          <w:rFonts w:ascii="標楷體" w:eastAsia="標楷體" w:hAnsi="標楷體"/>
          <w:sz w:val="28"/>
          <w:szCs w:val="28"/>
        </w:rPr>
        <w:t>境(E)</w:t>
      </w:r>
      <w:r w:rsidR="00CD5733" w:rsidRPr="008706E3">
        <w:rPr>
          <w:rFonts w:ascii="標楷體" w:eastAsia="標楷體" w:hAnsi="標楷體" w:hint="eastAsia"/>
          <w:sz w:val="28"/>
          <w:szCs w:val="28"/>
        </w:rPr>
        <w:t>社</w:t>
      </w:r>
      <w:r w:rsidR="00CD5733" w:rsidRPr="008706E3">
        <w:rPr>
          <w:rFonts w:ascii="標楷體" w:eastAsia="標楷體" w:hAnsi="標楷體"/>
          <w:sz w:val="28"/>
          <w:szCs w:val="28"/>
        </w:rPr>
        <w:t>會</w:t>
      </w:r>
      <w:r w:rsidR="00CD5733" w:rsidRPr="008706E3">
        <w:rPr>
          <w:rFonts w:ascii="標楷體" w:eastAsia="標楷體" w:hAnsi="標楷體" w:hint="eastAsia"/>
          <w:sz w:val="28"/>
          <w:szCs w:val="28"/>
        </w:rPr>
        <w:t>(S)及</w:t>
      </w:r>
      <w:r w:rsidR="00CD5733" w:rsidRPr="008706E3">
        <w:rPr>
          <w:rFonts w:ascii="標楷體" w:eastAsia="標楷體" w:hAnsi="標楷體"/>
          <w:sz w:val="28"/>
          <w:szCs w:val="28"/>
        </w:rPr>
        <w:t>治理</w:t>
      </w:r>
      <w:r w:rsidR="00CD5733" w:rsidRPr="008706E3">
        <w:rPr>
          <w:rFonts w:ascii="標楷體" w:eastAsia="標楷體" w:hAnsi="標楷體" w:hint="eastAsia"/>
          <w:sz w:val="28"/>
          <w:szCs w:val="28"/>
        </w:rPr>
        <w:t>(G)永</w:t>
      </w:r>
      <w:r w:rsidR="00CD5733" w:rsidRPr="008706E3">
        <w:rPr>
          <w:rFonts w:ascii="標楷體" w:eastAsia="標楷體" w:hAnsi="標楷體"/>
          <w:sz w:val="28"/>
          <w:szCs w:val="28"/>
        </w:rPr>
        <w:t>續責任</w:t>
      </w:r>
      <w:r w:rsidR="00AD0A72" w:rsidRPr="008706E3">
        <w:rPr>
          <w:rFonts w:ascii="標楷體" w:eastAsia="標楷體" w:hAnsi="標楷體" w:hint="eastAsia"/>
          <w:sz w:val="28"/>
          <w:szCs w:val="28"/>
        </w:rPr>
        <w:t>等</w:t>
      </w:r>
      <w:r w:rsidRPr="000D5992">
        <w:rPr>
          <w:rFonts w:ascii="標楷體" w:eastAsia="標楷體" w:hAnsi="標楷體" w:hint="eastAsia"/>
          <w:sz w:val="28"/>
          <w:szCs w:val="28"/>
        </w:rPr>
        <w:t>相關課程。</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843"/>
        <w:gridCol w:w="4253"/>
      </w:tblGrid>
      <w:tr w:rsidR="000D5992" w:rsidRPr="000D5992" w14:paraId="00E379D5" w14:textId="77777777" w:rsidTr="00F22774">
        <w:tc>
          <w:tcPr>
            <w:tcW w:w="426" w:type="dxa"/>
            <w:tcBorders>
              <w:top w:val="single" w:sz="4" w:space="0" w:color="auto"/>
              <w:left w:val="single" w:sz="4" w:space="0" w:color="auto"/>
              <w:bottom w:val="single" w:sz="4" w:space="0" w:color="auto"/>
              <w:right w:val="single" w:sz="4" w:space="0" w:color="auto"/>
            </w:tcBorders>
          </w:tcPr>
          <w:p w14:paraId="16388D8F" w14:textId="77777777" w:rsidR="000D5992" w:rsidRPr="000D5992" w:rsidRDefault="000D5992" w:rsidP="00F22774">
            <w:pPr>
              <w:spacing w:afterLines="50" w:after="180" w:line="400" w:lineRule="exact"/>
              <w:jc w:val="both"/>
              <w:rPr>
                <w:rFonts w:ascii="標楷體" w:eastAsia="標楷體" w:hAnsi="標楷體"/>
                <w:sz w:val="28"/>
                <w:szCs w:val="28"/>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129B576E"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課程領域</w:t>
            </w:r>
          </w:p>
        </w:tc>
        <w:tc>
          <w:tcPr>
            <w:tcW w:w="4253" w:type="dxa"/>
            <w:tcBorders>
              <w:top w:val="single" w:sz="4" w:space="0" w:color="auto"/>
              <w:left w:val="single" w:sz="4" w:space="0" w:color="auto"/>
              <w:bottom w:val="single" w:sz="4" w:space="0" w:color="auto"/>
              <w:right w:val="single" w:sz="4" w:space="0" w:color="auto"/>
            </w:tcBorders>
            <w:hideMark/>
          </w:tcPr>
          <w:p w14:paraId="6C75DE71"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課程舉例</w:t>
            </w:r>
          </w:p>
        </w:tc>
      </w:tr>
      <w:tr w:rsidR="000D5992" w:rsidRPr="000D5992" w14:paraId="56DFF310" w14:textId="77777777" w:rsidTr="00F22774">
        <w:tc>
          <w:tcPr>
            <w:tcW w:w="426" w:type="dxa"/>
            <w:tcBorders>
              <w:top w:val="single" w:sz="4" w:space="0" w:color="auto"/>
              <w:left w:val="single" w:sz="4" w:space="0" w:color="auto"/>
              <w:bottom w:val="single" w:sz="4" w:space="0" w:color="auto"/>
              <w:right w:val="single" w:sz="4" w:space="0" w:color="auto"/>
            </w:tcBorders>
            <w:hideMark/>
          </w:tcPr>
          <w:p w14:paraId="31C59FB2"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1</w:t>
            </w:r>
          </w:p>
        </w:tc>
        <w:tc>
          <w:tcPr>
            <w:tcW w:w="3118" w:type="dxa"/>
            <w:gridSpan w:val="2"/>
            <w:tcBorders>
              <w:top w:val="single" w:sz="4" w:space="0" w:color="auto"/>
              <w:left w:val="single" w:sz="4" w:space="0" w:color="auto"/>
              <w:bottom w:val="single" w:sz="4" w:space="0" w:color="auto"/>
              <w:right w:val="single" w:sz="4" w:space="0" w:color="auto"/>
            </w:tcBorders>
            <w:hideMark/>
          </w:tcPr>
          <w:p w14:paraId="058C35CD" w14:textId="77777777" w:rsidR="000D5992" w:rsidRPr="000D5992" w:rsidRDefault="000D5992" w:rsidP="00F22774">
            <w:pPr>
              <w:spacing w:line="400" w:lineRule="exact"/>
              <w:jc w:val="both"/>
              <w:rPr>
                <w:rFonts w:ascii="標楷體" w:eastAsia="標楷體" w:hAnsi="標楷體"/>
                <w:sz w:val="28"/>
                <w:szCs w:val="28"/>
              </w:rPr>
            </w:pPr>
            <w:r w:rsidRPr="000D5992">
              <w:rPr>
                <w:rFonts w:ascii="標楷體" w:eastAsia="標楷體" w:hAnsi="標楷體" w:hint="eastAsia"/>
                <w:sz w:val="28"/>
                <w:szCs w:val="28"/>
              </w:rPr>
              <w:t>公司所屬產業之業務、商務</w:t>
            </w:r>
          </w:p>
        </w:tc>
        <w:tc>
          <w:tcPr>
            <w:tcW w:w="4253" w:type="dxa"/>
            <w:tcBorders>
              <w:top w:val="single" w:sz="4" w:space="0" w:color="auto"/>
              <w:left w:val="single" w:sz="4" w:space="0" w:color="auto"/>
              <w:bottom w:val="single" w:sz="4" w:space="0" w:color="auto"/>
              <w:right w:val="single" w:sz="4" w:space="0" w:color="auto"/>
            </w:tcBorders>
            <w:hideMark/>
          </w:tcPr>
          <w:p w14:paraId="6EF8B90C" w14:textId="5A0BEC84" w:rsidR="000D5992" w:rsidRPr="004B5560" w:rsidRDefault="000D5992" w:rsidP="00F2277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產業趨勢、國際管理、企業</w:t>
            </w:r>
            <w:proofErr w:type="gramStart"/>
            <w:r w:rsidRPr="004B5560">
              <w:rPr>
                <w:rFonts w:ascii="標楷體" w:eastAsia="標楷體" w:hAnsi="標楷體" w:hint="eastAsia"/>
                <w:sz w:val="28"/>
                <w:szCs w:val="28"/>
              </w:rPr>
              <w:t>併</w:t>
            </w:r>
            <w:proofErr w:type="gramEnd"/>
            <w:r w:rsidRPr="004B5560">
              <w:rPr>
                <w:rFonts w:ascii="標楷體" w:eastAsia="標楷體" w:hAnsi="標楷體" w:hint="eastAsia"/>
                <w:sz w:val="28"/>
                <w:szCs w:val="28"/>
              </w:rPr>
              <w:t>購</w:t>
            </w:r>
            <w:r w:rsidR="0035517B" w:rsidRPr="004B5560">
              <w:rPr>
                <w:rFonts w:ascii="標楷體" w:eastAsia="標楷體" w:hAnsi="標楷體" w:hint="eastAsia"/>
                <w:sz w:val="28"/>
                <w:szCs w:val="28"/>
              </w:rPr>
              <w:t>等</w:t>
            </w:r>
          </w:p>
        </w:tc>
      </w:tr>
      <w:tr w:rsidR="000D5992" w:rsidRPr="000D5992" w14:paraId="66E9E376" w14:textId="77777777" w:rsidTr="00C74546">
        <w:trPr>
          <w:trHeight w:val="1873"/>
        </w:trPr>
        <w:tc>
          <w:tcPr>
            <w:tcW w:w="426" w:type="dxa"/>
            <w:tcBorders>
              <w:top w:val="single" w:sz="4" w:space="0" w:color="auto"/>
              <w:left w:val="single" w:sz="4" w:space="0" w:color="auto"/>
              <w:bottom w:val="single" w:sz="4" w:space="0" w:color="auto"/>
              <w:right w:val="single" w:sz="4" w:space="0" w:color="auto"/>
            </w:tcBorders>
            <w:hideMark/>
          </w:tcPr>
          <w:p w14:paraId="687C8C0B" w14:textId="77777777" w:rsidR="000D5992" w:rsidRPr="000D5992" w:rsidRDefault="000D5992" w:rsidP="00F22774">
            <w:pPr>
              <w:spacing w:afterLines="50" w:after="180" w:line="400" w:lineRule="exact"/>
              <w:jc w:val="both"/>
              <w:rPr>
                <w:rFonts w:ascii="標楷體" w:eastAsia="標楷體" w:hAnsi="標楷體"/>
                <w:sz w:val="28"/>
                <w:szCs w:val="28"/>
              </w:rPr>
            </w:pPr>
            <w:r w:rsidRPr="000D5992">
              <w:rPr>
                <w:rFonts w:ascii="標楷體" w:eastAsia="標楷體" w:hAnsi="標楷體" w:hint="eastAsia"/>
                <w:sz w:val="28"/>
                <w:szCs w:val="28"/>
              </w:rPr>
              <w:t>2</w:t>
            </w:r>
          </w:p>
        </w:tc>
        <w:tc>
          <w:tcPr>
            <w:tcW w:w="3118" w:type="dxa"/>
            <w:gridSpan w:val="2"/>
            <w:tcBorders>
              <w:top w:val="single" w:sz="4" w:space="0" w:color="auto"/>
              <w:left w:val="single" w:sz="4" w:space="0" w:color="auto"/>
              <w:bottom w:val="single" w:sz="4" w:space="0" w:color="auto"/>
              <w:right w:val="single" w:sz="4" w:space="0" w:color="auto"/>
            </w:tcBorders>
            <w:hideMark/>
          </w:tcPr>
          <w:p w14:paraId="0D157D08" w14:textId="77777777" w:rsidR="000D5992" w:rsidRPr="000D5992" w:rsidRDefault="000D5992" w:rsidP="00F22774">
            <w:pPr>
              <w:spacing w:line="400" w:lineRule="exact"/>
              <w:jc w:val="both"/>
              <w:rPr>
                <w:rFonts w:ascii="標楷體" w:eastAsia="標楷體" w:hAnsi="標楷體"/>
                <w:sz w:val="28"/>
                <w:szCs w:val="28"/>
              </w:rPr>
            </w:pPr>
            <w:r w:rsidRPr="000D5992">
              <w:rPr>
                <w:rFonts w:ascii="標楷體" w:eastAsia="標楷體" w:hAnsi="標楷體" w:hint="eastAsia"/>
                <w:sz w:val="28"/>
                <w:szCs w:val="28"/>
              </w:rPr>
              <w:t>財務、會計、風險管理、內部控制</w:t>
            </w:r>
          </w:p>
        </w:tc>
        <w:tc>
          <w:tcPr>
            <w:tcW w:w="4253" w:type="dxa"/>
            <w:tcBorders>
              <w:top w:val="single" w:sz="4" w:space="0" w:color="auto"/>
              <w:left w:val="single" w:sz="4" w:space="0" w:color="auto"/>
              <w:bottom w:val="single" w:sz="4" w:space="0" w:color="auto"/>
              <w:right w:val="single" w:sz="4" w:space="0" w:color="auto"/>
            </w:tcBorders>
            <w:hideMark/>
          </w:tcPr>
          <w:p w14:paraId="0C6A5920" w14:textId="7BE4050E" w:rsidR="000D5992" w:rsidRPr="004B5560" w:rsidRDefault="000D5992" w:rsidP="00F2277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財務報表、衍生性金融商品之解析、國際財務報導準則、企業風險管理、內控監督與內部稽核品質管理、智財管理、洗錢防制</w:t>
            </w:r>
            <w:r w:rsidR="0003599F" w:rsidRPr="004B5560">
              <w:rPr>
                <w:rFonts w:ascii="標楷體" w:eastAsia="標楷體" w:hAnsi="標楷體" w:hint="eastAsia"/>
                <w:sz w:val="28"/>
                <w:szCs w:val="28"/>
              </w:rPr>
              <w:t>及打擊</w:t>
            </w:r>
            <w:proofErr w:type="gramStart"/>
            <w:r w:rsidR="0003599F" w:rsidRPr="004B5560">
              <w:rPr>
                <w:rFonts w:ascii="標楷體" w:eastAsia="標楷體" w:hAnsi="標楷體" w:hint="eastAsia"/>
                <w:sz w:val="28"/>
                <w:szCs w:val="28"/>
              </w:rPr>
              <w:t>資恐</w:t>
            </w:r>
            <w:r w:rsidR="008B1F49" w:rsidRPr="004B5560">
              <w:rPr>
                <w:rFonts w:ascii="標楷體" w:eastAsia="標楷體" w:hAnsi="標楷體" w:hint="eastAsia"/>
                <w:sz w:val="28"/>
                <w:szCs w:val="28"/>
              </w:rPr>
              <w:t>等</w:t>
            </w:r>
            <w:proofErr w:type="gramEnd"/>
          </w:p>
        </w:tc>
      </w:tr>
      <w:tr w:rsidR="00F907B4" w:rsidRPr="000D5992" w14:paraId="3417D402" w14:textId="77777777" w:rsidTr="00E81AF9">
        <w:trPr>
          <w:trHeight w:val="1716"/>
        </w:trPr>
        <w:tc>
          <w:tcPr>
            <w:tcW w:w="426" w:type="dxa"/>
            <w:vMerge w:val="restart"/>
            <w:tcBorders>
              <w:top w:val="single" w:sz="4" w:space="0" w:color="auto"/>
              <w:left w:val="single" w:sz="4" w:space="0" w:color="auto"/>
              <w:right w:val="single" w:sz="4" w:space="0" w:color="auto"/>
            </w:tcBorders>
          </w:tcPr>
          <w:p w14:paraId="5002AE91" w14:textId="36510A65" w:rsidR="00F907B4" w:rsidRPr="000D5992" w:rsidRDefault="00F907B4" w:rsidP="00011B94">
            <w:pPr>
              <w:spacing w:afterLines="50" w:after="180" w:line="400" w:lineRule="exact"/>
              <w:jc w:val="both"/>
              <w:rPr>
                <w:rFonts w:ascii="標楷體" w:eastAsia="標楷體" w:hAnsi="標楷體"/>
                <w:sz w:val="28"/>
                <w:szCs w:val="28"/>
              </w:rPr>
            </w:pPr>
            <w:r>
              <w:rPr>
                <w:rFonts w:ascii="標楷體" w:eastAsia="標楷體" w:hAnsi="標楷體" w:hint="eastAsia"/>
                <w:sz w:val="28"/>
                <w:szCs w:val="28"/>
              </w:rPr>
              <w:t>3</w:t>
            </w:r>
          </w:p>
        </w:tc>
        <w:tc>
          <w:tcPr>
            <w:tcW w:w="1275" w:type="dxa"/>
            <w:vMerge w:val="restart"/>
            <w:tcBorders>
              <w:top w:val="single" w:sz="4" w:space="0" w:color="auto"/>
              <w:left w:val="single" w:sz="4" w:space="0" w:color="auto"/>
              <w:right w:val="single" w:sz="4" w:space="0" w:color="auto"/>
            </w:tcBorders>
          </w:tcPr>
          <w:p w14:paraId="12920880" w14:textId="0BA3BCF1" w:rsidR="00F907B4" w:rsidRPr="008706E3" w:rsidRDefault="00F907B4" w:rsidP="00B8114D">
            <w:pPr>
              <w:spacing w:line="400" w:lineRule="exact"/>
              <w:rPr>
                <w:rFonts w:ascii="標楷體" w:eastAsia="標楷體" w:hAnsi="標楷體"/>
                <w:sz w:val="28"/>
                <w:szCs w:val="28"/>
              </w:rPr>
            </w:pPr>
            <w:r w:rsidRPr="008706E3">
              <w:rPr>
                <w:rFonts w:ascii="標楷體" w:eastAsia="標楷體" w:hAnsi="標楷體" w:hint="eastAsia"/>
                <w:sz w:val="28"/>
                <w:szCs w:val="28"/>
              </w:rPr>
              <w:t>環</w:t>
            </w:r>
            <w:r w:rsidRPr="008706E3">
              <w:rPr>
                <w:rFonts w:ascii="標楷體" w:eastAsia="標楷體" w:hAnsi="標楷體"/>
                <w:sz w:val="28"/>
                <w:szCs w:val="28"/>
              </w:rPr>
              <w:t>境(E)</w:t>
            </w:r>
            <w:r w:rsidRPr="008706E3">
              <w:rPr>
                <w:rFonts w:ascii="標楷體" w:eastAsia="標楷體" w:hAnsi="標楷體" w:hint="eastAsia"/>
                <w:sz w:val="28"/>
                <w:szCs w:val="28"/>
              </w:rPr>
              <w:t>社</w:t>
            </w:r>
            <w:r w:rsidRPr="008706E3">
              <w:rPr>
                <w:rFonts w:ascii="標楷體" w:eastAsia="標楷體" w:hAnsi="標楷體"/>
                <w:sz w:val="28"/>
                <w:szCs w:val="28"/>
              </w:rPr>
              <w:t>會</w:t>
            </w:r>
            <w:r w:rsidRPr="008706E3">
              <w:rPr>
                <w:rFonts w:ascii="標楷體" w:eastAsia="標楷體" w:hAnsi="標楷體" w:hint="eastAsia"/>
                <w:sz w:val="28"/>
                <w:szCs w:val="28"/>
              </w:rPr>
              <w:t>(S)及</w:t>
            </w:r>
            <w:r w:rsidRPr="008706E3">
              <w:rPr>
                <w:rFonts w:ascii="標楷體" w:eastAsia="標楷體" w:hAnsi="標楷體"/>
                <w:sz w:val="28"/>
                <w:szCs w:val="28"/>
              </w:rPr>
              <w:t>治理</w:t>
            </w:r>
            <w:r w:rsidRPr="008706E3">
              <w:rPr>
                <w:rFonts w:ascii="標楷體" w:eastAsia="標楷體" w:hAnsi="標楷體" w:hint="eastAsia"/>
                <w:sz w:val="28"/>
                <w:szCs w:val="28"/>
              </w:rPr>
              <w:t>(G)永</w:t>
            </w:r>
            <w:r w:rsidRPr="008706E3">
              <w:rPr>
                <w:rFonts w:ascii="標楷體" w:eastAsia="標楷體" w:hAnsi="標楷體"/>
                <w:sz w:val="28"/>
                <w:szCs w:val="28"/>
              </w:rPr>
              <w:t>續責任</w:t>
            </w:r>
          </w:p>
        </w:tc>
        <w:tc>
          <w:tcPr>
            <w:tcW w:w="1843" w:type="dxa"/>
            <w:tcBorders>
              <w:top w:val="single" w:sz="4" w:space="0" w:color="auto"/>
              <w:left w:val="single" w:sz="4" w:space="0" w:color="auto"/>
              <w:right w:val="single" w:sz="4" w:space="0" w:color="auto"/>
            </w:tcBorders>
          </w:tcPr>
          <w:p w14:paraId="11EFBE88" w14:textId="364269E5" w:rsidR="00F907B4" w:rsidRPr="008706E3" w:rsidRDefault="00F907B4" w:rsidP="00B8114D">
            <w:pPr>
              <w:spacing w:line="400" w:lineRule="exact"/>
              <w:rPr>
                <w:rFonts w:ascii="標楷體" w:eastAsia="標楷體" w:hAnsi="標楷體"/>
                <w:sz w:val="28"/>
                <w:szCs w:val="28"/>
              </w:rPr>
            </w:pPr>
            <w:r w:rsidRPr="008706E3">
              <w:rPr>
                <w:rFonts w:ascii="標楷體" w:eastAsia="標楷體" w:hAnsi="標楷體" w:hint="eastAsia"/>
                <w:sz w:val="28"/>
                <w:szCs w:val="28"/>
              </w:rPr>
              <w:t>環</w:t>
            </w:r>
            <w:r w:rsidRPr="008706E3">
              <w:rPr>
                <w:rFonts w:ascii="標楷體" w:eastAsia="標楷體" w:hAnsi="標楷體"/>
                <w:sz w:val="28"/>
                <w:szCs w:val="28"/>
              </w:rPr>
              <w:t>境(E)</w:t>
            </w:r>
          </w:p>
        </w:tc>
        <w:tc>
          <w:tcPr>
            <w:tcW w:w="4253" w:type="dxa"/>
            <w:tcBorders>
              <w:top w:val="single" w:sz="4" w:space="0" w:color="auto"/>
              <w:left w:val="single" w:sz="4" w:space="0" w:color="auto"/>
              <w:bottom w:val="single" w:sz="4" w:space="0" w:color="auto"/>
              <w:right w:val="single" w:sz="4" w:space="0" w:color="auto"/>
            </w:tcBorders>
          </w:tcPr>
          <w:p w14:paraId="356D1051" w14:textId="75A2D4C8" w:rsidR="00F907B4" w:rsidRPr="004B5560" w:rsidRDefault="00F907B4" w:rsidP="00011B94">
            <w:pPr>
              <w:spacing w:line="400" w:lineRule="exact"/>
              <w:jc w:val="both"/>
              <w:rPr>
                <w:rFonts w:ascii="標楷體" w:eastAsia="標楷體" w:hAnsi="標楷體"/>
                <w:sz w:val="28"/>
                <w:szCs w:val="28"/>
              </w:rPr>
            </w:pPr>
            <w:r w:rsidRPr="004B5560">
              <w:rPr>
                <w:rFonts w:ascii="標楷體" w:eastAsia="標楷體" w:hAnsi="標楷體" w:cs="Arial" w:hint="eastAsia"/>
                <w:sz w:val="28"/>
                <w:szCs w:val="28"/>
              </w:rPr>
              <w:t>責任投資與E</w:t>
            </w:r>
            <w:r w:rsidRPr="004B5560">
              <w:rPr>
                <w:rFonts w:ascii="標楷體" w:eastAsia="標楷體" w:hAnsi="標楷體" w:cs="Arial"/>
                <w:sz w:val="28"/>
                <w:szCs w:val="28"/>
              </w:rPr>
              <w:t>SG</w:t>
            </w:r>
            <w:r w:rsidRPr="004B5560">
              <w:rPr>
                <w:rFonts w:ascii="標楷體" w:eastAsia="標楷體" w:hAnsi="標楷體" w:cs="Arial" w:hint="eastAsia"/>
                <w:sz w:val="28"/>
                <w:szCs w:val="28"/>
              </w:rPr>
              <w:t>推進</w:t>
            </w:r>
            <w:r w:rsidRPr="004B5560">
              <w:rPr>
                <w:rFonts w:ascii="標楷體" w:eastAsia="標楷體" w:hAnsi="標楷體" w:hint="eastAsia"/>
                <w:sz w:val="28"/>
                <w:szCs w:val="28"/>
              </w:rPr>
              <w:t>、氣候變遷風險因應</w:t>
            </w:r>
            <w:r w:rsidR="001C057E" w:rsidRPr="004B5560">
              <w:rPr>
                <w:rFonts w:ascii="標楷體" w:eastAsia="標楷體" w:hAnsi="標楷體" w:hint="eastAsia"/>
                <w:sz w:val="28"/>
                <w:szCs w:val="28"/>
              </w:rPr>
              <w:t>、</w:t>
            </w:r>
            <w:proofErr w:type="gramStart"/>
            <w:r w:rsidR="001C057E" w:rsidRPr="004B5560">
              <w:rPr>
                <w:rFonts w:ascii="標楷體" w:eastAsia="標楷體" w:hAnsi="標楷體" w:hint="eastAsia"/>
                <w:sz w:val="28"/>
                <w:szCs w:val="28"/>
              </w:rPr>
              <w:t>淨零排放</w:t>
            </w:r>
            <w:proofErr w:type="gramEnd"/>
            <w:r w:rsidR="001C057E" w:rsidRPr="004B5560">
              <w:rPr>
                <w:rFonts w:ascii="標楷體" w:eastAsia="標楷體" w:hAnsi="標楷體" w:hint="eastAsia"/>
                <w:sz w:val="28"/>
                <w:szCs w:val="28"/>
              </w:rPr>
              <w:t>趨勢與碳盤查相關監理規範</w:t>
            </w:r>
            <w:r w:rsidR="001E61B5" w:rsidRPr="004B5560">
              <w:rPr>
                <w:rFonts w:ascii="標楷體" w:eastAsia="標楷體" w:hAnsi="標楷體" w:hint="eastAsia"/>
                <w:sz w:val="28"/>
                <w:szCs w:val="28"/>
              </w:rPr>
              <w:t>、綠色供應鏈管理</w:t>
            </w:r>
            <w:r w:rsidR="008B1F49" w:rsidRPr="004B5560">
              <w:rPr>
                <w:rFonts w:ascii="標楷體" w:eastAsia="標楷體" w:hAnsi="標楷體" w:hint="eastAsia"/>
                <w:sz w:val="28"/>
                <w:szCs w:val="28"/>
              </w:rPr>
              <w:t>等</w:t>
            </w:r>
          </w:p>
        </w:tc>
      </w:tr>
      <w:tr w:rsidR="00F907B4" w:rsidRPr="000D5992" w14:paraId="0784C98A" w14:textId="77777777" w:rsidTr="000378EA">
        <w:trPr>
          <w:trHeight w:val="1873"/>
        </w:trPr>
        <w:tc>
          <w:tcPr>
            <w:tcW w:w="426" w:type="dxa"/>
            <w:vMerge/>
            <w:tcBorders>
              <w:left w:val="single" w:sz="4" w:space="0" w:color="auto"/>
              <w:right w:val="single" w:sz="4" w:space="0" w:color="auto"/>
            </w:tcBorders>
          </w:tcPr>
          <w:p w14:paraId="409800C2" w14:textId="5FF1C7EC" w:rsidR="00F907B4" w:rsidRPr="000D5992" w:rsidRDefault="00F907B4" w:rsidP="00011B94">
            <w:pPr>
              <w:spacing w:afterLines="50" w:after="180" w:line="400" w:lineRule="exact"/>
              <w:jc w:val="both"/>
              <w:rPr>
                <w:rFonts w:ascii="標楷體" w:eastAsia="標楷體" w:hAnsi="標楷體"/>
                <w:sz w:val="28"/>
                <w:szCs w:val="28"/>
              </w:rPr>
            </w:pPr>
          </w:p>
        </w:tc>
        <w:tc>
          <w:tcPr>
            <w:tcW w:w="1275" w:type="dxa"/>
            <w:vMerge/>
            <w:tcBorders>
              <w:left w:val="single" w:sz="4" w:space="0" w:color="auto"/>
              <w:right w:val="single" w:sz="4" w:space="0" w:color="auto"/>
            </w:tcBorders>
          </w:tcPr>
          <w:p w14:paraId="1893E35E" w14:textId="77777777" w:rsidR="00F907B4" w:rsidRPr="008706E3" w:rsidRDefault="00F907B4" w:rsidP="00011B94">
            <w:pPr>
              <w:spacing w:line="400" w:lineRule="exact"/>
              <w:jc w:val="both"/>
              <w:rPr>
                <w:rFonts w:ascii="標楷體" w:eastAsia="標楷體" w:hAnsi="標楷體"/>
                <w:sz w:val="28"/>
                <w:szCs w:val="28"/>
              </w:rPr>
            </w:pPr>
          </w:p>
        </w:tc>
        <w:tc>
          <w:tcPr>
            <w:tcW w:w="1843" w:type="dxa"/>
            <w:tcBorders>
              <w:left w:val="single" w:sz="4" w:space="0" w:color="auto"/>
              <w:right w:val="single" w:sz="4" w:space="0" w:color="auto"/>
            </w:tcBorders>
          </w:tcPr>
          <w:p w14:paraId="2261EF04" w14:textId="601023AC" w:rsidR="00F907B4" w:rsidRPr="008706E3" w:rsidRDefault="00F907B4" w:rsidP="00011B94">
            <w:pPr>
              <w:spacing w:line="400" w:lineRule="exact"/>
              <w:jc w:val="both"/>
              <w:rPr>
                <w:rFonts w:ascii="標楷體" w:eastAsia="標楷體" w:hAnsi="標楷體"/>
                <w:sz w:val="28"/>
                <w:szCs w:val="28"/>
              </w:rPr>
            </w:pPr>
            <w:r w:rsidRPr="008706E3">
              <w:rPr>
                <w:rFonts w:ascii="標楷體" w:eastAsia="標楷體" w:hAnsi="標楷體" w:hint="eastAsia"/>
                <w:sz w:val="28"/>
                <w:szCs w:val="28"/>
              </w:rPr>
              <w:t>社</w:t>
            </w:r>
            <w:r w:rsidRPr="008706E3">
              <w:rPr>
                <w:rFonts w:ascii="標楷體" w:eastAsia="標楷體" w:hAnsi="標楷體"/>
                <w:sz w:val="28"/>
                <w:szCs w:val="28"/>
              </w:rPr>
              <w:t>會</w:t>
            </w:r>
            <w:r w:rsidRPr="008706E3">
              <w:rPr>
                <w:rFonts w:ascii="標楷體" w:eastAsia="標楷體" w:hAnsi="標楷體" w:hint="eastAsia"/>
                <w:sz w:val="28"/>
                <w:szCs w:val="28"/>
              </w:rPr>
              <w:t>(S)</w:t>
            </w:r>
          </w:p>
        </w:tc>
        <w:tc>
          <w:tcPr>
            <w:tcW w:w="4253" w:type="dxa"/>
            <w:tcBorders>
              <w:top w:val="single" w:sz="4" w:space="0" w:color="auto"/>
              <w:left w:val="single" w:sz="4" w:space="0" w:color="auto"/>
              <w:bottom w:val="single" w:sz="4" w:space="0" w:color="auto"/>
              <w:right w:val="single" w:sz="4" w:space="0" w:color="auto"/>
            </w:tcBorders>
          </w:tcPr>
          <w:p w14:paraId="221B2C72" w14:textId="303212AA" w:rsidR="00F907B4" w:rsidRPr="004B5560" w:rsidRDefault="00F907B4" w:rsidP="00011B9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履行企業社會</w:t>
            </w:r>
            <w:r w:rsidRPr="004B5560">
              <w:rPr>
                <w:rFonts w:ascii="標楷體" w:eastAsia="標楷體" w:hAnsi="標楷體"/>
                <w:sz w:val="28"/>
                <w:szCs w:val="28"/>
              </w:rPr>
              <w:t>責任情形之資訊揭露</w:t>
            </w:r>
            <w:r w:rsidRPr="004B5560">
              <w:rPr>
                <w:rFonts w:ascii="標楷體" w:eastAsia="標楷體" w:hAnsi="標楷體" w:hint="eastAsia"/>
                <w:sz w:val="28"/>
                <w:szCs w:val="28"/>
              </w:rPr>
              <w:t>與對外溝通</w:t>
            </w:r>
            <w:r w:rsidR="0072205D" w:rsidRPr="004B5560">
              <w:rPr>
                <w:rFonts w:ascii="標楷體" w:eastAsia="標楷體" w:hAnsi="標楷體" w:hint="eastAsia"/>
                <w:sz w:val="28"/>
                <w:szCs w:val="28"/>
              </w:rPr>
              <w:t>、資訊安全防護機制</w:t>
            </w:r>
            <w:r w:rsidRPr="004B5560">
              <w:rPr>
                <w:rFonts w:ascii="標楷體" w:eastAsia="標楷體" w:hAnsi="標楷體" w:hint="eastAsia"/>
                <w:sz w:val="28"/>
                <w:szCs w:val="28"/>
              </w:rPr>
              <w:t>、金融消費者保護法之落實、</w:t>
            </w:r>
            <w:r w:rsidR="00380F4C" w:rsidRPr="004B5560">
              <w:rPr>
                <w:rFonts w:ascii="標楷體" w:eastAsia="標楷體" w:hAnsi="標楷體" w:hint="eastAsia"/>
                <w:sz w:val="28"/>
                <w:szCs w:val="28"/>
              </w:rPr>
              <w:t>公平待客及強</w:t>
            </w:r>
            <w:r w:rsidR="0036069C" w:rsidRPr="004B5560">
              <w:rPr>
                <w:rFonts w:ascii="標楷體" w:eastAsia="標楷體" w:hAnsi="標楷體" w:hint="eastAsia"/>
                <w:sz w:val="28"/>
                <w:szCs w:val="28"/>
              </w:rPr>
              <w:t>化特定族群保護</w:t>
            </w:r>
            <w:r w:rsidR="00D00F43" w:rsidRPr="004B5560">
              <w:rPr>
                <w:rFonts w:ascii="標楷體" w:eastAsia="標楷體" w:hAnsi="標楷體"/>
                <w:sz w:val="28"/>
                <w:szCs w:val="28"/>
              </w:rPr>
              <w:t>、</w:t>
            </w:r>
            <w:r w:rsidR="00D00F43" w:rsidRPr="004B5560">
              <w:rPr>
                <w:rFonts w:ascii="標楷體" w:eastAsia="標楷體" w:hAnsi="標楷體" w:hint="eastAsia"/>
                <w:sz w:val="28"/>
                <w:szCs w:val="28"/>
              </w:rPr>
              <w:t>職業安全與員工福利</w:t>
            </w:r>
            <w:r w:rsidR="00F87F4D" w:rsidRPr="004B5560">
              <w:rPr>
                <w:rFonts w:ascii="標楷體" w:eastAsia="標楷體" w:hAnsi="標楷體" w:hint="eastAsia"/>
                <w:sz w:val="28"/>
                <w:szCs w:val="28"/>
              </w:rPr>
              <w:t>、</w:t>
            </w:r>
            <w:r w:rsidR="00100037" w:rsidRPr="004B5560">
              <w:rPr>
                <w:rFonts w:ascii="標楷體" w:eastAsia="標楷體" w:hAnsi="標楷體" w:hint="eastAsia"/>
                <w:sz w:val="28"/>
                <w:szCs w:val="28"/>
              </w:rPr>
              <w:t>永續報告書</w:t>
            </w:r>
            <w:r w:rsidR="008B1F49" w:rsidRPr="004B5560">
              <w:rPr>
                <w:rFonts w:ascii="標楷體" w:eastAsia="標楷體" w:hAnsi="標楷體" w:hint="eastAsia"/>
                <w:sz w:val="28"/>
                <w:szCs w:val="28"/>
              </w:rPr>
              <w:t>等</w:t>
            </w:r>
          </w:p>
        </w:tc>
      </w:tr>
      <w:tr w:rsidR="00F907B4" w:rsidRPr="000D5992" w14:paraId="500534F4" w14:textId="77777777" w:rsidTr="000378EA">
        <w:trPr>
          <w:trHeight w:val="1873"/>
        </w:trPr>
        <w:tc>
          <w:tcPr>
            <w:tcW w:w="426" w:type="dxa"/>
            <w:vMerge/>
            <w:tcBorders>
              <w:left w:val="single" w:sz="4" w:space="0" w:color="auto"/>
              <w:bottom w:val="single" w:sz="4" w:space="0" w:color="auto"/>
              <w:right w:val="single" w:sz="4" w:space="0" w:color="auto"/>
            </w:tcBorders>
          </w:tcPr>
          <w:p w14:paraId="3A64F66C" w14:textId="75FAC03F" w:rsidR="00F907B4" w:rsidRPr="000D5992" w:rsidRDefault="00F907B4" w:rsidP="00011B94">
            <w:pPr>
              <w:spacing w:afterLines="50" w:after="180" w:line="400" w:lineRule="exact"/>
              <w:jc w:val="both"/>
              <w:rPr>
                <w:rFonts w:ascii="標楷體" w:eastAsia="標楷體" w:hAnsi="標楷體"/>
                <w:sz w:val="28"/>
                <w:szCs w:val="28"/>
              </w:rPr>
            </w:pPr>
          </w:p>
        </w:tc>
        <w:tc>
          <w:tcPr>
            <w:tcW w:w="1275" w:type="dxa"/>
            <w:vMerge/>
            <w:tcBorders>
              <w:left w:val="single" w:sz="4" w:space="0" w:color="auto"/>
              <w:bottom w:val="single" w:sz="4" w:space="0" w:color="auto"/>
              <w:right w:val="single" w:sz="4" w:space="0" w:color="auto"/>
            </w:tcBorders>
          </w:tcPr>
          <w:p w14:paraId="11B22C1F" w14:textId="77777777" w:rsidR="00F907B4" w:rsidRPr="008706E3" w:rsidRDefault="00F907B4" w:rsidP="00B8114D">
            <w:pPr>
              <w:spacing w:line="400" w:lineRule="exact"/>
              <w:rPr>
                <w:rFonts w:ascii="標楷體" w:eastAsia="標楷體" w:hAnsi="標楷體"/>
                <w:sz w:val="28"/>
                <w:szCs w:val="28"/>
              </w:rPr>
            </w:pPr>
          </w:p>
        </w:tc>
        <w:tc>
          <w:tcPr>
            <w:tcW w:w="1843" w:type="dxa"/>
            <w:tcBorders>
              <w:left w:val="single" w:sz="4" w:space="0" w:color="auto"/>
              <w:bottom w:val="single" w:sz="4" w:space="0" w:color="auto"/>
              <w:right w:val="single" w:sz="4" w:space="0" w:color="auto"/>
            </w:tcBorders>
          </w:tcPr>
          <w:p w14:paraId="4E4E729D" w14:textId="3AB80B8D" w:rsidR="00F907B4" w:rsidRPr="008706E3" w:rsidRDefault="00F907B4" w:rsidP="00B8114D">
            <w:pPr>
              <w:spacing w:line="400" w:lineRule="exact"/>
              <w:rPr>
                <w:rFonts w:ascii="標楷體" w:eastAsia="標楷體" w:hAnsi="標楷體"/>
                <w:sz w:val="28"/>
                <w:szCs w:val="28"/>
              </w:rPr>
            </w:pPr>
            <w:r w:rsidRPr="008706E3">
              <w:rPr>
                <w:rFonts w:ascii="標楷體" w:eastAsia="標楷體" w:hAnsi="標楷體"/>
                <w:sz w:val="28"/>
                <w:szCs w:val="28"/>
              </w:rPr>
              <w:t>治理</w:t>
            </w:r>
            <w:r w:rsidRPr="008706E3">
              <w:rPr>
                <w:rFonts w:ascii="標楷體" w:eastAsia="標楷體" w:hAnsi="標楷體" w:hint="eastAsia"/>
                <w:sz w:val="28"/>
                <w:szCs w:val="28"/>
              </w:rPr>
              <w:t>(G)</w:t>
            </w:r>
          </w:p>
        </w:tc>
        <w:tc>
          <w:tcPr>
            <w:tcW w:w="4253" w:type="dxa"/>
            <w:tcBorders>
              <w:top w:val="single" w:sz="4" w:space="0" w:color="auto"/>
              <w:left w:val="single" w:sz="4" w:space="0" w:color="auto"/>
              <w:bottom w:val="single" w:sz="4" w:space="0" w:color="auto"/>
              <w:right w:val="single" w:sz="4" w:space="0" w:color="auto"/>
            </w:tcBorders>
          </w:tcPr>
          <w:p w14:paraId="328FC1A9" w14:textId="5830308C" w:rsidR="00F907B4" w:rsidRPr="004B5560" w:rsidRDefault="00F907B4" w:rsidP="0036023D">
            <w:pPr>
              <w:spacing w:line="400" w:lineRule="exact"/>
              <w:jc w:val="both"/>
              <w:rPr>
                <w:rFonts w:ascii="標楷體" w:eastAsia="標楷體" w:hAnsi="標楷體"/>
                <w:sz w:val="28"/>
                <w:szCs w:val="28"/>
              </w:rPr>
            </w:pPr>
            <w:r w:rsidRPr="004B5560">
              <w:rPr>
                <w:rFonts w:ascii="標楷體" w:eastAsia="標楷體" w:hAnsi="標楷體"/>
                <w:sz w:val="28"/>
                <w:szCs w:val="28"/>
              </w:rPr>
              <w:t>董事會</w:t>
            </w:r>
            <w:r w:rsidRPr="004B5560">
              <w:rPr>
                <w:rFonts w:ascii="標楷體" w:eastAsia="標楷體" w:hAnsi="標楷體" w:hint="eastAsia"/>
                <w:sz w:val="28"/>
                <w:szCs w:val="28"/>
              </w:rPr>
              <w:t>及經營管理階層分工</w:t>
            </w:r>
            <w:proofErr w:type="gramStart"/>
            <w:r w:rsidRPr="004B5560">
              <w:rPr>
                <w:rFonts w:ascii="標楷體" w:eastAsia="標楷體" w:hAnsi="標楷體" w:hint="eastAsia"/>
                <w:sz w:val="28"/>
                <w:szCs w:val="28"/>
              </w:rPr>
              <w:t>與問責制度</w:t>
            </w:r>
            <w:proofErr w:type="gramEnd"/>
            <w:r w:rsidRPr="004B5560">
              <w:rPr>
                <w:rFonts w:ascii="標楷體" w:eastAsia="標楷體" w:hAnsi="標楷體" w:hint="eastAsia"/>
                <w:sz w:val="28"/>
                <w:szCs w:val="28"/>
              </w:rPr>
              <w:t>、ESG</w:t>
            </w:r>
            <w:r w:rsidR="00265074" w:rsidRPr="004B5560">
              <w:rPr>
                <w:rFonts w:ascii="標楷體" w:eastAsia="標楷體" w:hAnsi="標楷體" w:hint="eastAsia"/>
                <w:sz w:val="28"/>
                <w:szCs w:val="28"/>
              </w:rPr>
              <w:t>永</w:t>
            </w:r>
            <w:r w:rsidR="008F2868" w:rsidRPr="004B5560">
              <w:rPr>
                <w:rFonts w:ascii="標楷體" w:eastAsia="標楷體" w:hAnsi="標楷體" w:hint="eastAsia"/>
                <w:sz w:val="28"/>
                <w:szCs w:val="28"/>
              </w:rPr>
              <w:t>續發展</w:t>
            </w:r>
            <w:r w:rsidRPr="004B5560">
              <w:rPr>
                <w:rFonts w:ascii="標楷體" w:eastAsia="標楷體" w:hAnsi="標楷體"/>
                <w:sz w:val="28"/>
                <w:szCs w:val="28"/>
              </w:rPr>
              <w:t>資訊</w:t>
            </w:r>
            <w:r w:rsidRPr="004B5560">
              <w:rPr>
                <w:rFonts w:ascii="標楷體" w:eastAsia="標楷體" w:hAnsi="標楷體" w:hint="eastAsia"/>
                <w:sz w:val="28"/>
                <w:szCs w:val="28"/>
              </w:rPr>
              <w:t>揭露</w:t>
            </w:r>
            <w:r w:rsidRPr="004B5560">
              <w:rPr>
                <w:rFonts w:ascii="標楷體" w:eastAsia="標楷體" w:hAnsi="標楷體"/>
                <w:sz w:val="28"/>
                <w:szCs w:val="28"/>
              </w:rPr>
              <w:t>、提升企業永續價值</w:t>
            </w:r>
            <w:r w:rsidRPr="004B5560">
              <w:rPr>
                <w:rFonts w:ascii="標楷體" w:eastAsia="標楷體" w:hAnsi="標楷體" w:hint="eastAsia"/>
                <w:sz w:val="28"/>
                <w:szCs w:val="28"/>
              </w:rPr>
              <w:t>、</w:t>
            </w:r>
            <w:r w:rsidRPr="004B5560">
              <w:rPr>
                <w:rFonts w:ascii="標楷體" w:eastAsia="標楷體" w:hAnsi="標楷體"/>
                <w:sz w:val="28"/>
                <w:szCs w:val="28"/>
              </w:rPr>
              <w:t>董事多元</w:t>
            </w:r>
            <w:r w:rsidRPr="004B5560">
              <w:rPr>
                <w:rFonts w:ascii="標楷體" w:eastAsia="標楷體" w:hAnsi="標楷體" w:hint="eastAsia"/>
                <w:sz w:val="28"/>
                <w:szCs w:val="28"/>
              </w:rPr>
              <w:t>化(年齡、性別、國籍)</w:t>
            </w:r>
            <w:r w:rsidRPr="004B5560">
              <w:rPr>
                <w:rFonts w:ascii="標楷體" w:eastAsia="標楷體" w:hAnsi="標楷體"/>
                <w:sz w:val="28"/>
                <w:szCs w:val="28"/>
              </w:rPr>
              <w:t xml:space="preserve"> </w:t>
            </w:r>
            <w:r w:rsidR="00C6123E" w:rsidRPr="004B5560">
              <w:rPr>
                <w:rFonts w:ascii="標楷體" w:eastAsia="標楷體" w:hAnsi="標楷體" w:hint="eastAsia"/>
                <w:sz w:val="28"/>
                <w:szCs w:val="28"/>
              </w:rPr>
              <w:t>、誠信經營原則</w:t>
            </w:r>
            <w:r w:rsidR="00120809" w:rsidRPr="004B5560">
              <w:rPr>
                <w:rFonts w:ascii="標楷體" w:eastAsia="標楷體" w:hAnsi="標楷體" w:hint="eastAsia"/>
                <w:sz w:val="28"/>
                <w:szCs w:val="28"/>
              </w:rPr>
              <w:t>等</w:t>
            </w:r>
          </w:p>
        </w:tc>
      </w:tr>
      <w:tr w:rsidR="00011B94" w:rsidRPr="000D5992" w14:paraId="089D6492" w14:textId="77777777" w:rsidTr="00E81AF9">
        <w:trPr>
          <w:trHeight w:val="956"/>
        </w:trPr>
        <w:tc>
          <w:tcPr>
            <w:tcW w:w="426" w:type="dxa"/>
            <w:tcBorders>
              <w:top w:val="single" w:sz="4" w:space="0" w:color="auto"/>
              <w:left w:val="single" w:sz="4" w:space="0" w:color="auto"/>
              <w:bottom w:val="single" w:sz="4" w:space="0" w:color="auto"/>
              <w:right w:val="single" w:sz="4" w:space="0" w:color="auto"/>
            </w:tcBorders>
            <w:hideMark/>
          </w:tcPr>
          <w:p w14:paraId="35C8009B" w14:textId="309F711E" w:rsidR="00011B94" w:rsidRPr="000D5992" w:rsidRDefault="00F907B4" w:rsidP="00011B94">
            <w:pPr>
              <w:spacing w:afterLines="50" w:after="180" w:line="400" w:lineRule="exact"/>
              <w:jc w:val="both"/>
              <w:rPr>
                <w:rFonts w:ascii="標楷體" w:eastAsia="標楷體" w:hAnsi="標楷體"/>
                <w:sz w:val="28"/>
                <w:szCs w:val="28"/>
              </w:rPr>
            </w:pPr>
            <w:r>
              <w:rPr>
                <w:rFonts w:ascii="標楷體" w:eastAsia="標楷體" w:hAnsi="標楷體"/>
                <w:sz w:val="28"/>
                <w:szCs w:val="28"/>
              </w:rPr>
              <w:t>4</w:t>
            </w:r>
          </w:p>
        </w:tc>
        <w:tc>
          <w:tcPr>
            <w:tcW w:w="3118" w:type="dxa"/>
            <w:gridSpan w:val="2"/>
            <w:tcBorders>
              <w:top w:val="single" w:sz="4" w:space="0" w:color="auto"/>
              <w:left w:val="single" w:sz="4" w:space="0" w:color="auto"/>
              <w:bottom w:val="single" w:sz="4" w:space="0" w:color="auto"/>
              <w:right w:val="single" w:sz="4" w:space="0" w:color="auto"/>
            </w:tcBorders>
          </w:tcPr>
          <w:p w14:paraId="54CC12DF" w14:textId="3EE8C960" w:rsidR="00011B94" w:rsidRPr="000D5992" w:rsidRDefault="00011B94" w:rsidP="00011B94">
            <w:pPr>
              <w:spacing w:line="400" w:lineRule="exact"/>
              <w:jc w:val="both"/>
              <w:rPr>
                <w:rFonts w:ascii="標楷體" w:eastAsia="標楷體" w:hAnsi="標楷體"/>
                <w:sz w:val="28"/>
                <w:szCs w:val="28"/>
              </w:rPr>
            </w:pPr>
            <w:r w:rsidRPr="000D5992">
              <w:rPr>
                <w:rFonts w:ascii="標楷體" w:eastAsia="標楷體" w:hAnsi="標楷體" w:hint="eastAsia"/>
                <w:sz w:val="28"/>
                <w:szCs w:val="28"/>
              </w:rPr>
              <w:t>其他</w:t>
            </w:r>
          </w:p>
        </w:tc>
        <w:tc>
          <w:tcPr>
            <w:tcW w:w="4253" w:type="dxa"/>
            <w:tcBorders>
              <w:top w:val="single" w:sz="4" w:space="0" w:color="auto"/>
              <w:left w:val="single" w:sz="4" w:space="0" w:color="auto"/>
              <w:bottom w:val="single" w:sz="4" w:space="0" w:color="auto"/>
              <w:right w:val="single" w:sz="4" w:space="0" w:color="auto"/>
            </w:tcBorders>
          </w:tcPr>
          <w:p w14:paraId="33FCE9AD" w14:textId="0276814C" w:rsidR="00011B94" w:rsidRPr="004B5560" w:rsidRDefault="00011B94" w:rsidP="00011B94">
            <w:pPr>
              <w:spacing w:line="400" w:lineRule="exact"/>
              <w:jc w:val="both"/>
              <w:rPr>
                <w:rFonts w:ascii="標楷體" w:eastAsia="標楷體" w:hAnsi="標楷體"/>
                <w:sz w:val="28"/>
                <w:szCs w:val="28"/>
              </w:rPr>
            </w:pPr>
            <w:r w:rsidRPr="004B5560">
              <w:rPr>
                <w:rFonts w:ascii="標楷體" w:eastAsia="標楷體" w:hAnsi="標楷體" w:hint="eastAsia"/>
                <w:sz w:val="28"/>
                <w:szCs w:val="28"/>
              </w:rPr>
              <w:t>各訓練機構就本身專業提升公司治理、相關案例分析</w:t>
            </w:r>
            <w:r w:rsidR="004F7A09" w:rsidRPr="004B5560">
              <w:rPr>
                <w:rFonts w:ascii="標楷體" w:eastAsia="標楷體" w:hAnsi="標楷體" w:hint="eastAsia"/>
                <w:sz w:val="28"/>
                <w:szCs w:val="28"/>
              </w:rPr>
              <w:t>、</w:t>
            </w:r>
            <w:r w:rsidR="00882699" w:rsidRPr="004B5560">
              <w:rPr>
                <w:rFonts w:ascii="標楷體" w:eastAsia="標楷體" w:hAnsi="標楷體" w:hint="eastAsia"/>
                <w:sz w:val="28"/>
                <w:szCs w:val="28"/>
              </w:rPr>
              <w:t>E</w:t>
            </w:r>
            <w:r w:rsidR="00882699" w:rsidRPr="004B5560">
              <w:rPr>
                <w:rFonts w:ascii="標楷體" w:eastAsia="標楷體" w:hAnsi="標楷體"/>
                <w:sz w:val="28"/>
                <w:szCs w:val="28"/>
              </w:rPr>
              <w:t>SG</w:t>
            </w:r>
            <w:r w:rsidR="00882699" w:rsidRPr="004B5560">
              <w:rPr>
                <w:rFonts w:ascii="標楷體" w:eastAsia="標楷體" w:hAnsi="標楷體" w:hint="eastAsia"/>
                <w:sz w:val="28"/>
                <w:szCs w:val="28"/>
              </w:rPr>
              <w:t>議題</w:t>
            </w:r>
            <w:r w:rsidR="008A2912" w:rsidRPr="004B5560">
              <w:rPr>
                <w:rFonts w:ascii="標楷體" w:eastAsia="標楷體" w:hAnsi="標楷體" w:hint="eastAsia"/>
                <w:sz w:val="28"/>
                <w:szCs w:val="28"/>
              </w:rPr>
              <w:t>等</w:t>
            </w:r>
          </w:p>
        </w:tc>
      </w:tr>
    </w:tbl>
    <w:p w14:paraId="00F30CFF" w14:textId="1CE4D491" w:rsidR="00A0121D" w:rsidRPr="00E81AF9" w:rsidRDefault="00A0121D" w:rsidP="00E81AF9">
      <w:pPr>
        <w:spacing w:afterLines="50" w:after="180" w:line="320" w:lineRule="exact"/>
        <w:ind w:leftChars="1" w:left="446" w:hangingChars="202" w:hanging="444"/>
        <w:rPr>
          <w:rFonts w:ascii="標楷體" w:eastAsia="標楷體" w:hAnsi="標楷體"/>
          <w:sz w:val="22"/>
        </w:rPr>
      </w:pPr>
    </w:p>
    <w:p w14:paraId="5F33D28C" w14:textId="5F2AA4BA" w:rsidR="007E56C4" w:rsidRDefault="007E56C4" w:rsidP="007E56C4">
      <w:pPr>
        <w:spacing w:line="400" w:lineRule="exact"/>
        <w:jc w:val="both"/>
        <w:rPr>
          <w:rFonts w:ascii="標楷體" w:eastAsia="標楷體" w:hAnsi="標楷體"/>
          <w:b/>
          <w:bCs/>
          <w:sz w:val="28"/>
          <w:szCs w:val="28"/>
        </w:rPr>
      </w:pPr>
      <w:r w:rsidRPr="00E9753E">
        <w:rPr>
          <w:rFonts w:ascii="標楷體" w:eastAsia="標楷體" w:hAnsi="標楷體"/>
          <w:b/>
          <w:bCs/>
          <w:sz w:val="28"/>
          <w:szCs w:val="28"/>
        </w:rPr>
        <w:t>第</w:t>
      </w:r>
      <w:r>
        <w:rPr>
          <w:rFonts w:ascii="標楷體" w:eastAsia="標楷體" w:hAnsi="標楷體" w:hint="eastAsia"/>
          <w:b/>
          <w:bCs/>
          <w:sz w:val="28"/>
          <w:szCs w:val="28"/>
        </w:rPr>
        <w:t>八</w:t>
      </w:r>
      <w:r w:rsidRPr="00E9753E">
        <w:rPr>
          <w:rFonts w:ascii="標楷體" w:eastAsia="標楷體" w:hAnsi="標楷體"/>
          <w:b/>
          <w:bCs/>
          <w:sz w:val="28"/>
          <w:szCs w:val="28"/>
        </w:rPr>
        <w:t>條(</w:t>
      </w:r>
      <w:bookmarkStart w:id="0" w:name="_Hlk109832443"/>
      <w:r w:rsidR="00D33299" w:rsidRPr="00D33299">
        <w:rPr>
          <w:rFonts w:ascii="Arial" w:eastAsia="標楷體" w:hAnsi="Arial" w:cs="Arial" w:hint="eastAsia"/>
          <w:b/>
          <w:sz w:val="28"/>
          <w:szCs w:val="28"/>
        </w:rPr>
        <w:t>施行程序</w:t>
      </w:r>
      <w:bookmarkEnd w:id="0"/>
      <w:r w:rsidRPr="00E9753E">
        <w:rPr>
          <w:rFonts w:ascii="標楷體" w:eastAsia="標楷體" w:hAnsi="標楷體"/>
          <w:b/>
          <w:bCs/>
          <w:sz w:val="28"/>
          <w:szCs w:val="28"/>
        </w:rPr>
        <w:t>)</w:t>
      </w:r>
    </w:p>
    <w:p w14:paraId="11BB72E7" w14:textId="0816E1C3" w:rsidR="007E56C4" w:rsidRPr="00C11641" w:rsidRDefault="00C11641" w:rsidP="00E81AF9">
      <w:pPr>
        <w:spacing w:line="400" w:lineRule="exact"/>
        <w:jc w:val="both"/>
        <w:rPr>
          <w:rFonts w:ascii="標楷體" w:eastAsia="標楷體" w:hAnsi="標楷體"/>
          <w:sz w:val="32"/>
          <w:szCs w:val="32"/>
        </w:rPr>
      </w:pPr>
      <w:r w:rsidRPr="00C11641">
        <w:rPr>
          <w:rFonts w:ascii="標楷體" w:eastAsia="標楷體" w:hAnsi="標楷體" w:hint="eastAsia"/>
          <w:sz w:val="28"/>
          <w:szCs w:val="24"/>
        </w:rPr>
        <w:t>本規則經本公會理事會通過並陳報目的事業主管機關備查後公告施行；修正時亦同。</w:t>
      </w:r>
    </w:p>
    <w:sectPr w:rsidR="007E56C4" w:rsidRPr="00C11641" w:rsidSect="00A74055">
      <w:footerReference w:type="default" r:id="rId12"/>
      <w:pgSz w:w="11906" w:h="16838"/>
      <w:pgMar w:top="1276" w:right="1800" w:bottom="1440" w:left="1800"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F5CB" w14:textId="77777777" w:rsidR="008B0226" w:rsidRDefault="008B0226" w:rsidP="0054103F">
      <w:r>
        <w:separator/>
      </w:r>
    </w:p>
  </w:endnote>
  <w:endnote w:type="continuationSeparator" w:id="0">
    <w:p w14:paraId="0C7623EC" w14:textId="77777777" w:rsidR="008B0226" w:rsidRDefault="008B0226" w:rsidP="0054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5458"/>
      <w:docPartObj>
        <w:docPartGallery w:val="Page Numbers (Bottom of Page)"/>
        <w:docPartUnique/>
      </w:docPartObj>
    </w:sdtPr>
    <w:sdtContent>
      <w:p w14:paraId="1BAAF2D7" w14:textId="5A68CC71" w:rsidR="00A74055" w:rsidRDefault="00A74055">
        <w:pPr>
          <w:pStyle w:val="a8"/>
          <w:jc w:val="center"/>
        </w:pPr>
        <w:r>
          <w:fldChar w:fldCharType="begin"/>
        </w:r>
        <w:r>
          <w:instrText>PAGE   \* MERGEFORMAT</w:instrText>
        </w:r>
        <w:r>
          <w:fldChar w:fldCharType="separate"/>
        </w:r>
        <w:r>
          <w:rPr>
            <w:lang w:val="zh-TW"/>
          </w:rPr>
          <w:t>2</w:t>
        </w:r>
        <w:r>
          <w:fldChar w:fldCharType="end"/>
        </w:r>
      </w:p>
    </w:sdtContent>
  </w:sdt>
  <w:p w14:paraId="25369DD6" w14:textId="77777777" w:rsidR="00A74055" w:rsidRDefault="00A740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71CD" w14:textId="77777777" w:rsidR="008B0226" w:rsidRDefault="008B0226" w:rsidP="0054103F">
      <w:r>
        <w:separator/>
      </w:r>
    </w:p>
  </w:footnote>
  <w:footnote w:type="continuationSeparator" w:id="0">
    <w:p w14:paraId="6233D22D" w14:textId="77777777" w:rsidR="008B0226" w:rsidRDefault="008B0226" w:rsidP="0054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CBC"/>
    <w:multiLevelType w:val="hybridMultilevel"/>
    <w:tmpl w:val="949EDB4A"/>
    <w:lvl w:ilvl="0" w:tplc="D3EED5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BE511FC"/>
    <w:multiLevelType w:val="hybridMultilevel"/>
    <w:tmpl w:val="948C4EEC"/>
    <w:lvl w:ilvl="0" w:tplc="F508CBB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66CFE"/>
    <w:multiLevelType w:val="hybridMultilevel"/>
    <w:tmpl w:val="5C720BD8"/>
    <w:lvl w:ilvl="0" w:tplc="D43A429E">
      <w:start w:val="1"/>
      <w:numFmt w:val="taiwaneseCountingThousand"/>
      <w:lvlText w:val="%1、"/>
      <w:lvlJc w:val="left"/>
      <w:pPr>
        <w:ind w:left="906" w:hanging="480"/>
      </w:pPr>
      <w:rPr>
        <w:rFonts w:ascii="標楷體" w:eastAsia="標楷體" w:hAnsi="標楷體"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2ED38D6"/>
    <w:multiLevelType w:val="multilevel"/>
    <w:tmpl w:val="E8F6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1ADA"/>
    <w:multiLevelType w:val="hybridMultilevel"/>
    <w:tmpl w:val="BF9C5974"/>
    <w:lvl w:ilvl="0" w:tplc="C0225E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C20C36"/>
    <w:multiLevelType w:val="hybridMultilevel"/>
    <w:tmpl w:val="6A0EF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EC16E4"/>
    <w:multiLevelType w:val="hybridMultilevel"/>
    <w:tmpl w:val="949EDB4A"/>
    <w:lvl w:ilvl="0" w:tplc="D3EED5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F2D3D50"/>
    <w:multiLevelType w:val="multilevel"/>
    <w:tmpl w:val="C80A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852E5"/>
    <w:multiLevelType w:val="hybridMultilevel"/>
    <w:tmpl w:val="DEECA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AB1F0D"/>
    <w:multiLevelType w:val="multilevel"/>
    <w:tmpl w:val="C760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D0BB3"/>
    <w:multiLevelType w:val="hybridMultilevel"/>
    <w:tmpl w:val="EE524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436410"/>
    <w:multiLevelType w:val="hybridMultilevel"/>
    <w:tmpl w:val="2698DA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294920"/>
    <w:multiLevelType w:val="hybridMultilevel"/>
    <w:tmpl w:val="E7683592"/>
    <w:lvl w:ilvl="0" w:tplc="77E624CC">
      <w:start w:val="1"/>
      <w:numFmt w:val="taiwaneseCountingThousand"/>
      <w:lvlText w:val="%1、"/>
      <w:lvlJc w:val="left"/>
      <w:pPr>
        <w:ind w:left="720" w:hanging="72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70974"/>
    <w:multiLevelType w:val="hybridMultilevel"/>
    <w:tmpl w:val="C17678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B4858C5"/>
    <w:multiLevelType w:val="hybridMultilevel"/>
    <w:tmpl w:val="A96ADE40"/>
    <w:lvl w:ilvl="0" w:tplc="EA4E5C40">
      <w:start w:val="1"/>
      <w:numFmt w:val="decimal"/>
      <w:lvlText w:val="%1."/>
      <w:lvlJc w:val="left"/>
      <w:pPr>
        <w:tabs>
          <w:tab w:val="num" w:pos="360"/>
        </w:tabs>
        <w:ind w:left="360" w:hanging="360"/>
      </w:pPr>
      <w:rPr>
        <w:rFonts w:ascii="Times New Roman" w:hAnsi="Times New Roman" w:cs="Times New Roman" w:hint="default"/>
      </w:rPr>
    </w:lvl>
    <w:lvl w:ilvl="1" w:tplc="872ADD36">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9623B71"/>
    <w:multiLevelType w:val="hybridMultilevel"/>
    <w:tmpl w:val="3192F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E604236"/>
    <w:multiLevelType w:val="multilevel"/>
    <w:tmpl w:val="A25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E4281"/>
    <w:multiLevelType w:val="multilevel"/>
    <w:tmpl w:val="46D2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F500F"/>
    <w:multiLevelType w:val="hybridMultilevel"/>
    <w:tmpl w:val="0B60BD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AF2912"/>
    <w:multiLevelType w:val="hybridMultilevel"/>
    <w:tmpl w:val="3DF080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6BE36C3"/>
    <w:multiLevelType w:val="hybridMultilevel"/>
    <w:tmpl w:val="F3A243B8"/>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77FE271A"/>
    <w:multiLevelType w:val="hybridMultilevel"/>
    <w:tmpl w:val="0EBE013A"/>
    <w:lvl w:ilvl="0" w:tplc="C0225E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3D3516"/>
    <w:multiLevelType w:val="multilevel"/>
    <w:tmpl w:val="BC0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474167">
    <w:abstractNumId w:val="3"/>
  </w:num>
  <w:num w:numId="2" w16cid:durableId="1302348117">
    <w:abstractNumId w:val="16"/>
  </w:num>
  <w:num w:numId="3" w16cid:durableId="540290961">
    <w:abstractNumId w:val="17"/>
  </w:num>
  <w:num w:numId="4" w16cid:durableId="550505947">
    <w:abstractNumId w:val="22"/>
  </w:num>
  <w:num w:numId="5" w16cid:durableId="1071466456">
    <w:abstractNumId w:val="9"/>
  </w:num>
  <w:num w:numId="6" w16cid:durableId="1694501056">
    <w:abstractNumId w:val="7"/>
  </w:num>
  <w:num w:numId="7" w16cid:durableId="975723368">
    <w:abstractNumId w:val="15"/>
  </w:num>
  <w:num w:numId="8" w16cid:durableId="1234122474">
    <w:abstractNumId w:val="13"/>
  </w:num>
  <w:num w:numId="9" w16cid:durableId="818839108">
    <w:abstractNumId w:val="11"/>
  </w:num>
  <w:num w:numId="10" w16cid:durableId="385614153">
    <w:abstractNumId w:val="10"/>
  </w:num>
  <w:num w:numId="11" w16cid:durableId="606733704">
    <w:abstractNumId w:val="19"/>
  </w:num>
  <w:num w:numId="12" w16cid:durableId="1264606332">
    <w:abstractNumId w:val="18"/>
  </w:num>
  <w:num w:numId="13" w16cid:durableId="1944650853">
    <w:abstractNumId w:val="5"/>
  </w:num>
  <w:num w:numId="14" w16cid:durableId="2096785577">
    <w:abstractNumId w:val="8"/>
  </w:num>
  <w:num w:numId="15" w16cid:durableId="1385056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1213917">
    <w:abstractNumId w:val="6"/>
  </w:num>
  <w:num w:numId="17" w16cid:durableId="634409957">
    <w:abstractNumId w:val="4"/>
  </w:num>
  <w:num w:numId="18" w16cid:durableId="771516774">
    <w:abstractNumId w:val="0"/>
  </w:num>
  <w:num w:numId="19" w16cid:durableId="1033506312">
    <w:abstractNumId w:val="21"/>
  </w:num>
  <w:num w:numId="20" w16cid:durableId="746994058">
    <w:abstractNumId w:val="12"/>
  </w:num>
  <w:num w:numId="21" w16cid:durableId="598369632">
    <w:abstractNumId w:val="2"/>
  </w:num>
  <w:num w:numId="22" w16cid:durableId="976111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9845328">
    <w:abstractNumId w:val="1"/>
  </w:num>
  <w:num w:numId="24" w16cid:durableId="1890778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AB"/>
    <w:rsid w:val="00002BCE"/>
    <w:rsid w:val="00005398"/>
    <w:rsid w:val="000069D6"/>
    <w:rsid w:val="0000740D"/>
    <w:rsid w:val="00011B94"/>
    <w:rsid w:val="00012CAC"/>
    <w:rsid w:val="00013274"/>
    <w:rsid w:val="00013C0E"/>
    <w:rsid w:val="00026448"/>
    <w:rsid w:val="00027B84"/>
    <w:rsid w:val="00033375"/>
    <w:rsid w:val="0003599F"/>
    <w:rsid w:val="000378EA"/>
    <w:rsid w:val="000418FC"/>
    <w:rsid w:val="00041C9C"/>
    <w:rsid w:val="0005004C"/>
    <w:rsid w:val="00060984"/>
    <w:rsid w:val="00063524"/>
    <w:rsid w:val="00063BAE"/>
    <w:rsid w:val="00072EC3"/>
    <w:rsid w:val="00076DAB"/>
    <w:rsid w:val="00081419"/>
    <w:rsid w:val="00092865"/>
    <w:rsid w:val="000945EE"/>
    <w:rsid w:val="00097CCB"/>
    <w:rsid w:val="00097F14"/>
    <w:rsid w:val="000A2F27"/>
    <w:rsid w:val="000A62C1"/>
    <w:rsid w:val="000B2F67"/>
    <w:rsid w:val="000B574E"/>
    <w:rsid w:val="000B6B6A"/>
    <w:rsid w:val="000B7058"/>
    <w:rsid w:val="000C0AF6"/>
    <w:rsid w:val="000C1EFF"/>
    <w:rsid w:val="000C2AEE"/>
    <w:rsid w:val="000D1131"/>
    <w:rsid w:val="000D2DEA"/>
    <w:rsid w:val="000D304B"/>
    <w:rsid w:val="000D3F83"/>
    <w:rsid w:val="000D5992"/>
    <w:rsid w:val="000D5BE9"/>
    <w:rsid w:val="000E4B42"/>
    <w:rsid w:val="000F585C"/>
    <w:rsid w:val="00100037"/>
    <w:rsid w:val="0010010C"/>
    <w:rsid w:val="001020FC"/>
    <w:rsid w:val="001116FC"/>
    <w:rsid w:val="00112B1A"/>
    <w:rsid w:val="00120809"/>
    <w:rsid w:val="001226A4"/>
    <w:rsid w:val="00131A76"/>
    <w:rsid w:val="00134B70"/>
    <w:rsid w:val="00141A4F"/>
    <w:rsid w:val="00145BD9"/>
    <w:rsid w:val="00150099"/>
    <w:rsid w:val="00157A1C"/>
    <w:rsid w:val="0016164D"/>
    <w:rsid w:val="0016552E"/>
    <w:rsid w:val="00171341"/>
    <w:rsid w:val="00171ACC"/>
    <w:rsid w:val="00181924"/>
    <w:rsid w:val="00195907"/>
    <w:rsid w:val="00197BCC"/>
    <w:rsid w:val="001A1959"/>
    <w:rsid w:val="001A2CB6"/>
    <w:rsid w:val="001A7A7A"/>
    <w:rsid w:val="001B190B"/>
    <w:rsid w:val="001B4778"/>
    <w:rsid w:val="001B695A"/>
    <w:rsid w:val="001B7B9F"/>
    <w:rsid w:val="001B7DA1"/>
    <w:rsid w:val="001C057E"/>
    <w:rsid w:val="001E61B5"/>
    <w:rsid w:val="001E6D66"/>
    <w:rsid w:val="001E74E7"/>
    <w:rsid w:val="002062A5"/>
    <w:rsid w:val="002115A9"/>
    <w:rsid w:val="00212659"/>
    <w:rsid w:val="00213831"/>
    <w:rsid w:val="00214292"/>
    <w:rsid w:val="0021654D"/>
    <w:rsid w:val="00216C8E"/>
    <w:rsid w:val="00226C83"/>
    <w:rsid w:val="002321BB"/>
    <w:rsid w:val="002376BC"/>
    <w:rsid w:val="00240148"/>
    <w:rsid w:val="002425B9"/>
    <w:rsid w:val="002426B2"/>
    <w:rsid w:val="00242E99"/>
    <w:rsid w:val="00245032"/>
    <w:rsid w:val="002460A0"/>
    <w:rsid w:val="00250668"/>
    <w:rsid w:val="0025110B"/>
    <w:rsid w:val="00265074"/>
    <w:rsid w:val="002733BA"/>
    <w:rsid w:val="00273B4B"/>
    <w:rsid w:val="00274458"/>
    <w:rsid w:val="002747AE"/>
    <w:rsid w:val="00275C25"/>
    <w:rsid w:val="00277852"/>
    <w:rsid w:val="002922E3"/>
    <w:rsid w:val="00292E07"/>
    <w:rsid w:val="002A0279"/>
    <w:rsid w:val="002A12F5"/>
    <w:rsid w:val="002A5D0E"/>
    <w:rsid w:val="002B46F7"/>
    <w:rsid w:val="002B6DD0"/>
    <w:rsid w:val="002C0C64"/>
    <w:rsid w:val="002C76C8"/>
    <w:rsid w:val="002D124B"/>
    <w:rsid w:val="002D1A89"/>
    <w:rsid w:val="002E04AB"/>
    <w:rsid w:val="002E5FC9"/>
    <w:rsid w:val="002E6C3D"/>
    <w:rsid w:val="002F2006"/>
    <w:rsid w:val="002F5241"/>
    <w:rsid w:val="002F7B21"/>
    <w:rsid w:val="00302025"/>
    <w:rsid w:val="00306371"/>
    <w:rsid w:val="003102CF"/>
    <w:rsid w:val="00322074"/>
    <w:rsid w:val="00322B09"/>
    <w:rsid w:val="00325D2F"/>
    <w:rsid w:val="00340D72"/>
    <w:rsid w:val="0034108F"/>
    <w:rsid w:val="003410F4"/>
    <w:rsid w:val="00341F0B"/>
    <w:rsid w:val="0034367D"/>
    <w:rsid w:val="003511B1"/>
    <w:rsid w:val="00352A0C"/>
    <w:rsid w:val="0035517B"/>
    <w:rsid w:val="00356ED4"/>
    <w:rsid w:val="0036023D"/>
    <w:rsid w:val="0036029A"/>
    <w:rsid w:val="00360661"/>
    <w:rsid w:val="0036069C"/>
    <w:rsid w:val="003631D3"/>
    <w:rsid w:val="00366C3D"/>
    <w:rsid w:val="0037625E"/>
    <w:rsid w:val="00380F4C"/>
    <w:rsid w:val="00382FD6"/>
    <w:rsid w:val="00391B65"/>
    <w:rsid w:val="003925BA"/>
    <w:rsid w:val="00395B05"/>
    <w:rsid w:val="003A27B0"/>
    <w:rsid w:val="003A7546"/>
    <w:rsid w:val="003B7CB3"/>
    <w:rsid w:val="003C34B9"/>
    <w:rsid w:val="003C41E9"/>
    <w:rsid w:val="003C6659"/>
    <w:rsid w:val="003D230B"/>
    <w:rsid w:val="003D2FB0"/>
    <w:rsid w:val="003D3C1C"/>
    <w:rsid w:val="003D5C6C"/>
    <w:rsid w:val="003D6445"/>
    <w:rsid w:val="003E238E"/>
    <w:rsid w:val="003E2E20"/>
    <w:rsid w:val="003E46D8"/>
    <w:rsid w:val="003E6B6D"/>
    <w:rsid w:val="003E7AE6"/>
    <w:rsid w:val="003E7CB1"/>
    <w:rsid w:val="003F5E26"/>
    <w:rsid w:val="004017E3"/>
    <w:rsid w:val="00404C73"/>
    <w:rsid w:val="00411FC5"/>
    <w:rsid w:val="00420CD9"/>
    <w:rsid w:val="004220AD"/>
    <w:rsid w:val="00432DAF"/>
    <w:rsid w:val="004346B5"/>
    <w:rsid w:val="004361C5"/>
    <w:rsid w:val="004417A5"/>
    <w:rsid w:val="00446540"/>
    <w:rsid w:val="00456F7A"/>
    <w:rsid w:val="00461124"/>
    <w:rsid w:val="004667D3"/>
    <w:rsid w:val="004719FC"/>
    <w:rsid w:val="0047449A"/>
    <w:rsid w:val="004769D2"/>
    <w:rsid w:val="004770C6"/>
    <w:rsid w:val="00483876"/>
    <w:rsid w:val="0049387D"/>
    <w:rsid w:val="00495FE7"/>
    <w:rsid w:val="004A260F"/>
    <w:rsid w:val="004A6293"/>
    <w:rsid w:val="004A77A6"/>
    <w:rsid w:val="004A7AE3"/>
    <w:rsid w:val="004B3419"/>
    <w:rsid w:val="004B3CDA"/>
    <w:rsid w:val="004B5560"/>
    <w:rsid w:val="004B771E"/>
    <w:rsid w:val="004C6DE8"/>
    <w:rsid w:val="004C7ECE"/>
    <w:rsid w:val="004D610E"/>
    <w:rsid w:val="004D65A8"/>
    <w:rsid w:val="004E16D3"/>
    <w:rsid w:val="004E1B6A"/>
    <w:rsid w:val="004E2373"/>
    <w:rsid w:val="004F56E7"/>
    <w:rsid w:val="004F7A09"/>
    <w:rsid w:val="005103F2"/>
    <w:rsid w:val="00510A44"/>
    <w:rsid w:val="00513AC4"/>
    <w:rsid w:val="005156BF"/>
    <w:rsid w:val="00515897"/>
    <w:rsid w:val="0052271A"/>
    <w:rsid w:val="00524FD9"/>
    <w:rsid w:val="00532305"/>
    <w:rsid w:val="005339B1"/>
    <w:rsid w:val="0054103F"/>
    <w:rsid w:val="00543062"/>
    <w:rsid w:val="00547E41"/>
    <w:rsid w:val="005531BB"/>
    <w:rsid w:val="00556790"/>
    <w:rsid w:val="00556A36"/>
    <w:rsid w:val="00571016"/>
    <w:rsid w:val="005717FD"/>
    <w:rsid w:val="00571B02"/>
    <w:rsid w:val="00577CA9"/>
    <w:rsid w:val="00581170"/>
    <w:rsid w:val="005825D6"/>
    <w:rsid w:val="00583454"/>
    <w:rsid w:val="005836B1"/>
    <w:rsid w:val="00591E0E"/>
    <w:rsid w:val="0059659D"/>
    <w:rsid w:val="005A4885"/>
    <w:rsid w:val="005A5F27"/>
    <w:rsid w:val="005D4DBC"/>
    <w:rsid w:val="005D640E"/>
    <w:rsid w:val="005D7BC5"/>
    <w:rsid w:val="005E2C96"/>
    <w:rsid w:val="005E55DB"/>
    <w:rsid w:val="005E6DD1"/>
    <w:rsid w:val="005E6F4C"/>
    <w:rsid w:val="00602EB2"/>
    <w:rsid w:val="00611477"/>
    <w:rsid w:val="00611961"/>
    <w:rsid w:val="00617281"/>
    <w:rsid w:val="00622341"/>
    <w:rsid w:val="0062261F"/>
    <w:rsid w:val="00632B4F"/>
    <w:rsid w:val="006367DA"/>
    <w:rsid w:val="00636F87"/>
    <w:rsid w:val="00637B1E"/>
    <w:rsid w:val="00640DC2"/>
    <w:rsid w:val="00642FD0"/>
    <w:rsid w:val="00651E71"/>
    <w:rsid w:val="00652E6D"/>
    <w:rsid w:val="00653957"/>
    <w:rsid w:val="006555F6"/>
    <w:rsid w:val="00655A0B"/>
    <w:rsid w:val="0065603F"/>
    <w:rsid w:val="006613CD"/>
    <w:rsid w:val="00665155"/>
    <w:rsid w:val="00665C7A"/>
    <w:rsid w:val="0066699B"/>
    <w:rsid w:val="006725B7"/>
    <w:rsid w:val="006733D0"/>
    <w:rsid w:val="00687ABC"/>
    <w:rsid w:val="00690510"/>
    <w:rsid w:val="006930C4"/>
    <w:rsid w:val="00695A2E"/>
    <w:rsid w:val="00696957"/>
    <w:rsid w:val="00697D4A"/>
    <w:rsid w:val="006A0BC4"/>
    <w:rsid w:val="006A5928"/>
    <w:rsid w:val="006B27EB"/>
    <w:rsid w:val="006B3564"/>
    <w:rsid w:val="006B6905"/>
    <w:rsid w:val="006C0144"/>
    <w:rsid w:val="006C63A7"/>
    <w:rsid w:val="006D2804"/>
    <w:rsid w:val="006E068D"/>
    <w:rsid w:val="006E201F"/>
    <w:rsid w:val="006F0DC5"/>
    <w:rsid w:val="006F28DA"/>
    <w:rsid w:val="006F7A67"/>
    <w:rsid w:val="007011D1"/>
    <w:rsid w:val="00701A72"/>
    <w:rsid w:val="00703023"/>
    <w:rsid w:val="0070705E"/>
    <w:rsid w:val="007179A1"/>
    <w:rsid w:val="0072205D"/>
    <w:rsid w:val="007224EB"/>
    <w:rsid w:val="00723BD2"/>
    <w:rsid w:val="00726FDD"/>
    <w:rsid w:val="00727D6C"/>
    <w:rsid w:val="007401CA"/>
    <w:rsid w:val="00744C41"/>
    <w:rsid w:val="007601D1"/>
    <w:rsid w:val="0076187E"/>
    <w:rsid w:val="00766EFB"/>
    <w:rsid w:val="00766F22"/>
    <w:rsid w:val="00767348"/>
    <w:rsid w:val="007673BE"/>
    <w:rsid w:val="0077320B"/>
    <w:rsid w:val="007760C7"/>
    <w:rsid w:val="0078033C"/>
    <w:rsid w:val="00787F1B"/>
    <w:rsid w:val="00795C89"/>
    <w:rsid w:val="007A3330"/>
    <w:rsid w:val="007A3EFE"/>
    <w:rsid w:val="007B0B7F"/>
    <w:rsid w:val="007B465F"/>
    <w:rsid w:val="007B6896"/>
    <w:rsid w:val="007C7748"/>
    <w:rsid w:val="007C7A92"/>
    <w:rsid w:val="007D0718"/>
    <w:rsid w:val="007D17F4"/>
    <w:rsid w:val="007D31D1"/>
    <w:rsid w:val="007D5D21"/>
    <w:rsid w:val="007E34C6"/>
    <w:rsid w:val="007E45C9"/>
    <w:rsid w:val="007E56C4"/>
    <w:rsid w:val="007F4127"/>
    <w:rsid w:val="00802F6E"/>
    <w:rsid w:val="00803803"/>
    <w:rsid w:val="00807C29"/>
    <w:rsid w:val="0081685A"/>
    <w:rsid w:val="00824551"/>
    <w:rsid w:val="00837C68"/>
    <w:rsid w:val="0084233F"/>
    <w:rsid w:val="008444D6"/>
    <w:rsid w:val="00844A97"/>
    <w:rsid w:val="00854538"/>
    <w:rsid w:val="00865AE6"/>
    <w:rsid w:val="00870145"/>
    <w:rsid w:val="008705DE"/>
    <w:rsid w:val="008706E3"/>
    <w:rsid w:val="0087433F"/>
    <w:rsid w:val="00875044"/>
    <w:rsid w:val="00882699"/>
    <w:rsid w:val="00890841"/>
    <w:rsid w:val="00892B2B"/>
    <w:rsid w:val="00895C36"/>
    <w:rsid w:val="008A0A35"/>
    <w:rsid w:val="008A2912"/>
    <w:rsid w:val="008A309A"/>
    <w:rsid w:val="008A4DB3"/>
    <w:rsid w:val="008B0226"/>
    <w:rsid w:val="008B0DA3"/>
    <w:rsid w:val="008B1F49"/>
    <w:rsid w:val="008B24A5"/>
    <w:rsid w:val="008B3492"/>
    <w:rsid w:val="008C1251"/>
    <w:rsid w:val="008C5434"/>
    <w:rsid w:val="008C598D"/>
    <w:rsid w:val="008D1631"/>
    <w:rsid w:val="008E2662"/>
    <w:rsid w:val="008E40A7"/>
    <w:rsid w:val="008F0970"/>
    <w:rsid w:val="008F1C93"/>
    <w:rsid w:val="008F2868"/>
    <w:rsid w:val="009078A2"/>
    <w:rsid w:val="00907ECB"/>
    <w:rsid w:val="00914BB5"/>
    <w:rsid w:val="009162A9"/>
    <w:rsid w:val="00917946"/>
    <w:rsid w:val="009179E3"/>
    <w:rsid w:val="009253FC"/>
    <w:rsid w:val="009308B6"/>
    <w:rsid w:val="00940D94"/>
    <w:rsid w:val="009432FD"/>
    <w:rsid w:val="00946A60"/>
    <w:rsid w:val="00951E71"/>
    <w:rsid w:val="009565C8"/>
    <w:rsid w:val="00960097"/>
    <w:rsid w:val="00961FB8"/>
    <w:rsid w:val="009624D7"/>
    <w:rsid w:val="00971649"/>
    <w:rsid w:val="009754EA"/>
    <w:rsid w:val="00975F7B"/>
    <w:rsid w:val="00976200"/>
    <w:rsid w:val="0097718E"/>
    <w:rsid w:val="0098488C"/>
    <w:rsid w:val="00991C02"/>
    <w:rsid w:val="00995DF6"/>
    <w:rsid w:val="009A00B3"/>
    <w:rsid w:val="009A2525"/>
    <w:rsid w:val="009A282A"/>
    <w:rsid w:val="009B20E4"/>
    <w:rsid w:val="009B5BB2"/>
    <w:rsid w:val="009B7171"/>
    <w:rsid w:val="009C1BB6"/>
    <w:rsid w:val="009C6F11"/>
    <w:rsid w:val="009D1286"/>
    <w:rsid w:val="009D1363"/>
    <w:rsid w:val="009D290A"/>
    <w:rsid w:val="009E0D07"/>
    <w:rsid w:val="009E1346"/>
    <w:rsid w:val="009F471E"/>
    <w:rsid w:val="009F5066"/>
    <w:rsid w:val="009F72C1"/>
    <w:rsid w:val="00A00EA6"/>
    <w:rsid w:val="00A0121D"/>
    <w:rsid w:val="00A02AFF"/>
    <w:rsid w:val="00A07284"/>
    <w:rsid w:val="00A0738B"/>
    <w:rsid w:val="00A11E50"/>
    <w:rsid w:val="00A12482"/>
    <w:rsid w:val="00A12982"/>
    <w:rsid w:val="00A12F5C"/>
    <w:rsid w:val="00A13FEE"/>
    <w:rsid w:val="00A17056"/>
    <w:rsid w:val="00A1737A"/>
    <w:rsid w:val="00A2024D"/>
    <w:rsid w:val="00A2091E"/>
    <w:rsid w:val="00A20E92"/>
    <w:rsid w:val="00A22FF6"/>
    <w:rsid w:val="00A23A9F"/>
    <w:rsid w:val="00A256B6"/>
    <w:rsid w:val="00A3656A"/>
    <w:rsid w:val="00A43677"/>
    <w:rsid w:val="00A5297A"/>
    <w:rsid w:val="00A55C9B"/>
    <w:rsid w:val="00A56C0E"/>
    <w:rsid w:val="00A57FCF"/>
    <w:rsid w:val="00A63AA8"/>
    <w:rsid w:val="00A65099"/>
    <w:rsid w:val="00A74055"/>
    <w:rsid w:val="00A77B5A"/>
    <w:rsid w:val="00A84048"/>
    <w:rsid w:val="00A8524D"/>
    <w:rsid w:val="00A90689"/>
    <w:rsid w:val="00A914C5"/>
    <w:rsid w:val="00AA4752"/>
    <w:rsid w:val="00AB31BF"/>
    <w:rsid w:val="00AB5C0A"/>
    <w:rsid w:val="00AC2B1F"/>
    <w:rsid w:val="00AC6B74"/>
    <w:rsid w:val="00AD0A72"/>
    <w:rsid w:val="00AD2EAB"/>
    <w:rsid w:val="00AE03D3"/>
    <w:rsid w:val="00AE0A99"/>
    <w:rsid w:val="00AE1623"/>
    <w:rsid w:val="00AE35E3"/>
    <w:rsid w:val="00AE5F21"/>
    <w:rsid w:val="00AF1EE0"/>
    <w:rsid w:val="00AF450E"/>
    <w:rsid w:val="00AF4932"/>
    <w:rsid w:val="00AF7A07"/>
    <w:rsid w:val="00B00BF4"/>
    <w:rsid w:val="00B01453"/>
    <w:rsid w:val="00B0469E"/>
    <w:rsid w:val="00B10C4A"/>
    <w:rsid w:val="00B12063"/>
    <w:rsid w:val="00B173B0"/>
    <w:rsid w:val="00B22881"/>
    <w:rsid w:val="00B2736E"/>
    <w:rsid w:val="00B27D8C"/>
    <w:rsid w:val="00B357F7"/>
    <w:rsid w:val="00B36667"/>
    <w:rsid w:val="00B36EFF"/>
    <w:rsid w:val="00B40B5B"/>
    <w:rsid w:val="00B46AEE"/>
    <w:rsid w:val="00B50E67"/>
    <w:rsid w:val="00B52720"/>
    <w:rsid w:val="00B53A0B"/>
    <w:rsid w:val="00B57A06"/>
    <w:rsid w:val="00B6053D"/>
    <w:rsid w:val="00B64955"/>
    <w:rsid w:val="00B66A67"/>
    <w:rsid w:val="00B8114D"/>
    <w:rsid w:val="00B94880"/>
    <w:rsid w:val="00BA2B2E"/>
    <w:rsid w:val="00BA49EF"/>
    <w:rsid w:val="00BA6151"/>
    <w:rsid w:val="00BB39BC"/>
    <w:rsid w:val="00BB5CBB"/>
    <w:rsid w:val="00BB763B"/>
    <w:rsid w:val="00BB7E09"/>
    <w:rsid w:val="00BC0A36"/>
    <w:rsid w:val="00BC112D"/>
    <w:rsid w:val="00BC3FCE"/>
    <w:rsid w:val="00BC6168"/>
    <w:rsid w:val="00BD2B16"/>
    <w:rsid w:val="00BD61FD"/>
    <w:rsid w:val="00BF36B5"/>
    <w:rsid w:val="00BF4ABE"/>
    <w:rsid w:val="00C02B62"/>
    <w:rsid w:val="00C02E22"/>
    <w:rsid w:val="00C07CEA"/>
    <w:rsid w:val="00C10C47"/>
    <w:rsid w:val="00C11641"/>
    <w:rsid w:val="00C20FDF"/>
    <w:rsid w:val="00C22A93"/>
    <w:rsid w:val="00C2511B"/>
    <w:rsid w:val="00C26FE5"/>
    <w:rsid w:val="00C278DE"/>
    <w:rsid w:val="00C32131"/>
    <w:rsid w:val="00C33EC0"/>
    <w:rsid w:val="00C4717F"/>
    <w:rsid w:val="00C504FB"/>
    <w:rsid w:val="00C52459"/>
    <w:rsid w:val="00C5259F"/>
    <w:rsid w:val="00C529CC"/>
    <w:rsid w:val="00C5327B"/>
    <w:rsid w:val="00C53F0E"/>
    <w:rsid w:val="00C5405F"/>
    <w:rsid w:val="00C6123E"/>
    <w:rsid w:val="00C61CE5"/>
    <w:rsid w:val="00C67696"/>
    <w:rsid w:val="00C70472"/>
    <w:rsid w:val="00C71D10"/>
    <w:rsid w:val="00C726B5"/>
    <w:rsid w:val="00C74546"/>
    <w:rsid w:val="00C8078C"/>
    <w:rsid w:val="00C82F3F"/>
    <w:rsid w:val="00C84313"/>
    <w:rsid w:val="00C910DF"/>
    <w:rsid w:val="00C9167E"/>
    <w:rsid w:val="00C97F2B"/>
    <w:rsid w:val="00CA641D"/>
    <w:rsid w:val="00CA6A7F"/>
    <w:rsid w:val="00CB6D2D"/>
    <w:rsid w:val="00CC2D05"/>
    <w:rsid w:val="00CC630B"/>
    <w:rsid w:val="00CD3C6C"/>
    <w:rsid w:val="00CD517E"/>
    <w:rsid w:val="00CD5733"/>
    <w:rsid w:val="00CE2B90"/>
    <w:rsid w:val="00CF10E6"/>
    <w:rsid w:val="00CF7C98"/>
    <w:rsid w:val="00D00F43"/>
    <w:rsid w:val="00D061FA"/>
    <w:rsid w:val="00D14044"/>
    <w:rsid w:val="00D150CD"/>
    <w:rsid w:val="00D33299"/>
    <w:rsid w:val="00D35BC9"/>
    <w:rsid w:val="00D433C8"/>
    <w:rsid w:val="00D548EE"/>
    <w:rsid w:val="00D62C8B"/>
    <w:rsid w:val="00D63966"/>
    <w:rsid w:val="00D647D0"/>
    <w:rsid w:val="00D6740C"/>
    <w:rsid w:val="00D71554"/>
    <w:rsid w:val="00D75AD8"/>
    <w:rsid w:val="00D8474A"/>
    <w:rsid w:val="00D8558C"/>
    <w:rsid w:val="00D91ACF"/>
    <w:rsid w:val="00D9599E"/>
    <w:rsid w:val="00DA71E9"/>
    <w:rsid w:val="00DB7377"/>
    <w:rsid w:val="00DC06FB"/>
    <w:rsid w:val="00DC1C54"/>
    <w:rsid w:val="00DC41AC"/>
    <w:rsid w:val="00DC4A8E"/>
    <w:rsid w:val="00DC735A"/>
    <w:rsid w:val="00DC77BB"/>
    <w:rsid w:val="00DC7B63"/>
    <w:rsid w:val="00DD59BF"/>
    <w:rsid w:val="00DD6D86"/>
    <w:rsid w:val="00DD7937"/>
    <w:rsid w:val="00DE3E66"/>
    <w:rsid w:val="00DF0892"/>
    <w:rsid w:val="00DF0BBA"/>
    <w:rsid w:val="00DF79DE"/>
    <w:rsid w:val="00E01586"/>
    <w:rsid w:val="00E03059"/>
    <w:rsid w:val="00E04E98"/>
    <w:rsid w:val="00E0551D"/>
    <w:rsid w:val="00E05E69"/>
    <w:rsid w:val="00E074A3"/>
    <w:rsid w:val="00E124E2"/>
    <w:rsid w:val="00E3065D"/>
    <w:rsid w:val="00E31848"/>
    <w:rsid w:val="00E32F19"/>
    <w:rsid w:val="00E4009C"/>
    <w:rsid w:val="00E44390"/>
    <w:rsid w:val="00E53EFC"/>
    <w:rsid w:val="00E81AF9"/>
    <w:rsid w:val="00E8377A"/>
    <w:rsid w:val="00E92B4D"/>
    <w:rsid w:val="00E9330B"/>
    <w:rsid w:val="00E9577A"/>
    <w:rsid w:val="00E9753E"/>
    <w:rsid w:val="00EA4245"/>
    <w:rsid w:val="00EC6392"/>
    <w:rsid w:val="00EC74BE"/>
    <w:rsid w:val="00ED4E30"/>
    <w:rsid w:val="00EE02E8"/>
    <w:rsid w:val="00EE150E"/>
    <w:rsid w:val="00EF05CD"/>
    <w:rsid w:val="00EF284B"/>
    <w:rsid w:val="00EF3934"/>
    <w:rsid w:val="00EF6D48"/>
    <w:rsid w:val="00F008AA"/>
    <w:rsid w:val="00F02CE0"/>
    <w:rsid w:val="00F05F2B"/>
    <w:rsid w:val="00F06758"/>
    <w:rsid w:val="00F07C75"/>
    <w:rsid w:val="00F11A4C"/>
    <w:rsid w:val="00F125E6"/>
    <w:rsid w:val="00F21FBD"/>
    <w:rsid w:val="00F24DF6"/>
    <w:rsid w:val="00F31A07"/>
    <w:rsid w:val="00F33FA1"/>
    <w:rsid w:val="00F34421"/>
    <w:rsid w:val="00F351D9"/>
    <w:rsid w:val="00F4077C"/>
    <w:rsid w:val="00F42ADA"/>
    <w:rsid w:val="00F43146"/>
    <w:rsid w:val="00F55A42"/>
    <w:rsid w:val="00F57688"/>
    <w:rsid w:val="00F63BD2"/>
    <w:rsid w:val="00F65B07"/>
    <w:rsid w:val="00F65DB5"/>
    <w:rsid w:val="00F72476"/>
    <w:rsid w:val="00F764F1"/>
    <w:rsid w:val="00F841EB"/>
    <w:rsid w:val="00F87351"/>
    <w:rsid w:val="00F87F4D"/>
    <w:rsid w:val="00F907B4"/>
    <w:rsid w:val="00F93B7C"/>
    <w:rsid w:val="00FA1FEE"/>
    <w:rsid w:val="00FA2458"/>
    <w:rsid w:val="00FA61E5"/>
    <w:rsid w:val="00FB4F85"/>
    <w:rsid w:val="00FB5B8F"/>
    <w:rsid w:val="00FC0CF5"/>
    <w:rsid w:val="00FC1001"/>
    <w:rsid w:val="00FC1F48"/>
    <w:rsid w:val="00FC5493"/>
    <w:rsid w:val="00FD02B3"/>
    <w:rsid w:val="00FD5B86"/>
    <w:rsid w:val="00FE51B1"/>
    <w:rsid w:val="00FF1CF5"/>
    <w:rsid w:val="00FF5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83ED"/>
  <w15:chartTrackingRefBased/>
  <w15:docId w15:val="{A9316450-0A74-4547-B75D-94B59902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6D"/>
    <w:pPr>
      <w:widowControl w:val="0"/>
    </w:pPr>
    <w:rPr>
      <w:kern w:val="2"/>
      <w:sz w:val="24"/>
      <w:szCs w:val="22"/>
    </w:rPr>
  </w:style>
  <w:style w:type="paragraph" w:styleId="3">
    <w:name w:val="heading 3"/>
    <w:basedOn w:val="a"/>
    <w:link w:val="30"/>
    <w:uiPriority w:val="9"/>
    <w:qFormat/>
    <w:rsid w:val="00076DAB"/>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link w:val="40"/>
    <w:uiPriority w:val="9"/>
    <w:qFormat/>
    <w:rsid w:val="00076DAB"/>
    <w:pPr>
      <w:widowControl/>
      <w:spacing w:before="100" w:beforeAutospacing="1" w:after="100" w:afterAutospacing="1"/>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76DAB"/>
    <w:rPr>
      <w:rFonts w:ascii="新細明體" w:eastAsia="新細明體" w:hAnsi="新細明體" w:cs="新細明體"/>
      <w:b/>
      <w:bCs/>
      <w:kern w:val="0"/>
      <w:sz w:val="27"/>
      <w:szCs w:val="27"/>
    </w:rPr>
  </w:style>
  <w:style w:type="character" w:customStyle="1" w:styleId="40">
    <w:name w:val="標題 4 字元"/>
    <w:link w:val="4"/>
    <w:uiPriority w:val="9"/>
    <w:rsid w:val="00076DAB"/>
    <w:rPr>
      <w:rFonts w:ascii="新細明體" w:eastAsia="新細明體" w:hAnsi="新細明體" w:cs="新細明體"/>
      <w:b/>
      <w:bCs/>
      <w:kern w:val="0"/>
      <w:szCs w:val="24"/>
    </w:rPr>
  </w:style>
  <w:style w:type="paragraph" w:styleId="Web">
    <w:name w:val="Normal (Web)"/>
    <w:basedOn w:val="a"/>
    <w:uiPriority w:val="99"/>
    <w:semiHidden/>
    <w:unhideWhenUsed/>
    <w:rsid w:val="00076DAB"/>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34"/>
    <w:qFormat/>
    <w:rsid w:val="00432DAF"/>
    <w:pPr>
      <w:ind w:leftChars="200" w:left="480"/>
    </w:pPr>
  </w:style>
  <w:style w:type="paragraph" w:styleId="a4">
    <w:name w:val="No Spacing"/>
    <w:uiPriority w:val="1"/>
    <w:qFormat/>
    <w:rsid w:val="00F33FA1"/>
    <w:pPr>
      <w:widowControl w:val="0"/>
    </w:pPr>
    <w:rPr>
      <w:kern w:val="2"/>
      <w:sz w:val="24"/>
      <w:szCs w:val="22"/>
    </w:rPr>
  </w:style>
  <w:style w:type="character" w:styleId="a5">
    <w:name w:val="Hyperlink"/>
    <w:uiPriority w:val="99"/>
    <w:unhideWhenUsed/>
    <w:rsid w:val="00B173B0"/>
    <w:rPr>
      <w:color w:val="0000FF"/>
      <w:u w:val="single"/>
    </w:rPr>
  </w:style>
  <w:style w:type="paragraph" w:styleId="a6">
    <w:name w:val="header"/>
    <w:basedOn w:val="a"/>
    <w:link w:val="a7"/>
    <w:uiPriority w:val="99"/>
    <w:unhideWhenUsed/>
    <w:rsid w:val="0054103F"/>
    <w:pPr>
      <w:tabs>
        <w:tab w:val="center" w:pos="4153"/>
        <w:tab w:val="right" w:pos="8306"/>
      </w:tabs>
      <w:snapToGrid w:val="0"/>
    </w:pPr>
    <w:rPr>
      <w:sz w:val="20"/>
      <w:szCs w:val="20"/>
    </w:rPr>
  </w:style>
  <w:style w:type="character" w:customStyle="1" w:styleId="a7">
    <w:name w:val="頁首 字元"/>
    <w:link w:val="a6"/>
    <w:uiPriority w:val="99"/>
    <w:rsid w:val="0054103F"/>
    <w:rPr>
      <w:sz w:val="20"/>
      <w:szCs w:val="20"/>
    </w:rPr>
  </w:style>
  <w:style w:type="paragraph" w:styleId="a8">
    <w:name w:val="footer"/>
    <w:basedOn w:val="a"/>
    <w:link w:val="a9"/>
    <w:uiPriority w:val="99"/>
    <w:unhideWhenUsed/>
    <w:rsid w:val="0054103F"/>
    <w:pPr>
      <w:tabs>
        <w:tab w:val="center" w:pos="4153"/>
        <w:tab w:val="right" w:pos="8306"/>
      </w:tabs>
      <w:snapToGrid w:val="0"/>
    </w:pPr>
    <w:rPr>
      <w:sz w:val="20"/>
      <w:szCs w:val="20"/>
    </w:rPr>
  </w:style>
  <w:style w:type="character" w:customStyle="1" w:styleId="a9">
    <w:name w:val="頁尾 字元"/>
    <w:link w:val="a8"/>
    <w:uiPriority w:val="99"/>
    <w:rsid w:val="0054103F"/>
    <w:rPr>
      <w:sz w:val="20"/>
      <w:szCs w:val="20"/>
    </w:rPr>
  </w:style>
  <w:style w:type="paragraph" w:styleId="HTML">
    <w:name w:val="HTML Preformatted"/>
    <w:basedOn w:val="a"/>
    <w:link w:val="HTML0"/>
    <w:uiPriority w:val="99"/>
    <w:unhideWhenUsed/>
    <w:rsid w:val="00FD0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FD02B3"/>
    <w:rPr>
      <w:rFonts w:ascii="細明體" w:eastAsia="細明體" w:hAnsi="細明體" w:cs="細明體"/>
      <w:kern w:val="0"/>
      <w:szCs w:val="24"/>
    </w:rPr>
  </w:style>
  <w:style w:type="paragraph" w:styleId="aa">
    <w:name w:val="Balloon Text"/>
    <w:basedOn w:val="a"/>
    <w:link w:val="ab"/>
    <w:uiPriority w:val="99"/>
    <w:semiHidden/>
    <w:unhideWhenUsed/>
    <w:rsid w:val="00703023"/>
    <w:rPr>
      <w:rFonts w:ascii="Cambria" w:hAnsi="Cambria"/>
      <w:sz w:val="18"/>
      <w:szCs w:val="18"/>
    </w:rPr>
  </w:style>
  <w:style w:type="character" w:customStyle="1" w:styleId="ab">
    <w:name w:val="註解方塊文字 字元"/>
    <w:link w:val="aa"/>
    <w:uiPriority w:val="99"/>
    <w:semiHidden/>
    <w:rsid w:val="00703023"/>
    <w:rPr>
      <w:rFonts w:ascii="Cambria" w:eastAsia="新細明體" w:hAnsi="Cambria" w:cs="Times New Roman"/>
      <w:sz w:val="18"/>
      <w:szCs w:val="18"/>
    </w:rPr>
  </w:style>
  <w:style w:type="paragraph" w:customStyle="1" w:styleId="Default">
    <w:name w:val="Default"/>
    <w:rsid w:val="00AC6B74"/>
    <w:pPr>
      <w:widowControl w:val="0"/>
      <w:autoSpaceDE w:val="0"/>
      <w:autoSpaceDN w:val="0"/>
      <w:adjustRightInd w:val="0"/>
    </w:pPr>
    <w:rPr>
      <w:rFonts w:ascii="標楷體" w:eastAsia="標楷體" w:cs="標楷體"/>
      <w:color w:val="000000"/>
      <w:sz w:val="24"/>
      <w:szCs w:val="24"/>
    </w:rPr>
  </w:style>
  <w:style w:type="table" w:styleId="ac">
    <w:name w:val="Table Grid"/>
    <w:basedOn w:val="a1"/>
    <w:uiPriority w:val="59"/>
    <w:rsid w:val="00611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976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880">
      <w:bodyDiv w:val="1"/>
      <w:marLeft w:val="0"/>
      <w:marRight w:val="0"/>
      <w:marTop w:val="0"/>
      <w:marBottom w:val="0"/>
      <w:divBdr>
        <w:top w:val="none" w:sz="0" w:space="0" w:color="auto"/>
        <w:left w:val="none" w:sz="0" w:space="0" w:color="auto"/>
        <w:bottom w:val="none" w:sz="0" w:space="0" w:color="auto"/>
        <w:right w:val="none" w:sz="0" w:space="0" w:color="auto"/>
      </w:divBdr>
    </w:div>
    <w:div w:id="194849043">
      <w:bodyDiv w:val="1"/>
      <w:marLeft w:val="0"/>
      <w:marRight w:val="0"/>
      <w:marTop w:val="0"/>
      <w:marBottom w:val="0"/>
      <w:divBdr>
        <w:top w:val="none" w:sz="0" w:space="0" w:color="auto"/>
        <w:left w:val="none" w:sz="0" w:space="0" w:color="auto"/>
        <w:bottom w:val="none" w:sz="0" w:space="0" w:color="auto"/>
        <w:right w:val="none" w:sz="0" w:space="0" w:color="auto"/>
      </w:divBdr>
    </w:div>
    <w:div w:id="307437940">
      <w:bodyDiv w:val="1"/>
      <w:marLeft w:val="0"/>
      <w:marRight w:val="0"/>
      <w:marTop w:val="0"/>
      <w:marBottom w:val="0"/>
      <w:divBdr>
        <w:top w:val="none" w:sz="0" w:space="0" w:color="auto"/>
        <w:left w:val="none" w:sz="0" w:space="0" w:color="auto"/>
        <w:bottom w:val="none" w:sz="0" w:space="0" w:color="auto"/>
        <w:right w:val="none" w:sz="0" w:space="0" w:color="auto"/>
      </w:divBdr>
    </w:div>
    <w:div w:id="334067382">
      <w:bodyDiv w:val="1"/>
      <w:marLeft w:val="0"/>
      <w:marRight w:val="0"/>
      <w:marTop w:val="0"/>
      <w:marBottom w:val="0"/>
      <w:divBdr>
        <w:top w:val="none" w:sz="0" w:space="0" w:color="auto"/>
        <w:left w:val="none" w:sz="0" w:space="0" w:color="auto"/>
        <w:bottom w:val="none" w:sz="0" w:space="0" w:color="auto"/>
        <w:right w:val="none" w:sz="0" w:space="0" w:color="auto"/>
      </w:divBdr>
    </w:div>
    <w:div w:id="373695642">
      <w:bodyDiv w:val="1"/>
      <w:marLeft w:val="0"/>
      <w:marRight w:val="0"/>
      <w:marTop w:val="0"/>
      <w:marBottom w:val="0"/>
      <w:divBdr>
        <w:top w:val="none" w:sz="0" w:space="0" w:color="auto"/>
        <w:left w:val="none" w:sz="0" w:space="0" w:color="auto"/>
        <w:bottom w:val="none" w:sz="0" w:space="0" w:color="auto"/>
        <w:right w:val="none" w:sz="0" w:space="0" w:color="auto"/>
      </w:divBdr>
    </w:div>
    <w:div w:id="385298373">
      <w:bodyDiv w:val="1"/>
      <w:marLeft w:val="0"/>
      <w:marRight w:val="0"/>
      <w:marTop w:val="0"/>
      <w:marBottom w:val="0"/>
      <w:divBdr>
        <w:top w:val="none" w:sz="0" w:space="0" w:color="auto"/>
        <w:left w:val="none" w:sz="0" w:space="0" w:color="auto"/>
        <w:bottom w:val="none" w:sz="0" w:space="0" w:color="auto"/>
        <w:right w:val="none" w:sz="0" w:space="0" w:color="auto"/>
      </w:divBdr>
    </w:div>
    <w:div w:id="635526150">
      <w:bodyDiv w:val="1"/>
      <w:marLeft w:val="0"/>
      <w:marRight w:val="0"/>
      <w:marTop w:val="0"/>
      <w:marBottom w:val="0"/>
      <w:divBdr>
        <w:top w:val="none" w:sz="0" w:space="0" w:color="auto"/>
        <w:left w:val="none" w:sz="0" w:space="0" w:color="auto"/>
        <w:bottom w:val="none" w:sz="0" w:space="0" w:color="auto"/>
        <w:right w:val="none" w:sz="0" w:space="0" w:color="auto"/>
      </w:divBdr>
    </w:div>
    <w:div w:id="687484385">
      <w:bodyDiv w:val="1"/>
      <w:marLeft w:val="0"/>
      <w:marRight w:val="0"/>
      <w:marTop w:val="0"/>
      <w:marBottom w:val="0"/>
      <w:divBdr>
        <w:top w:val="none" w:sz="0" w:space="0" w:color="auto"/>
        <w:left w:val="none" w:sz="0" w:space="0" w:color="auto"/>
        <w:bottom w:val="none" w:sz="0" w:space="0" w:color="auto"/>
        <w:right w:val="none" w:sz="0" w:space="0" w:color="auto"/>
      </w:divBdr>
    </w:div>
    <w:div w:id="747267936">
      <w:bodyDiv w:val="1"/>
      <w:marLeft w:val="0"/>
      <w:marRight w:val="0"/>
      <w:marTop w:val="0"/>
      <w:marBottom w:val="0"/>
      <w:divBdr>
        <w:top w:val="none" w:sz="0" w:space="0" w:color="auto"/>
        <w:left w:val="none" w:sz="0" w:space="0" w:color="auto"/>
        <w:bottom w:val="none" w:sz="0" w:space="0" w:color="auto"/>
        <w:right w:val="none" w:sz="0" w:space="0" w:color="auto"/>
      </w:divBdr>
    </w:div>
    <w:div w:id="831024771">
      <w:bodyDiv w:val="1"/>
      <w:marLeft w:val="0"/>
      <w:marRight w:val="0"/>
      <w:marTop w:val="0"/>
      <w:marBottom w:val="0"/>
      <w:divBdr>
        <w:top w:val="none" w:sz="0" w:space="0" w:color="auto"/>
        <w:left w:val="none" w:sz="0" w:space="0" w:color="auto"/>
        <w:bottom w:val="none" w:sz="0" w:space="0" w:color="auto"/>
        <w:right w:val="none" w:sz="0" w:space="0" w:color="auto"/>
      </w:divBdr>
    </w:div>
    <w:div w:id="880357857">
      <w:bodyDiv w:val="1"/>
      <w:marLeft w:val="0"/>
      <w:marRight w:val="0"/>
      <w:marTop w:val="0"/>
      <w:marBottom w:val="0"/>
      <w:divBdr>
        <w:top w:val="none" w:sz="0" w:space="0" w:color="auto"/>
        <w:left w:val="none" w:sz="0" w:space="0" w:color="auto"/>
        <w:bottom w:val="none" w:sz="0" w:space="0" w:color="auto"/>
        <w:right w:val="none" w:sz="0" w:space="0" w:color="auto"/>
      </w:divBdr>
    </w:div>
    <w:div w:id="949438675">
      <w:bodyDiv w:val="1"/>
      <w:marLeft w:val="0"/>
      <w:marRight w:val="0"/>
      <w:marTop w:val="0"/>
      <w:marBottom w:val="0"/>
      <w:divBdr>
        <w:top w:val="none" w:sz="0" w:space="0" w:color="auto"/>
        <w:left w:val="none" w:sz="0" w:space="0" w:color="auto"/>
        <w:bottom w:val="none" w:sz="0" w:space="0" w:color="auto"/>
        <w:right w:val="none" w:sz="0" w:space="0" w:color="auto"/>
      </w:divBdr>
    </w:div>
    <w:div w:id="1111123344">
      <w:bodyDiv w:val="1"/>
      <w:marLeft w:val="0"/>
      <w:marRight w:val="0"/>
      <w:marTop w:val="0"/>
      <w:marBottom w:val="0"/>
      <w:divBdr>
        <w:top w:val="none" w:sz="0" w:space="0" w:color="auto"/>
        <w:left w:val="none" w:sz="0" w:space="0" w:color="auto"/>
        <w:bottom w:val="none" w:sz="0" w:space="0" w:color="auto"/>
        <w:right w:val="none" w:sz="0" w:space="0" w:color="auto"/>
      </w:divBdr>
    </w:div>
    <w:div w:id="1152596671">
      <w:bodyDiv w:val="1"/>
      <w:marLeft w:val="0"/>
      <w:marRight w:val="0"/>
      <w:marTop w:val="0"/>
      <w:marBottom w:val="0"/>
      <w:divBdr>
        <w:top w:val="none" w:sz="0" w:space="0" w:color="auto"/>
        <w:left w:val="none" w:sz="0" w:space="0" w:color="auto"/>
        <w:bottom w:val="none" w:sz="0" w:space="0" w:color="auto"/>
        <w:right w:val="none" w:sz="0" w:space="0" w:color="auto"/>
      </w:divBdr>
      <w:divsChild>
        <w:div w:id="901871721">
          <w:marLeft w:val="0"/>
          <w:marRight w:val="0"/>
          <w:marTop w:val="0"/>
          <w:marBottom w:val="0"/>
          <w:divBdr>
            <w:top w:val="none" w:sz="0" w:space="0" w:color="auto"/>
            <w:left w:val="none" w:sz="0" w:space="0" w:color="auto"/>
            <w:bottom w:val="none" w:sz="0" w:space="0" w:color="auto"/>
            <w:right w:val="none" w:sz="0" w:space="0" w:color="auto"/>
          </w:divBdr>
        </w:div>
        <w:div w:id="59910222">
          <w:marLeft w:val="0"/>
          <w:marRight w:val="0"/>
          <w:marTop w:val="0"/>
          <w:marBottom w:val="0"/>
          <w:divBdr>
            <w:top w:val="none" w:sz="0" w:space="0" w:color="auto"/>
            <w:left w:val="none" w:sz="0" w:space="0" w:color="auto"/>
            <w:bottom w:val="none" w:sz="0" w:space="0" w:color="auto"/>
            <w:right w:val="none" w:sz="0" w:space="0" w:color="auto"/>
          </w:divBdr>
        </w:div>
      </w:divsChild>
    </w:div>
    <w:div w:id="1249000461">
      <w:bodyDiv w:val="1"/>
      <w:marLeft w:val="0"/>
      <w:marRight w:val="0"/>
      <w:marTop w:val="0"/>
      <w:marBottom w:val="0"/>
      <w:divBdr>
        <w:top w:val="none" w:sz="0" w:space="0" w:color="auto"/>
        <w:left w:val="none" w:sz="0" w:space="0" w:color="auto"/>
        <w:bottom w:val="none" w:sz="0" w:space="0" w:color="auto"/>
        <w:right w:val="none" w:sz="0" w:space="0" w:color="auto"/>
      </w:divBdr>
    </w:div>
    <w:div w:id="1298755158">
      <w:bodyDiv w:val="1"/>
      <w:marLeft w:val="0"/>
      <w:marRight w:val="0"/>
      <w:marTop w:val="0"/>
      <w:marBottom w:val="0"/>
      <w:divBdr>
        <w:top w:val="none" w:sz="0" w:space="0" w:color="auto"/>
        <w:left w:val="none" w:sz="0" w:space="0" w:color="auto"/>
        <w:bottom w:val="none" w:sz="0" w:space="0" w:color="auto"/>
        <w:right w:val="none" w:sz="0" w:space="0" w:color="auto"/>
      </w:divBdr>
    </w:div>
    <w:div w:id="1531915633">
      <w:bodyDiv w:val="1"/>
      <w:marLeft w:val="0"/>
      <w:marRight w:val="0"/>
      <w:marTop w:val="0"/>
      <w:marBottom w:val="0"/>
      <w:divBdr>
        <w:top w:val="none" w:sz="0" w:space="0" w:color="auto"/>
        <w:left w:val="none" w:sz="0" w:space="0" w:color="auto"/>
        <w:bottom w:val="none" w:sz="0" w:space="0" w:color="auto"/>
        <w:right w:val="none" w:sz="0" w:space="0" w:color="auto"/>
      </w:divBdr>
    </w:div>
    <w:div w:id="1577976800">
      <w:bodyDiv w:val="1"/>
      <w:marLeft w:val="0"/>
      <w:marRight w:val="0"/>
      <w:marTop w:val="0"/>
      <w:marBottom w:val="0"/>
      <w:divBdr>
        <w:top w:val="none" w:sz="0" w:space="0" w:color="auto"/>
        <w:left w:val="none" w:sz="0" w:space="0" w:color="auto"/>
        <w:bottom w:val="none" w:sz="0" w:space="0" w:color="auto"/>
        <w:right w:val="none" w:sz="0" w:space="0" w:color="auto"/>
      </w:divBdr>
    </w:div>
    <w:div w:id="1626278436">
      <w:bodyDiv w:val="1"/>
      <w:marLeft w:val="0"/>
      <w:marRight w:val="0"/>
      <w:marTop w:val="0"/>
      <w:marBottom w:val="0"/>
      <w:divBdr>
        <w:top w:val="none" w:sz="0" w:space="0" w:color="auto"/>
        <w:left w:val="none" w:sz="0" w:space="0" w:color="auto"/>
        <w:bottom w:val="none" w:sz="0" w:space="0" w:color="auto"/>
        <w:right w:val="none" w:sz="0" w:space="0" w:color="auto"/>
      </w:divBdr>
    </w:div>
    <w:div w:id="1692950106">
      <w:bodyDiv w:val="1"/>
      <w:marLeft w:val="0"/>
      <w:marRight w:val="0"/>
      <w:marTop w:val="0"/>
      <w:marBottom w:val="0"/>
      <w:divBdr>
        <w:top w:val="none" w:sz="0" w:space="0" w:color="auto"/>
        <w:left w:val="none" w:sz="0" w:space="0" w:color="auto"/>
        <w:bottom w:val="none" w:sz="0" w:space="0" w:color="auto"/>
        <w:right w:val="none" w:sz="0" w:space="0" w:color="auto"/>
      </w:divBdr>
    </w:div>
    <w:div w:id="1741564037">
      <w:bodyDiv w:val="1"/>
      <w:marLeft w:val="0"/>
      <w:marRight w:val="0"/>
      <w:marTop w:val="0"/>
      <w:marBottom w:val="0"/>
      <w:divBdr>
        <w:top w:val="none" w:sz="0" w:space="0" w:color="auto"/>
        <w:left w:val="none" w:sz="0" w:space="0" w:color="auto"/>
        <w:bottom w:val="none" w:sz="0" w:space="0" w:color="auto"/>
        <w:right w:val="none" w:sz="0" w:space="0" w:color="auto"/>
      </w:divBdr>
    </w:div>
    <w:div w:id="1814442791">
      <w:bodyDiv w:val="1"/>
      <w:marLeft w:val="0"/>
      <w:marRight w:val="0"/>
      <w:marTop w:val="0"/>
      <w:marBottom w:val="0"/>
      <w:divBdr>
        <w:top w:val="none" w:sz="0" w:space="0" w:color="auto"/>
        <w:left w:val="none" w:sz="0" w:space="0" w:color="auto"/>
        <w:bottom w:val="none" w:sz="0" w:space="0" w:color="auto"/>
        <w:right w:val="none" w:sz="0" w:space="0" w:color="auto"/>
      </w:divBdr>
    </w:div>
    <w:div w:id="1890265209">
      <w:bodyDiv w:val="1"/>
      <w:marLeft w:val="0"/>
      <w:marRight w:val="0"/>
      <w:marTop w:val="0"/>
      <w:marBottom w:val="0"/>
      <w:divBdr>
        <w:top w:val="none" w:sz="0" w:space="0" w:color="auto"/>
        <w:left w:val="none" w:sz="0" w:space="0" w:color="auto"/>
        <w:bottom w:val="none" w:sz="0" w:space="0" w:color="auto"/>
        <w:right w:val="none" w:sz="0" w:space="0" w:color="auto"/>
      </w:divBdr>
    </w:div>
    <w:div w:id="1937051780">
      <w:bodyDiv w:val="1"/>
      <w:marLeft w:val="0"/>
      <w:marRight w:val="0"/>
      <w:marTop w:val="0"/>
      <w:marBottom w:val="0"/>
      <w:divBdr>
        <w:top w:val="none" w:sz="0" w:space="0" w:color="auto"/>
        <w:left w:val="none" w:sz="0" w:space="0" w:color="auto"/>
        <w:bottom w:val="none" w:sz="0" w:space="0" w:color="auto"/>
        <w:right w:val="none" w:sz="0" w:space="0" w:color="auto"/>
      </w:divBdr>
    </w:div>
    <w:div w:id="2023505567">
      <w:bodyDiv w:val="1"/>
      <w:marLeft w:val="0"/>
      <w:marRight w:val="0"/>
      <w:marTop w:val="0"/>
      <w:marBottom w:val="0"/>
      <w:divBdr>
        <w:top w:val="none" w:sz="0" w:space="0" w:color="auto"/>
        <w:left w:val="none" w:sz="0" w:space="0" w:color="auto"/>
        <w:bottom w:val="none" w:sz="0" w:space="0" w:color="auto"/>
        <w:right w:val="none" w:sz="0" w:space="0" w:color="auto"/>
      </w:divBdr>
    </w:div>
    <w:div w:id="20400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ctl00$ContentPlaceHolder2$lsv_list$ctrl2$grdlbtn_class_na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34210-7f0b-4e8d-9556-89d94bb3aa3f">
      <Terms xmlns="http://schemas.microsoft.com/office/infopath/2007/PartnerControls"/>
    </lcf76f155ced4ddcb4097134ff3c332f>
    <TaxCatchAll xmlns="22a36e0b-9c77-4496-b9c4-f007dadb3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6" ma:contentTypeDescription="建立新的文件。" ma:contentTypeScope="" ma:versionID="86d801eda6b8cea9130b1d4f427d26d9">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d3da9a0008ccbf426e82d4062fbb6a93"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0434E-BC7B-4FE4-A34B-7FBFCB53BCA9}">
  <ds:schemaRefs>
    <ds:schemaRef ds:uri="http://schemas.microsoft.com/office/2006/metadata/properties"/>
    <ds:schemaRef ds:uri="http://schemas.microsoft.com/office/infopath/2007/PartnerControls"/>
    <ds:schemaRef ds:uri="cdb34210-7f0b-4e8d-9556-89d94bb3aa3f"/>
    <ds:schemaRef ds:uri="22a36e0b-9c77-4496-b9c4-f007dadb36f7"/>
  </ds:schemaRefs>
</ds:datastoreItem>
</file>

<file path=customXml/itemProps2.xml><?xml version="1.0" encoding="utf-8"?>
<ds:datastoreItem xmlns:ds="http://schemas.openxmlformats.org/officeDocument/2006/customXml" ds:itemID="{C071B0EA-F46D-4682-BB74-E2A01F23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197F4-19DB-9342-90E9-A7B2B2902F50}">
  <ds:schemaRefs>
    <ds:schemaRef ds:uri="http://schemas.openxmlformats.org/officeDocument/2006/bibliography"/>
  </ds:schemaRefs>
</ds:datastoreItem>
</file>

<file path=customXml/itemProps4.xml><?xml version="1.0" encoding="utf-8"?>
<ds:datastoreItem xmlns:ds="http://schemas.openxmlformats.org/officeDocument/2006/customXml" ds:itemID="{464D2338-A1CD-4B4F-91FE-E943DD4DA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Links>
    <vt:vector size="6" baseType="variant">
      <vt:variant>
        <vt:i4>7995516</vt:i4>
      </vt:variant>
      <vt:variant>
        <vt:i4>0</vt:i4>
      </vt:variant>
      <vt:variant>
        <vt:i4>0</vt:i4>
      </vt:variant>
      <vt:variant>
        <vt:i4>5</vt:i4>
      </vt:variant>
      <vt:variant>
        <vt:lpwstr>http://www.selaw.com.tw/Scripts/newsdetail.asp?no=G0100293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1213</dc:creator>
  <cp:keywords/>
  <cp:lastModifiedBy>陳儀芳</cp:lastModifiedBy>
  <cp:revision>2</cp:revision>
  <cp:lastPrinted>2022-11-15T07:20:00Z</cp:lastPrinted>
  <dcterms:created xsi:type="dcterms:W3CDTF">2022-11-18T07:40:00Z</dcterms:created>
  <dcterms:modified xsi:type="dcterms:W3CDTF">2022-11-18T07:40:00Z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0x010100F49DE4B3F222EC4C8077B1789B7D4EAE</vt:lpwstr>
  </property>
  <property fmtid="{D5CDD505-2E9C-101B-9397-08002B2CF9AE}" pid="3" name="MediaServiceImageTags">
    <vt:lpwstr/>
  </property>
</Properties>
</file>