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2BB9A" w14:textId="51E9CE3B" w:rsidR="007446BA" w:rsidRDefault="007446BA" w:rsidP="007446BA">
      <w:pPr>
        <w:jc w:val="center"/>
        <w:rPr>
          <w:rFonts w:ascii="標楷體" w:hAnsi="標楷體"/>
          <w:b/>
          <w:sz w:val="36"/>
          <w:szCs w:val="36"/>
        </w:rPr>
      </w:pPr>
      <w:r w:rsidRPr="009C2A4F">
        <w:rPr>
          <w:rFonts w:ascii="標楷體" w:hAnsi="標楷體"/>
          <w:b/>
          <w:sz w:val="36"/>
          <w:szCs w:val="36"/>
        </w:rPr>
        <w:t>證券</w:t>
      </w:r>
      <w:r w:rsidRPr="009C2A4F">
        <w:rPr>
          <w:rFonts w:ascii="標楷體" w:hAnsi="標楷體" w:hint="eastAsia"/>
          <w:b/>
          <w:sz w:val="36"/>
          <w:szCs w:val="36"/>
        </w:rPr>
        <w:t>商</w:t>
      </w:r>
      <w:r w:rsidRPr="009C2A4F">
        <w:rPr>
          <w:rFonts w:ascii="標楷體" w:hAnsi="標楷體"/>
          <w:b/>
          <w:sz w:val="36"/>
          <w:szCs w:val="36"/>
        </w:rPr>
        <w:t>氣候變遷資訊揭露指引</w:t>
      </w:r>
    </w:p>
    <w:p w14:paraId="50CAE3FA" w14:textId="2984DA25" w:rsidR="001E7217" w:rsidRDefault="001E7217" w:rsidP="004063B1">
      <w:pPr>
        <w:spacing w:before="0" w:after="0"/>
        <w:jc w:val="right"/>
        <w:rPr>
          <w:rFonts w:ascii="標楷體"/>
          <w:sz w:val="20"/>
        </w:rPr>
      </w:pPr>
      <w:r>
        <w:rPr>
          <w:rFonts w:ascii="標楷體" w:hAnsi="Calisto MT" w:hint="eastAsia"/>
          <w:sz w:val="20"/>
        </w:rPr>
        <w:t>金融監督管理委員會112</w:t>
      </w:r>
      <w:r>
        <w:rPr>
          <w:rFonts w:ascii="標楷體" w:hint="eastAsia"/>
          <w:sz w:val="20"/>
        </w:rPr>
        <w:t>年9月14日金管證券字第1120354389號函同意備查</w:t>
      </w:r>
    </w:p>
    <w:p w14:paraId="25088587" w14:textId="0638B61C" w:rsidR="004063B1" w:rsidRPr="001E7217" w:rsidRDefault="004063B1" w:rsidP="004063B1">
      <w:pPr>
        <w:spacing w:before="0" w:after="0"/>
        <w:jc w:val="right"/>
        <w:rPr>
          <w:rFonts w:ascii="標楷體" w:hAnsi="標楷體"/>
          <w:b/>
          <w:sz w:val="20"/>
          <w:szCs w:val="20"/>
        </w:rPr>
      </w:pPr>
      <w:r w:rsidRPr="003845B3">
        <w:rPr>
          <w:rFonts w:ascii="標楷體" w:hint="eastAsia"/>
          <w:sz w:val="20"/>
        </w:rPr>
        <w:t>中華民國證券商業同業公會</w:t>
      </w:r>
      <w:r w:rsidR="00F708F5" w:rsidRPr="003845B3">
        <w:rPr>
          <w:rFonts w:ascii="標楷體" w:hint="eastAsia"/>
          <w:sz w:val="20"/>
        </w:rPr>
        <w:t>11</w:t>
      </w:r>
      <w:r w:rsidR="00F708F5">
        <w:rPr>
          <w:rFonts w:ascii="標楷體" w:hint="eastAsia"/>
          <w:sz w:val="20"/>
        </w:rPr>
        <w:t>2</w:t>
      </w:r>
      <w:r w:rsidR="00F708F5" w:rsidRPr="003845B3">
        <w:rPr>
          <w:rFonts w:ascii="標楷體" w:hint="eastAsia"/>
          <w:sz w:val="20"/>
        </w:rPr>
        <w:t>年</w:t>
      </w:r>
      <w:r w:rsidR="00F708F5">
        <w:rPr>
          <w:rFonts w:ascii="標楷體" w:hint="eastAsia"/>
          <w:sz w:val="20"/>
        </w:rPr>
        <w:t>9</w:t>
      </w:r>
      <w:r w:rsidR="00F708F5" w:rsidRPr="003845B3">
        <w:rPr>
          <w:rFonts w:ascii="標楷體" w:hint="eastAsia"/>
          <w:sz w:val="20"/>
        </w:rPr>
        <w:t>月</w:t>
      </w:r>
      <w:r w:rsidR="00F708F5">
        <w:rPr>
          <w:rFonts w:ascii="標楷體" w:hint="eastAsia"/>
          <w:sz w:val="20"/>
        </w:rPr>
        <w:t>20</w:t>
      </w:r>
      <w:r w:rsidR="00F708F5" w:rsidRPr="003845B3">
        <w:rPr>
          <w:rFonts w:ascii="標楷體" w:hint="eastAsia"/>
          <w:sz w:val="20"/>
        </w:rPr>
        <w:t>日中證商業四字第</w:t>
      </w:r>
      <w:r w:rsidR="00F708F5">
        <w:rPr>
          <w:rFonts w:ascii="標楷體" w:hint="eastAsia"/>
          <w:sz w:val="20"/>
        </w:rPr>
        <w:t>1120005026</w:t>
      </w:r>
      <w:r w:rsidR="00F708F5" w:rsidRPr="003845B3">
        <w:rPr>
          <w:rFonts w:ascii="標楷體" w:hint="eastAsia"/>
          <w:sz w:val="20"/>
        </w:rPr>
        <w:t>號</w:t>
      </w:r>
      <w:r w:rsidR="00F708F5">
        <w:rPr>
          <w:rFonts w:ascii="標楷體" w:hint="eastAsia"/>
          <w:sz w:val="20"/>
        </w:rPr>
        <w:t>函</w:t>
      </w:r>
      <w:r w:rsidR="00F708F5" w:rsidRPr="003845B3">
        <w:rPr>
          <w:rFonts w:ascii="標楷體" w:hint="eastAsia"/>
          <w:sz w:val="20"/>
        </w:rPr>
        <w:t>公告</w:t>
      </w:r>
    </w:p>
    <w:p w14:paraId="0983C676" w14:textId="77777777" w:rsidR="003C4C3C" w:rsidRPr="00395A72" w:rsidRDefault="007446BA" w:rsidP="007446BA">
      <w:pPr>
        <w:pStyle w:val="a3"/>
        <w:numPr>
          <w:ilvl w:val="0"/>
          <w:numId w:val="1"/>
        </w:numPr>
        <w:ind w:leftChars="0"/>
        <w:rPr>
          <w:rFonts w:ascii="標楷體" w:hAnsi="標楷體"/>
          <w:sz w:val="28"/>
          <w:szCs w:val="28"/>
        </w:rPr>
      </w:pPr>
      <w:r w:rsidRPr="00395A72">
        <w:rPr>
          <w:rFonts w:ascii="標楷體" w:hAnsi="標楷體" w:hint="eastAsia"/>
          <w:sz w:val="28"/>
          <w:szCs w:val="28"/>
        </w:rPr>
        <w:t>總則</w:t>
      </w:r>
    </w:p>
    <w:p w14:paraId="1F61433C" w14:textId="626DC640" w:rsidR="007446BA" w:rsidRPr="00395A72" w:rsidRDefault="00BE2C3B" w:rsidP="007446BA">
      <w:pPr>
        <w:pStyle w:val="a3"/>
        <w:numPr>
          <w:ilvl w:val="0"/>
          <w:numId w:val="3"/>
        </w:numPr>
        <w:ind w:leftChars="0" w:left="1066"/>
        <w:rPr>
          <w:rFonts w:ascii="標楷體" w:hAnsi="標楷體"/>
          <w:color w:val="000000" w:themeColor="text1"/>
          <w:sz w:val="28"/>
          <w:szCs w:val="28"/>
        </w:rPr>
      </w:pPr>
      <w:r>
        <w:rPr>
          <w:rFonts w:ascii="標楷體" w:hAnsi="標楷體" w:hint="eastAsia"/>
          <w:color w:val="000000" w:themeColor="text1"/>
          <w:sz w:val="28"/>
          <w:szCs w:val="28"/>
        </w:rPr>
        <w:t>為</w:t>
      </w:r>
      <w:r w:rsidR="007446BA" w:rsidRPr="00395A72">
        <w:rPr>
          <w:rFonts w:ascii="標楷體" w:hAnsi="標楷體" w:hint="eastAsia"/>
          <w:color w:val="000000" w:themeColor="text1"/>
          <w:sz w:val="28"/>
          <w:szCs w:val="28"/>
        </w:rPr>
        <w:t>協助證券商強化氣候相關財務資訊之資訊揭露</w:t>
      </w:r>
      <w:r>
        <w:rPr>
          <w:rFonts w:ascii="標楷體" w:hAnsi="標楷體" w:hint="eastAsia"/>
          <w:color w:val="000000" w:themeColor="text1"/>
          <w:sz w:val="28"/>
          <w:szCs w:val="28"/>
        </w:rPr>
        <w:t>，</w:t>
      </w:r>
      <w:r>
        <w:rPr>
          <w:rFonts w:ascii="標楷體" w:hAnsi="標楷體" w:hint="eastAsia"/>
          <w:sz w:val="28"/>
          <w:szCs w:val="28"/>
        </w:rPr>
        <w:t>爰制定</w:t>
      </w:r>
      <w:r w:rsidRPr="00044D44">
        <w:rPr>
          <w:rFonts w:ascii="標楷體" w:hAnsi="標楷體" w:hint="eastAsia"/>
          <w:sz w:val="28"/>
          <w:szCs w:val="28"/>
        </w:rPr>
        <w:t>本指引</w:t>
      </w:r>
      <w:r>
        <w:rPr>
          <w:rFonts w:ascii="標楷體" w:hAnsi="標楷體" w:hint="eastAsia"/>
          <w:sz w:val="28"/>
          <w:szCs w:val="28"/>
        </w:rPr>
        <w:t>，以資遵循</w:t>
      </w:r>
      <w:r w:rsidRPr="00044D44">
        <w:rPr>
          <w:rFonts w:ascii="標楷體" w:hAnsi="標楷體" w:hint="eastAsia"/>
          <w:sz w:val="28"/>
          <w:szCs w:val="28"/>
        </w:rPr>
        <w:t>。</w:t>
      </w:r>
    </w:p>
    <w:p w14:paraId="715D1F43" w14:textId="311EBA4D" w:rsidR="007446BA" w:rsidRPr="00395A72" w:rsidRDefault="007446BA" w:rsidP="005A4E5D">
      <w:pPr>
        <w:pStyle w:val="a3"/>
        <w:ind w:leftChars="0" w:left="1066"/>
        <w:rPr>
          <w:rFonts w:ascii="標楷體" w:hAnsi="標楷體"/>
          <w:sz w:val="28"/>
          <w:szCs w:val="28"/>
        </w:rPr>
      </w:pPr>
      <w:r w:rsidRPr="00395A72">
        <w:rPr>
          <w:rFonts w:ascii="標楷體" w:hAnsi="標楷體" w:hint="eastAsia"/>
          <w:sz w:val="28"/>
          <w:szCs w:val="28"/>
        </w:rPr>
        <w:t>本指引免適用於外國證券商在</w:t>
      </w:r>
      <w:r w:rsidR="005A4E5D">
        <w:rPr>
          <w:rFonts w:ascii="標楷體" w:hAnsi="標楷體" w:hint="eastAsia"/>
          <w:sz w:val="28"/>
          <w:szCs w:val="28"/>
        </w:rPr>
        <w:t>臺</w:t>
      </w:r>
      <w:r w:rsidRPr="00395A72">
        <w:rPr>
          <w:rFonts w:ascii="標楷體" w:hAnsi="標楷體" w:hint="eastAsia"/>
          <w:sz w:val="28"/>
          <w:szCs w:val="28"/>
        </w:rPr>
        <w:t>分公司及由他業兼營之證券商。</w:t>
      </w:r>
    </w:p>
    <w:p w14:paraId="1C85536D" w14:textId="77777777" w:rsidR="007446BA" w:rsidRPr="00395A72" w:rsidRDefault="007446BA" w:rsidP="007446BA">
      <w:pPr>
        <w:pStyle w:val="a3"/>
        <w:numPr>
          <w:ilvl w:val="0"/>
          <w:numId w:val="3"/>
        </w:numPr>
        <w:ind w:leftChars="0" w:left="1066"/>
        <w:rPr>
          <w:rFonts w:ascii="標楷體" w:hAnsi="標楷體"/>
          <w:color w:val="000000" w:themeColor="text1"/>
          <w:sz w:val="28"/>
          <w:szCs w:val="28"/>
        </w:rPr>
      </w:pPr>
      <w:r w:rsidRPr="00395A72">
        <w:rPr>
          <w:rFonts w:ascii="標楷體" w:hAnsi="標楷體" w:hint="eastAsia"/>
          <w:color w:val="000000" w:themeColor="text1"/>
          <w:sz w:val="28"/>
          <w:szCs w:val="28"/>
        </w:rPr>
        <w:t>證券商應訂定公司整體之環境政策，並至少考量包括但不限於氣候變遷等議題。</w:t>
      </w:r>
    </w:p>
    <w:p w14:paraId="41DE450E" w14:textId="77777777" w:rsidR="007446BA" w:rsidRPr="00395A72" w:rsidRDefault="007446BA" w:rsidP="007446BA">
      <w:pPr>
        <w:pStyle w:val="a3"/>
        <w:ind w:leftChars="0" w:left="1066"/>
        <w:rPr>
          <w:rFonts w:ascii="標楷體" w:hAnsi="標楷體"/>
          <w:color w:val="000000" w:themeColor="text1"/>
          <w:sz w:val="28"/>
          <w:szCs w:val="28"/>
        </w:rPr>
      </w:pPr>
      <w:r w:rsidRPr="00395A72">
        <w:rPr>
          <w:rFonts w:ascii="標楷體" w:hAnsi="標楷體" w:hint="eastAsia"/>
          <w:color w:val="000000" w:themeColor="text1"/>
          <w:sz w:val="28"/>
          <w:szCs w:val="28"/>
        </w:rPr>
        <w:t>隸屬國外金融業者母公司之證券商，得依循其母公司之環境或氣候政策，將氣候變遷相關因子納入其產品與服務策略考量或投資策略中。</w:t>
      </w:r>
    </w:p>
    <w:p w14:paraId="070BF65E" w14:textId="77777777" w:rsidR="007446BA" w:rsidRPr="00395A72" w:rsidRDefault="007446BA" w:rsidP="007446BA">
      <w:pPr>
        <w:pStyle w:val="a3"/>
        <w:ind w:leftChars="0" w:left="1066"/>
        <w:rPr>
          <w:rFonts w:ascii="標楷體" w:hAnsi="標楷體"/>
          <w:color w:val="000000" w:themeColor="text1"/>
          <w:sz w:val="28"/>
          <w:szCs w:val="28"/>
        </w:rPr>
      </w:pPr>
      <w:r w:rsidRPr="00395A72">
        <w:rPr>
          <w:rFonts w:ascii="標楷體" w:hAnsi="標楷體" w:hint="eastAsia"/>
          <w:color w:val="000000" w:themeColor="text1"/>
          <w:sz w:val="28"/>
          <w:szCs w:val="28"/>
        </w:rPr>
        <w:t>證券商宜依其資本額規模，將氣候變遷相關因子納入其產品與服務策略考量或其投資策略考量中。</w:t>
      </w:r>
    </w:p>
    <w:p w14:paraId="70F7242D" w14:textId="77777777" w:rsidR="007446BA" w:rsidRPr="00395A72" w:rsidRDefault="007446BA" w:rsidP="007446BA">
      <w:pPr>
        <w:pStyle w:val="a3"/>
        <w:ind w:leftChars="0" w:left="1066"/>
        <w:rPr>
          <w:rFonts w:ascii="標楷體" w:hAnsi="標楷體"/>
          <w:color w:val="000000" w:themeColor="text1"/>
          <w:sz w:val="28"/>
          <w:szCs w:val="28"/>
        </w:rPr>
      </w:pPr>
      <w:r w:rsidRPr="00395A72">
        <w:rPr>
          <w:rFonts w:ascii="標楷體" w:hAnsi="標楷體" w:hint="eastAsia"/>
          <w:color w:val="000000" w:themeColor="text1"/>
          <w:sz w:val="28"/>
          <w:szCs w:val="28"/>
        </w:rPr>
        <w:t>證券商應遵循「</w:t>
      </w:r>
      <w:r w:rsidRPr="00395A72">
        <w:rPr>
          <w:rFonts w:ascii="標楷體" w:hAnsi="標楷體"/>
          <w:color w:val="000000" w:themeColor="text1"/>
          <w:sz w:val="28"/>
          <w:szCs w:val="28"/>
        </w:rPr>
        <w:t>證券商編製與申報永續報告書作業辦法</w:t>
      </w:r>
      <w:r w:rsidRPr="00395A72">
        <w:rPr>
          <w:rFonts w:ascii="標楷體" w:hAnsi="標楷體" w:hint="eastAsia"/>
          <w:color w:val="000000" w:themeColor="text1"/>
          <w:sz w:val="28"/>
          <w:szCs w:val="28"/>
        </w:rPr>
        <w:t>」或其他相關法規規範，依證券商實收資本額規模應編製永續報告書之時程，揭露相關氣候變遷資訊。</w:t>
      </w:r>
    </w:p>
    <w:p w14:paraId="5433BCBF" w14:textId="78917874" w:rsidR="007446BA" w:rsidRPr="00395A72" w:rsidRDefault="00721F86" w:rsidP="007446BA">
      <w:pPr>
        <w:pStyle w:val="a3"/>
        <w:numPr>
          <w:ilvl w:val="0"/>
          <w:numId w:val="3"/>
        </w:numPr>
        <w:ind w:leftChars="0" w:left="1066"/>
        <w:rPr>
          <w:rFonts w:ascii="標楷體" w:hAnsi="標楷體"/>
          <w:sz w:val="28"/>
          <w:szCs w:val="28"/>
        </w:rPr>
      </w:pPr>
      <w:r w:rsidRPr="00395A72">
        <w:rPr>
          <w:rFonts w:ascii="標楷體" w:hAnsi="標楷體" w:hint="eastAsia"/>
          <w:color w:val="000000" w:themeColor="text1"/>
          <w:sz w:val="28"/>
          <w:szCs w:val="28"/>
        </w:rPr>
        <w:t>證券商應訂定相關內部規範及機制，定期審視氣候相關風險與機會之管理情形。隸屬國外金融業者母公司之在</w:t>
      </w:r>
      <w:r w:rsidR="00706CCA">
        <w:rPr>
          <w:rFonts w:ascii="標楷體" w:hAnsi="標楷體" w:hint="eastAsia"/>
          <w:color w:val="000000" w:themeColor="text1"/>
          <w:sz w:val="28"/>
          <w:szCs w:val="28"/>
        </w:rPr>
        <w:t>臺</w:t>
      </w:r>
      <w:r w:rsidRPr="00395A72">
        <w:rPr>
          <w:rFonts w:ascii="標楷體" w:hAnsi="標楷體" w:hint="eastAsia"/>
          <w:color w:val="000000" w:themeColor="text1"/>
          <w:sz w:val="28"/>
          <w:szCs w:val="28"/>
        </w:rPr>
        <w:t>灣證券商得依循引用其母公司之定期審視氣候相關風險與機會之管理情形。</w:t>
      </w:r>
    </w:p>
    <w:p w14:paraId="5FDCC287" w14:textId="77777777" w:rsidR="00721F86" w:rsidRPr="00395A72" w:rsidRDefault="00721F86" w:rsidP="007446BA">
      <w:pPr>
        <w:pStyle w:val="a3"/>
        <w:numPr>
          <w:ilvl w:val="0"/>
          <w:numId w:val="3"/>
        </w:numPr>
        <w:ind w:leftChars="0" w:left="1066"/>
        <w:rPr>
          <w:rFonts w:ascii="標楷體" w:hAnsi="標楷體"/>
          <w:sz w:val="28"/>
          <w:szCs w:val="28"/>
        </w:rPr>
      </w:pPr>
      <w:r w:rsidRPr="00395A72">
        <w:rPr>
          <w:rFonts w:ascii="標楷體" w:hAnsi="標楷體" w:hint="eastAsia"/>
          <w:color w:val="000000" w:themeColor="text1"/>
          <w:sz w:val="28"/>
          <w:szCs w:val="28"/>
        </w:rPr>
        <w:t>證券商宜依循既有之財務及非財務資訊揭露規範，於適當之揭露管道揭露本指引所稱之「氣候相關財務資訊」。氣候相關財務資訊其基本資訊品質特性宜包含：攸關性、確切與完整、清晰、平衡與可了解性、一致性、同產業內公司間的資訊可比較性等。有關溫室氣體排放資訊揭露，則應同時考量一般公認的國內外現行標準或規範。若隸屬母公司之子</w:t>
      </w:r>
      <w:r w:rsidRPr="00395A72">
        <w:rPr>
          <w:rFonts w:ascii="標楷體" w:hAnsi="標楷體" w:cs="標楷體" w:hint="eastAsia"/>
          <w:color w:val="000000" w:themeColor="text1"/>
          <w:sz w:val="28"/>
          <w:szCs w:val="28"/>
        </w:rPr>
        <w:t>公司或海外營業據點，得併入母公司揭露範疇</w:t>
      </w:r>
      <w:r w:rsidRPr="00395A72">
        <w:rPr>
          <w:rFonts w:ascii="Microsoft YaHei" w:eastAsia="Microsoft YaHei" w:hAnsi="Microsoft YaHei" w:cs="Microsoft YaHei" w:hint="eastAsia"/>
          <w:color w:val="000000" w:themeColor="text1"/>
          <w:sz w:val="28"/>
          <w:szCs w:val="28"/>
        </w:rPr>
        <w:t>⼀</w:t>
      </w:r>
      <w:r w:rsidRPr="00395A72">
        <w:rPr>
          <w:rFonts w:ascii="標楷體" w:hAnsi="標楷體" w:cs="標楷體" w:hint="eastAsia"/>
          <w:color w:val="000000" w:themeColor="text1"/>
          <w:sz w:val="28"/>
          <w:szCs w:val="28"/>
        </w:rPr>
        <w:t>併揭露。</w:t>
      </w:r>
    </w:p>
    <w:p w14:paraId="331F9866" w14:textId="77777777" w:rsidR="00721F86" w:rsidRPr="00395A72" w:rsidRDefault="00721F86" w:rsidP="00721F86">
      <w:pPr>
        <w:pStyle w:val="a3"/>
        <w:numPr>
          <w:ilvl w:val="0"/>
          <w:numId w:val="1"/>
        </w:numPr>
        <w:ind w:leftChars="0"/>
        <w:rPr>
          <w:rFonts w:ascii="標楷體" w:hAnsi="標楷體"/>
          <w:color w:val="000000" w:themeColor="text1"/>
          <w:sz w:val="28"/>
          <w:szCs w:val="28"/>
        </w:rPr>
      </w:pPr>
      <w:r w:rsidRPr="00395A72">
        <w:rPr>
          <w:rFonts w:ascii="標楷體" w:hAnsi="標楷體" w:hint="eastAsia"/>
          <w:color w:val="000000" w:themeColor="text1"/>
          <w:sz w:val="28"/>
          <w:szCs w:val="28"/>
        </w:rPr>
        <w:lastRenderedPageBreak/>
        <w:t>治理</w:t>
      </w:r>
    </w:p>
    <w:p w14:paraId="5E265559" w14:textId="77777777" w:rsidR="00721F86" w:rsidRPr="00395A72" w:rsidRDefault="00B33A21" w:rsidP="00B33A21">
      <w:pPr>
        <w:ind w:firstLineChars="202" w:firstLine="566"/>
        <w:rPr>
          <w:rFonts w:ascii="標楷體" w:hAnsi="標楷體"/>
          <w:color w:val="000000" w:themeColor="text1"/>
          <w:sz w:val="28"/>
          <w:szCs w:val="28"/>
        </w:rPr>
      </w:pPr>
      <w:r w:rsidRPr="00395A72">
        <w:rPr>
          <w:rFonts w:ascii="標楷體" w:hAnsi="標楷體" w:hint="eastAsia"/>
          <w:color w:val="000000" w:themeColor="text1"/>
          <w:sz w:val="28"/>
          <w:szCs w:val="28"/>
        </w:rPr>
        <w:t>5.</w:t>
      </w:r>
      <w:r w:rsidR="00B55916" w:rsidRPr="00395A72">
        <w:rPr>
          <w:rFonts w:ascii="標楷體" w:hAnsi="標楷體" w:hint="eastAsia"/>
          <w:color w:val="000000" w:themeColor="text1"/>
          <w:sz w:val="28"/>
          <w:szCs w:val="28"/>
        </w:rPr>
        <w:t>證券商描述董事會對氣候相關風險與機會的監督情況時：</w:t>
      </w:r>
    </w:p>
    <w:p w14:paraId="7FA51E6E" w14:textId="77777777" w:rsidR="00B55916" w:rsidRPr="00395A72" w:rsidRDefault="00B55916" w:rsidP="00B33A21">
      <w:pPr>
        <w:ind w:leftChars="355" w:left="1488" w:hangingChars="227" w:hanging="636"/>
        <w:rPr>
          <w:rFonts w:ascii="標楷體" w:hAnsi="標楷體"/>
          <w:color w:val="000000" w:themeColor="text1"/>
          <w:sz w:val="28"/>
          <w:szCs w:val="28"/>
        </w:rPr>
      </w:pPr>
      <w:r w:rsidRPr="00395A72">
        <w:rPr>
          <w:rFonts w:ascii="標楷體" w:hAnsi="標楷體" w:hint="eastAsia"/>
          <w:color w:val="000000" w:themeColor="text1"/>
          <w:sz w:val="28"/>
          <w:szCs w:val="28"/>
        </w:rPr>
        <w:t>(1)宜揭露負責氣候相關風險與機會之功能性委員會(如風險管理委員會、審計委員會、永續委員會或其他功能性委員會)或工作小組。</w:t>
      </w:r>
    </w:p>
    <w:p w14:paraId="7C8D5FC3" w14:textId="77777777" w:rsidR="00B55916" w:rsidRPr="00395A72" w:rsidRDefault="00AD23F4" w:rsidP="003C2B6B">
      <w:pPr>
        <w:pStyle w:val="a3"/>
        <w:ind w:leftChars="414" w:left="1417" w:hangingChars="151" w:hanging="423"/>
        <w:rPr>
          <w:rFonts w:ascii="標楷體" w:hAnsi="標楷體"/>
          <w:color w:val="000000" w:themeColor="text1"/>
          <w:sz w:val="28"/>
          <w:szCs w:val="28"/>
        </w:rPr>
      </w:pPr>
      <w:r w:rsidRPr="00395A72">
        <w:rPr>
          <w:rFonts w:ascii="標楷體" w:hAnsi="標楷體" w:hint="eastAsia"/>
          <w:sz w:val="28"/>
          <w:szCs w:val="28"/>
        </w:rPr>
        <w:t>(2)</w:t>
      </w:r>
      <w:r w:rsidR="00B33A21" w:rsidRPr="00395A72">
        <w:rPr>
          <w:rFonts w:ascii="標楷體" w:hAnsi="標楷體" w:hint="eastAsia"/>
          <w:color w:val="000000" w:themeColor="text1"/>
          <w:sz w:val="28"/>
          <w:szCs w:val="28"/>
        </w:rPr>
        <w:t>宜揭露向董事會或功能性委員會呈報氣候相關機會或風險之流程與頻率。</w:t>
      </w:r>
    </w:p>
    <w:p w14:paraId="569FBB24" w14:textId="77777777" w:rsidR="00B33A21" w:rsidRPr="00395A72" w:rsidRDefault="00B33A21" w:rsidP="00B33A21">
      <w:pPr>
        <w:pStyle w:val="a3"/>
        <w:ind w:leftChars="413" w:left="1417" w:hangingChars="152" w:hanging="426"/>
        <w:rPr>
          <w:rFonts w:ascii="標楷體" w:hAnsi="標楷體"/>
          <w:color w:val="000000" w:themeColor="text1"/>
          <w:sz w:val="28"/>
          <w:szCs w:val="28"/>
        </w:rPr>
      </w:pPr>
      <w:r w:rsidRPr="00395A72">
        <w:rPr>
          <w:rFonts w:ascii="標楷體" w:hAnsi="標楷體" w:hint="eastAsia"/>
          <w:sz w:val="28"/>
          <w:szCs w:val="28"/>
        </w:rPr>
        <w:t>(3)</w:t>
      </w:r>
      <w:r w:rsidRPr="00395A72">
        <w:rPr>
          <w:rFonts w:ascii="標楷體" w:hAnsi="標楷體" w:hint="eastAsia"/>
          <w:color w:val="000000" w:themeColor="text1"/>
          <w:sz w:val="28"/>
          <w:szCs w:val="28"/>
        </w:rPr>
        <w:t>若氣候相關風險評估結果係屬重大，宜揭露董事會對氣候相關行動、目標之監督情形。</w:t>
      </w:r>
    </w:p>
    <w:p w14:paraId="48DB454B" w14:textId="77777777" w:rsidR="00B33A21" w:rsidRPr="00395A72" w:rsidRDefault="00B33A21" w:rsidP="00B33A21">
      <w:pPr>
        <w:pStyle w:val="a3"/>
        <w:ind w:leftChars="236" w:left="846" w:hangingChars="100" w:hanging="280"/>
        <w:rPr>
          <w:rFonts w:ascii="標楷體" w:hAnsi="標楷體"/>
          <w:color w:val="000000" w:themeColor="text1"/>
          <w:sz w:val="28"/>
          <w:szCs w:val="28"/>
        </w:rPr>
      </w:pPr>
      <w:r w:rsidRPr="00395A72">
        <w:rPr>
          <w:rFonts w:ascii="標楷體" w:hAnsi="標楷體" w:hint="eastAsia"/>
          <w:sz w:val="28"/>
          <w:szCs w:val="28"/>
        </w:rPr>
        <w:t>6.</w:t>
      </w:r>
      <w:r w:rsidRPr="00395A72">
        <w:rPr>
          <w:rFonts w:ascii="標楷體" w:hAnsi="標楷體" w:hint="eastAsia"/>
          <w:color w:val="000000" w:themeColor="text1"/>
          <w:sz w:val="28"/>
          <w:szCs w:val="28"/>
        </w:rPr>
        <w:t>證券商描述管理階層在評估與管理氣候相關風險與機會的角色時，宜揭露由董事會所指派、負責氣候相關風險與機會評估、策略與財務影響分析、風險管理及指標與目標設定之管理階層與其工作職掌。</w:t>
      </w:r>
    </w:p>
    <w:p w14:paraId="1EFE39B2" w14:textId="77777777" w:rsidR="007E75AC" w:rsidRPr="00395A72" w:rsidRDefault="00B33A21" w:rsidP="007511CF">
      <w:pPr>
        <w:pStyle w:val="a3"/>
        <w:ind w:leftChars="354" w:left="850" w:firstLineChars="1" w:firstLine="3"/>
        <w:rPr>
          <w:rFonts w:ascii="標楷體" w:hAnsi="標楷體"/>
          <w:color w:val="000000" w:themeColor="text1"/>
          <w:sz w:val="28"/>
          <w:szCs w:val="28"/>
        </w:rPr>
      </w:pPr>
      <w:r w:rsidRPr="00395A72">
        <w:rPr>
          <w:rFonts w:ascii="標楷體" w:hAnsi="標楷體" w:hint="eastAsia"/>
          <w:color w:val="000000" w:themeColor="text1"/>
          <w:sz w:val="28"/>
          <w:szCs w:val="28"/>
        </w:rPr>
        <w:t>若氣候相關風險評估結果係屬重大，管理階層宜訂定氣候風險管理之政策、制度及監控指標，並定期檢視其有效性與執行情形。</w:t>
      </w:r>
    </w:p>
    <w:p w14:paraId="19F82746" w14:textId="77777777" w:rsidR="007E75AC" w:rsidRPr="00395A72" w:rsidRDefault="007E75AC" w:rsidP="007E75AC">
      <w:pPr>
        <w:rPr>
          <w:rFonts w:ascii="標楷體" w:hAnsi="標楷體"/>
          <w:color w:val="000000" w:themeColor="text1"/>
          <w:sz w:val="28"/>
          <w:szCs w:val="28"/>
        </w:rPr>
      </w:pPr>
      <w:r w:rsidRPr="00395A72">
        <w:rPr>
          <w:rFonts w:ascii="標楷體" w:hAnsi="標楷體" w:hint="eastAsia"/>
          <w:color w:val="000000" w:themeColor="text1"/>
          <w:sz w:val="28"/>
          <w:szCs w:val="28"/>
        </w:rPr>
        <w:t>第三章 策略</w:t>
      </w:r>
    </w:p>
    <w:p w14:paraId="60077874" w14:textId="77777777" w:rsidR="00B33A21" w:rsidRPr="00395A72" w:rsidRDefault="00B33A21" w:rsidP="00B33A21">
      <w:pPr>
        <w:pStyle w:val="a3"/>
        <w:ind w:leftChars="236" w:left="846" w:hangingChars="100" w:hanging="280"/>
        <w:rPr>
          <w:rFonts w:ascii="標楷體" w:hAnsi="標楷體"/>
          <w:color w:val="000000" w:themeColor="text1"/>
          <w:sz w:val="28"/>
          <w:szCs w:val="28"/>
        </w:rPr>
      </w:pPr>
      <w:r w:rsidRPr="00395A72">
        <w:rPr>
          <w:rFonts w:ascii="標楷體" w:hAnsi="標楷體" w:hint="eastAsia"/>
          <w:sz w:val="28"/>
          <w:szCs w:val="28"/>
        </w:rPr>
        <w:t>7.</w:t>
      </w:r>
      <w:r w:rsidR="003C2B6B" w:rsidRPr="00395A72">
        <w:rPr>
          <w:rFonts w:ascii="標楷體" w:hAnsi="標楷體" w:hint="eastAsia"/>
          <w:color w:val="000000" w:themeColor="text1"/>
          <w:sz w:val="28"/>
          <w:szCs w:val="28"/>
        </w:rPr>
        <w:t>證券商應依循其所制定之環境政策、氣候政策或ESG政策，考量公司營業活動對氣候變遷之衝擊，以及公司所面臨之（氣候）轉型風險與（氣候）實體風險。若氣候相關風險係屬重大，並應制定相關應對策略。</w:t>
      </w:r>
    </w:p>
    <w:p w14:paraId="19A4D3AF" w14:textId="77777777" w:rsidR="003C2B6B" w:rsidRPr="00395A72" w:rsidRDefault="003C2B6B" w:rsidP="005D7EE0">
      <w:pPr>
        <w:pStyle w:val="a3"/>
        <w:ind w:leftChars="354" w:left="850" w:firstLineChars="1" w:firstLine="3"/>
        <w:rPr>
          <w:rFonts w:ascii="標楷體" w:hAnsi="標楷體"/>
          <w:color w:val="000000" w:themeColor="text1"/>
          <w:sz w:val="28"/>
          <w:szCs w:val="28"/>
        </w:rPr>
      </w:pPr>
      <w:r w:rsidRPr="00395A72">
        <w:rPr>
          <w:rFonts w:ascii="標楷體" w:hAnsi="標楷體" w:hint="eastAsia"/>
          <w:color w:val="000000" w:themeColor="text1"/>
          <w:sz w:val="28"/>
          <w:szCs w:val="28"/>
        </w:rPr>
        <w:t>證券商宜考量營業活動對氣候變遷之直接衝擊、其營業活動轉型風險及實體風險之暴險，以及其營業活動所促成的氣候變遷之影響。</w:t>
      </w:r>
    </w:p>
    <w:p w14:paraId="6359965F" w14:textId="77777777" w:rsidR="003C2B6B" w:rsidRPr="00395A72" w:rsidRDefault="003C2B6B" w:rsidP="005D7EE0">
      <w:pPr>
        <w:pStyle w:val="a3"/>
        <w:ind w:leftChars="354" w:left="850" w:firstLineChars="1" w:firstLine="3"/>
        <w:rPr>
          <w:rFonts w:ascii="標楷體" w:hAnsi="標楷體"/>
          <w:color w:val="000000" w:themeColor="text1"/>
          <w:sz w:val="28"/>
          <w:szCs w:val="28"/>
        </w:rPr>
      </w:pPr>
      <w:r w:rsidRPr="00395A72">
        <w:rPr>
          <w:rFonts w:ascii="標楷體" w:hAnsi="標楷體" w:hint="eastAsia"/>
          <w:color w:val="000000" w:themeColor="text1"/>
          <w:sz w:val="28"/>
          <w:szCs w:val="28"/>
        </w:rPr>
        <w:t>綜合證券商宜考量其產品與服務，對轉型風險與（或）實體風險之暴險揭露。</w:t>
      </w:r>
    </w:p>
    <w:p w14:paraId="7EEAA462" w14:textId="77777777" w:rsidR="003C2B6B" w:rsidRPr="00395A72" w:rsidRDefault="003C2B6B" w:rsidP="005D7EE0">
      <w:pPr>
        <w:pStyle w:val="a3"/>
        <w:ind w:leftChars="354" w:left="850" w:firstLineChars="1" w:firstLine="3"/>
        <w:rPr>
          <w:rFonts w:ascii="標楷體" w:hAnsi="標楷體"/>
          <w:color w:val="000000" w:themeColor="text1"/>
          <w:sz w:val="28"/>
          <w:szCs w:val="28"/>
        </w:rPr>
      </w:pPr>
      <w:r w:rsidRPr="00395A72">
        <w:rPr>
          <w:rFonts w:ascii="標楷體" w:hAnsi="標楷體" w:hint="eastAsia"/>
          <w:color w:val="000000" w:themeColor="text1"/>
          <w:sz w:val="28"/>
          <w:szCs w:val="28"/>
        </w:rPr>
        <w:t>綜合證券商宜考量其資產和/或自營投資，對轉型風險及實體風險之暴險，以及其資產和/或自營投資所促成的氣候變遷之影響。</w:t>
      </w:r>
    </w:p>
    <w:p w14:paraId="0AB136B2" w14:textId="77777777" w:rsidR="003C2B6B" w:rsidRPr="00395A72" w:rsidRDefault="003C2B6B" w:rsidP="005D7EE0">
      <w:pPr>
        <w:pStyle w:val="a3"/>
        <w:ind w:leftChars="354" w:left="850" w:firstLineChars="1" w:firstLine="3"/>
        <w:rPr>
          <w:rFonts w:ascii="標楷體" w:hAnsi="標楷體"/>
          <w:color w:val="000000" w:themeColor="text1"/>
          <w:sz w:val="28"/>
          <w:szCs w:val="28"/>
        </w:rPr>
      </w:pPr>
      <w:r w:rsidRPr="00395A72">
        <w:rPr>
          <w:rFonts w:ascii="標楷體" w:hAnsi="標楷體"/>
          <w:color w:val="000000" w:themeColor="text1"/>
          <w:sz w:val="28"/>
          <w:szCs w:val="28"/>
        </w:rPr>
        <w:t>證券</w:t>
      </w:r>
      <w:r w:rsidRPr="00395A72">
        <w:rPr>
          <w:rFonts w:ascii="標楷體" w:hAnsi="標楷體" w:hint="eastAsia"/>
          <w:color w:val="000000" w:themeColor="text1"/>
          <w:sz w:val="28"/>
          <w:szCs w:val="28"/>
        </w:rPr>
        <w:t>商</w:t>
      </w:r>
      <w:r w:rsidRPr="00395A72">
        <w:rPr>
          <w:rFonts w:ascii="標楷體" w:hAnsi="標楷體"/>
          <w:color w:val="000000" w:themeColor="text1"/>
          <w:sz w:val="28"/>
          <w:szCs w:val="28"/>
        </w:rPr>
        <w:t>宜評估其承銷業務所涉及的產業可能造成或可能承受之轉型風險與實體風險。</w:t>
      </w:r>
    </w:p>
    <w:p w14:paraId="4B8BFE24" w14:textId="77777777" w:rsidR="00946DD7" w:rsidRPr="00395A72" w:rsidRDefault="00946DD7" w:rsidP="00946DD7">
      <w:pPr>
        <w:spacing w:before="50" w:after="50"/>
        <w:ind w:leftChars="177" w:left="708" w:hangingChars="101" w:hanging="283"/>
        <w:jc w:val="both"/>
        <w:rPr>
          <w:rFonts w:ascii="標楷體" w:hAnsi="標楷體"/>
          <w:color w:val="000000" w:themeColor="text1"/>
          <w:sz w:val="28"/>
          <w:szCs w:val="28"/>
        </w:rPr>
      </w:pPr>
      <w:r w:rsidRPr="00395A72">
        <w:rPr>
          <w:rFonts w:ascii="標楷體" w:hAnsi="標楷體" w:hint="eastAsia"/>
          <w:sz w:val="28"/>
          <w:szCs w:val="28"/>
        </w:rPr>
        <w:lastRenderedPageBreak/>
        <w:t>8.</w:t>
      </w:r>
      <w:r w:rsidR="005F59D3" w:rsidRPr="00395A72">
        <w:rPr>
          <w:rFonts w:ascii="標楷體" w:hAnsi="標楷體" w:hint="eastAsia"/>
          <w:sz w:val="28"/>
          <w:szCs w:val="28"/>
        </w:rPr>
        <w:t>氣</w:t>
      </w:r>
      <w:r w:rsidRPr="00395A72">
        <w:rPr>
          <w:rFonts w:ascii="標楷體" w:hAnsi="標楷體" w:hint="eastAsia"/>
          <w:color w:val="000000" w:themeColor="text1"/>
          <w:sz w:val="28"/>
          <w:szCs w:val="28"/>
        </w:rPr>
        <w:t>候相關風險係指因氣候變遷而與低碳轉型相關，可能對公司財務、策略、營運、產品和聲譽產生之轉型風險，以及因氣候變遷而造成極端氣候，對公司財務與營運產生之實體風險。</w:t>
      </w:r>
    </w:p>
    <w:p w14:paraId="54A17CC0" w14:textId="77777777" w:rsidR="00946DD7" w:rsidRPr="00395A72" w:rsidRDefault="00946DD7" w:rsidP="00946DD7">
      <w:pPr>
        <w:pStyle w:val="a3"/>
        <w:ind w:leftChars="295" w:left="756" w:hangingChars="17" w:hanging="48"/>
        <w:rPr>
          <w:rFonts w:ascii="標楷體" w:hAnsi="標楷體"/>
          <w:color w:val="000000" w:themeColor="text1"/>
          <w:sz w:val="28"/>
          <w:szCs w:val="28"/>
        </w:rPr>
      </w:pPr>
      <w:r w:rsidRPr="00395A72">
        <w:rPr>
          <w:rFonts w:ascii="標楷體" w:hAnsi="標楷體" w:hint="eastAsia"/>
          <w:color w:val="000000" w:themeColor="text1"/>
          <w:sz w:val="28"/>
          <w:szCs w:val="28"/>
        </w:rPr>
        <w:t>證券商描述公司所鑑別的短、中、長期氣候相關風險與機會時：</w:t>
      </w:r>
    </w:p>
    <w:p w14:paraId="523BAB23" w14:textId="77777777" w:rsidR="00946DD7" w:rsidRPr="00395A72" w:rsidRDefault="00946DD7" w:rsidP="007511CF">
      <w:pPr>
        <w:ind w:firstLineChars="253" w:firstLine="708"/>
        <w:rPr>
          <w:rFonts w:ascii="標楷體" w:hAnsi="標楷體"/>
          <w:color w:val="000000" w:themeColor="text1"/>
          <w:sz w:val="28"/>
          <w:szCs w:val="28"/>
        </w:rPr>
      </w:pPr>
      <w:r w:rsidRPr="00395A72">
        <w:rPr>
          <w:rFonts w:ascii="標楷體" w:hAnsi="標楷體" w:hint="eastAsia"/>
          <w:color w:val="000000" w:themeColor="text1"/>
          <w:sz w:val="28"/>
          <w:szCs w:val="28"/>
        </w:rPr>
        <w:t>(1)宜揭露評估短、中、長期氣候風險與機會之時間區間。</w:t>
      </w:r>
    </w:p>
    <w:p w14:paraId="5621524D" w14:textId="77777777" w:rsidR="00946DD7" w:rsidRPr="00395A72" w:rsidRDefault="00946DD7" w:rsidP="007511CF">
      <w:pPr>
        <w:ind w:leftChars="295" w:left="1131" w:hangingChars="151" w:hanging="423"/>
        <w:rPr>
          <w:rFonts w:ascii="標楷體" w:hAnsi="標楷體"/>
          <w:color w:val="000000" w:themeColor="text1"/>
          <w:sz w:val="28"/>
          <w:szCs w:val="28"/>
        </w:rPr>
      </w:pPr>
      <w:r w:rsidRPr="00395A72">
        <w:rPr>
          <w:rFonts w:ascii="標楷體" w:hAnsi="標楷體" w:hint="eastAsia"/>
          <w:sz w:val="28"/>
          <w:szCs w:val="28"/>
        </w:rPr>
        <w:t>(2)宜</w:t>
      </w:r>
      <w:r w:rsidRPr="00395A72">
        <w:rPr>
          <w:rFonts w:ascii="標楷體" w:hAnsi="標楷體" w:hint="eastAsia"/>
          <w:color w:val="000000" w:themeColor="text1"/>
          <w:sz w:val="28"/>
          <w:szCs w:val="28"/>
        </w:rPr>
        <w:t>揭露鑑別氣候相關風險與機會的方法，包含氣候相關風險的類別、轉型風險和</w:t>
      </w:r>
      <w:r w:rsidRPr="00395A72">
        <w:rPr>
          <w:rFonts w:ascii="標楷體" w:hAnsi="標楷體"/>
          <w:color w:val="000000" w:themeColor="text1"/>
          <w:sz w:val="28"/>
          <w:szCs w:val="28"/>
        </w:rPr>
        <w:t>/</w:t>
      </w:r>
      <w:r w:rsidRPr="00395A72">
        <w:rPr>
          <w:rFonts w:ascii="標楷體" w:hAnsi="標楷體" w:hint="eastAsia"/>
          <w:color w:val="000000" w:themeColor="text1"/>
          <w:sz w:val="28"/>
          <w:szCs w:val="28"/>
        </w:rPr>
        <w:t>或實體風險的樣態，描述所導入之氣候情境等。</w:t>
      </w:r>
    </w:p>
    <w:p w14:paraId="575F4616" w14:textId="77777777" w:rsidR="00D421F4" w:rsidRPr="00395A72" w:rsidRDefault="00D421F4" w:rsidP="00327850">
      <w:pPr>
        <w:ind w:leftChars="177" w:left="705" w:hangingChars="100" w:hanging="280"/>
        <w:rPr>
          <w:rFonts w:ascii="標楷體" w:hAnsi="標楷體"/>
          <w:color w:val="000000" w:themeColor="text1"/>
          <w:sz w:val="28"/>
          <w:szCs w:val="28"/>
        </w:rPr>
      </w:pPr>
      <w:r w:rsidRPr="00395A72">
        <w:rPr>
          <w:rFonts w:ascii="標楷體" w:hAnsi="標楷體" w:hint="eastAsia"/>
          <w:sz w:val="28"/>
          <w:szCs w:val="28"/>
        </w:rPr>
        <w:t>9.</w:t>
      </w:r>
      <w:r w:rsidRPr="00395A72">
        <w:rPr>
          <w:rFonts w:ascii="標楷體" w:hAnsi="標楷體" w:hint="eastAsia"/>
          <w:color w:val="000000" w:themeColor="text1"/>
          <w:sz w:val="28"/>
          <w:szCs w:val="28"/>
        </w:rPr>
        <w:t>證券商描述在業務、策略和財務規劃上與氣候相關風險的衝擊與機會時：</w:t>
      </w:r>
    </w:p>
    <w:p w14:paraId="7D10AC54" w14:textId="77777777" w:rsidR="00D421F4" w:rsidRPr="00395A72" w:rsidRDefault="00D421F4" w:rsidP="00D421F4">
      <w:pPr>
        <w:ind w:leftChars="296" w:left="1133" w:hangingChars="151" w:hanging="423"/>
        <w:rPr>
          <w:rFonts w:ascii="標楷體" w:hAnsi="標楷體"/>
          <w:color w:val="000000" w:themeColor="text1"/>
          <w:sz w:val="28"/>
          <w:szCs w:val="28"/>
        </w:rPr>
      </w:pPr>
      <w:r w:rsidRPr="00395A72">
        <w:rPr>
          <w:rFonts w:ascii="標楷體" w:hAnsi="標楷體" w:hint="eastAsia"/>
          <w:sz w:val="28"/>
          <w:szCs w:val="28"/>
        </w:rPr>
        <w:t>(1)</w:t>
      </w:r>
      <w:r w:rsidRPr="00395A72">
        <w:rPr>
          <w:rFonts w:ascii="標楷體" w:hAnsi="標楷體" w:hint="eastAsia"/>
          <w:color w:val="000000" w:themeColor="text1"/>
          <w:sz w:val="28"/>
          <w:szCs w:val="28"/>
        </w:rPr>
        <w:t>揭露氣候相關營運衝擊評估時，宜揭露氣候風險之影響程度及發生頻率，並視其重大性擬定因應措施。</w:t>
      </w:r>
    </w:p>
    <w:p w14:paraId="03B019C4" w14:textId="77777777" w:rsidR="00D421F4" w:rsidRPr="00395A72" w:rsidRDefault="00D421F4" w:rsidP="00D421F4">
      <w:pPr>
        <w:ind w:leftChars="296" w:left="1133" w:hangingChars="151" w:hanging="423"/>
        <w:rPr>
          <w:rFonts w:ascii="標楷體" w:hAnsi="標楷體"/>
          <w:color w:val="000000" w:themeColor="text1"/>
          <w:sz w:val="28"/>
          <w:szCs w:val="28"/>
        </w:rPr>
      </w:pPr>
      <w:r w:rsidRPr="00395A72">
        <w:rPr>
          <w:rFonts w:ascii="標楷體" w:hAnsi="標楷體" w:hint="eastAsia"/>
          <w:sz w:val="28"/>
          <w:szCs w:val="28"/>
        </w:rPr>
        <w:t>(2)</w:t>
      </w:r>
      <w:r w:rsidRPr="00395A72">
        <w:rPr>
          <w:rFonts w:ascii="標楷體" w:hAnsi="標楷體" w:hint="eastAsia"/>
          <w:color w:val="000000" w:themeColor="text1"/>
          <w:sz w:val="28"/>
          <w:szCs w:val="28"/>
        </w:rPr>
        <w:t>宜視其重大性揭露氣候風險與機會在不同期間</w:t>
      </w:r>
      <w:r w:rsidRPr="00395A72">
        <w:rPr>
          <w:rFonts w:ascii="標楷體" w:hAnsi="標楷體"/>
          <w:color w:val="000000" w:themeColor="text1"/>
          <w:sz w:val="28"/>
          <w:szCs w:val="28"/>
        </w:rPr>
        <w:t>(</w:t>
      </w:r>
      <w:r w:rsidRPr="00395A72">
        <w:rPr>
          <w:rFonts w:ascii="標楷體" w:hAnsi="標楷體" w:hint="eastAsia"/>
          <w:color w:val="000000" w:themeColor="text1"/>
          <w:sz w:val="28"/>
          <w:szCs w:val="28"/>
        </w:rPr>
        <w:t>短、中、長期</w:t>
      </w:r>
      <w:r w:rsidRPr="00395A72">
        <w:rPr>
          <w:rFonts w:ascii="標楷體" w:hAnsi="標楷體"/>
          <w:color w:val="000000" w:themeColor="text1"/>
          <w:sz w:val="28"/>
          <w:szCs w:val="28"/>
        </w:rPr>
        <w:t>)</w:t>
      </w:r>
      <w:r w:rsidRPr="00395A72">
        <w:rPr>
          <w:rFonts w:ascii="標楷體" w:hAnsi="標楷體" w:hint="eastAsia"/>
          <w:color w:val="000000" w:themeColor="text1"/>
          <w:sz w:val="28"/>
          <w:szCs w:val="28"/>
        </w:rPr>
        <w:t>下，對公司營運、策略、產品與財務規劃等之影響。</w:t>
      </w:r>
    </w:p>
    <w:p w14:paraId="15D92270" w14:textId="77777777" w:rsidR="003164EE" w:rsidRPr="00395A72" w:rsidRDefault="003164EE" w:rsidP="00D421F4">
      <w:pPr>
        <w:ind w:leftChars="296" w:left="1133" w:hangingChars="151" w:hanging="423"/>
        <w:rPr>
          <w:rFonts w:ascii="標楷體" w:hAnsi="標楷體"/>
          <w:color w:val="000000" w:themeColor="text1"/>
          <w:sz w:val="28"/>
          <w:szCs w:val="28"/>
        </w:rPr>
      </w:pPr>
      <w:r w:rsidRPr="00395A72">
        <w:rPr>
          <w:rFonts w:ascii="標楷體" w:hAnsi="標楷體" w:hint="eastAsia"/>
          <w:sz w:val="28"/>
          <w:szCs w:val="28"/>
        </w:rPr>
        <w:t>(3)</w:t>
      </w:r>
      <w:r w:rsidRPr="00395A72">
        <w:rPr>
          <w:rFonts w:ascii="標楷體" w:hAnsi="標楷體" w:hint="eastAsia"/>
          <w:color w:val="000000" w:themeColor="text1"/>
          <w:sz w:val="28"/>
          <w:szCs w:val="28"/>
        </w:rPr>
        <w:t>有關財務風險及影響評估，公司宜揭露收入、成本</w:t>
      </w:r>
      <w:r w:rsidRPr="00395A72">
        <w:rPr>
          <w:rFonts w:ascii="標楷體" w:hAnsi="標楷體"/>
          <w:color w:val="000000" w:themeColor="text1"/>
          <w:sz w:val="28"/>
          <w:szCs w:val="28"/>
        </w:rPr>
        <w:t>/</w:t>
      </w:r>
      <w:r w:rsidRPr="00395A72">
        <w:rPr>
          <w:rFonts w:ascii="標楷體" w:hAnsi="標楷體" w:hint="eastAsia"/>
          <w:color w:val="000000" w:themeColor="text1"/>
          <w:sz w:val="28"/>
          <w:szCs w:val="28"/>
        </w:rPr>
        <w:t>費用、資產</w:t>
      </w:r>
      <w:r w:rsidRPr="00395A72">
        <w:rPr>
          <w:rFonts w:ascii="標楷體" w:hAnsi="標楷體"/>
          <w:color w:val="000000" w:themeColor="text1"/>
          <w:sz w:val="28"/>
          <w:szCs w:val="28"/>
        </w:rPr>
        <w:t>/</w:t>
      </w:r>
      <w:r w:rsidRPr="00395A72">
        <w:rPr>
          <w:rFonts w:ascii="標楷體" w:hAnsi="標楷體" w:hint="eastAsia"/>
          <w:color w:val="000000" w:themeColor="text1"/>
          <w:sz w:val="28"/>
          <w:szCs w:val="28"/>
        </w:rPr>
        <w:t>負債以及資本</w:t>
      </w:r>
      <w:r w:rsidRPr="00395A72">
        <w:rPr>
          <w:rFonts w:ascii="標楷體" w:hAnsi="標楷體"/>
          <w:color w:val="000000" w:themeColor="text1"/>
          <w:sz w:val="28"/>
          <w:szCs w:val="28"/>
        </w:rPr>
        <w:t>/</w:t>
      </w:r>
      <w:r w:rsidRPr="00395A72">
        <w:rPr>
          <w:rFonts w:ascii="標楷體" w:hAnsi="標楷體" w:hint="eastAsia"/>
          <w:color w:val="000000" w:themeColor="text1"/>
          <w:sz w:val="28"/>
          <w:szCs w:val="28"/>
        </w:rPr>
        <w:t>融資等四個方面至少其中之一的財務影響。</w:t>
      </w:r>
    </w:p>
    <w:p w14:paraId="460AD8EF" w14:textId="77777777" w:rsidR="004D4606" w:rsidRPr="00395A72" w:rsidRDefault="004D4606" w:rsidP="00D421F4">
      <w:pPr>
        <w:ind w:leftChars="296" w:left="1133" w:hangingChars="151" w:hanging="423"/>
        <w:rPr>
          <w:rFonts w:ascii="標楷體" w:hAnsi="標楷體"/>
          <w:color w:val="000000" w:themeColor="text1"/>
          <w:sz w:val="28"/>
          <w:szCs w:val="28"/>
        </w:rPr>
      </w:pPr>
      <w:r w:rsidRPr="00395A72">
        <w:rPr>
          <w:rFonts w:ascii="標楷體" w:hAnsi="標楷體" w:hint="eastAsia"/>
          <w:sz w:val="28"/>
          <w:szCs w:val="28"/>
        </w:rPr>
        <w:t>(4)</w:t>
      </w:r>
      <w:r w:rsidRPr="00395A72">
        <w:rPr>
          <w:rFonts w:ascii="標楷體" w:hAnsi="標楷體" w:hint="eastAsia"/>
          <w:color w:val="000000" w:themeColor="text1"/>
          <w:sz w:val="28"/>
          <w:szCs w:val="28"/>
        </w:rPr>
        <w:t>綜合證券商宜辨識氣候風險與信用風險、市場風險、流動性風險及作業風險之關聯性。</w:t>
      </w:r>
    </w:p>
    <w:p w14:paraId="29313625" w14:textId="77777777" w:rsidR="004D4606" w:rsidRPr="00395A72" w:rsidRDefault="004D4606" w:rsidP="00D421F4">
      <w:pPr>
        <w:ind w:leftChars="296" w:left="1133" w:hangingChars="151" w:hanging="423"/>
        <w:rPr>
          <w:rFonts w:ascii="標楷體" w:hAnsi="標楷體"/>
          <w:color w:val="000000" w:themeColor="text1"/>
          <w:sz w:val="28"/>
          <w:szCs w:val="28"/>
        </w:rPr>
      </w:pPr>
      <w:r w:rsidRPr="00395A72">
        <w:rPr>
          <w:rFonts w:ascii="標楷體" w:hAnsi="標楷體" w:hint="eastAsia"/>
          <w:color w:val="000000" w:themeColor="text1"/>
          <w:sz w:val="28"/>
          <w:szCs w:val="28"/>
        </w:rPr>
        <w:t>(5)綜合證券商宜描述高碳排放相關資產和</w:t>
      </w:r>
      <w:r w:rsidRPr="00395A72">
        <w:rPr>
          <w:rFonts w:ascii="標楷體" w:hAnsi="標楷體"/>
          <w:color w:val="000000" w:themeColor="text1"/>
          <w:sz w:val="28"/>
          <w:szCs w:val="28"/>
        </w:rPr>
        <w:t>/</w:t>
      </w:r>
      <w:r w:rsidRPr="00395A72">
        <w:rPr>
          <w:rFonts w:ascii="標楷體" w:hAnsi="標楷體" w:hint="eastAsia"/>
          <w:color w:val="000000" w:themeColor="text1"/>
          <w:sz w:val="28"/>
          <w:szCs w:val="28"/>
        </w:rPr>
        <w:t>或高碳排放資產相關的產品與服務之現況與展望，以及其所屬產業受氣候轉型風險之影響。</w:t>
      </w:r>
    </w:p>
    <w:p w14:paraId="5FF703CE" w14:textId="77777777" w:rsidR="004D4606" w:rsidRPr="00395A72" w:rsidRDefault="004D4606" w:rsidP="004D4606">
      <w:pPr>
        <w:ind w:leftChars="472" w:left="1133" w:firstLine="1"/>
        <w:rPr>
          <w:rFonts w:ascii="標楷體" w:hAnsi="標楷體"/>
          <w:color w:val="000000" w:themeColor="text1"/>
          <w:sz w:val="28"/>
          <w:szCs w:val="28"/>
        </w:rPr>
      </w:pPr>
      <w:r w:rsidRPr="00395A72">
        <w:rPr>
          <w:rFonts w:ascii="標楷體" w:hAnsi="標楷體" w:hint="eastAsia"/>
          <w:color w:val="000000" w:themeColor="text1"/>
          <w:sz w:val="28"/>
          <w:szCs w:val="28"/>
        </w:rPr>
        <w:t>如適用，宜描述氣候相關之機會或風險因子如何被納入相關產品與服務和/或投資策略中；公司亦得描述這些產品與服務和/或投資策略，在低碳經濟轉型可能遭受之影響。</w:t>
      </w:r>
    </w:p>
    <w:p w14:paraId="2259D1ED" w14:textId="77777777" w:rsidR="009B77B8" w:rsidRPr="00395A72" w:rsidRDefault="009B77B8" w:rsidP="009B77B8">
      <w:pPr>
        <w:ind w:leftChars="295" w:left="1134" w:hangingChars="152" w:hanging="426"/>
        <w:rPr>
          <w:rFonts w:ascii="標楷體" w:hAnsi="標楷體"/>
          <w:color w:val="000000" w:themeColor="text1"/>
          <w:sz w:val="28"/>
          <w:szCs w:val="28"/>
        </w:rPr>
      </w:pPr>
      <w:r w:rsidRPr="00395A72">
        <w:rPr>
          <w:rFonts w:ascii="標楷體" w:hAnsi="標楷體" w:hint="eastAsia"/>
          <w:color w:val="000000" w:themeColor="text1"/>
          <w:sz w:val="28"/>
          <w:szCs w:val="28"/>
        </w:rPr>
        <w:t>(6)評估氣候相關風險的基準宜考量溫室氣體排放、面對極端天氣事件之脆弱度、對非再生能源、森林砍伐和汙染之關係程度時：</w:t>
      </w:r>
    </w:p>
    <w:p w14:paraId="6AD72DA3" w14:textId="77777777" w:rsidR="009B77B8" w:rsidRPr="00395A72" w:rsidRDefault="009B77B8" w:rsidP="009B77B8">
      <w:pPr>
        <w:ind w:leftChars="472" w:left="1416" w:hangingChars="101" w:hanging="283"/>
        <w:rPr>
          <w:rFonts w:ascii="標楷體" w:hAnsi="標楷體"/>
          <w:color w:val="000000" w:themeColor="text1"/>
          <w:sz w:val="28"/>
          <w:szCs w:val="28"/>
        </w:rPr>
      </w:pPr>
      <w:r w:rsidRPr="00395A72">
        <w:rPr>
          <w:rFonts w:ascii="新細明體" w:eastAsia="新細明體" w:hAnsi="新細明體" w:cs="新細明體" w:hint="eastAsia"/>
          <w:color w:val="000000" w:themeColor="text1"/>
          <w:sz w:val="28"/>
          <w:szCs w:val="28"/>
        </w:rPr>
        <w:t>①</w:t>
      </w:r>
      <w:r w:rsidRPr="00395A72">
        <w:rPr>
          <w:rFonts w:ascii="標楷體" w:hAnsi="標楷體" w:hint="eastAsia"/>
          <w:color w:val="000000" w:themeColor="text1"/>
          <w:sz w:val="28"/>
          <w:szCs w:val="28"/>
        </w:rPr>
        <w:t>面對有較高環境風險之產業，綜合證券商宜發展特定的產業指引以作為其資產和/或自營投資決策的評估基準，以協助投資從業人員理</w:t>
      </w:r>
      <w:r w:rsidRPr="00395A72">
        <w:rPr>
          <w:rFonts w:ascii="標楷體" w:hAnsi="標楷體" w:hint="eastAsia"/>
          <w:color w:val="000000" w:themeColor="text1"/>
          <w:sz w:val="28"/>
          <w:szCs w:val="28"/>
        </w:rPr>
        <w:lastRenderedPageBreak/>
        <w:t>解該特定產業之環境議題。</w:t>
      </w:r>
    </w:p>
    <w:p w14:paraId="5BFEBD6D" w14:textId="77777777" w:rsidR="009B77B8" w:rsidRPr="00395A72" w:rsidRDefault="009B77B8" w:rsidP="009B77B8">
      <w:pPr>
        <w:ind w:leftChars="472" w:left="1416" w:hangingChars="101" w:hanging="283"/>
        <w:rPr>
          <w:rFonts w:ascii="標楷體" w:hAnsi="標楷體"/>
          <w:color w:val="000000" w:themeColor="text1"/>
          <w:sz w:val="28"/>
          <w:szCs w:val="28"/>
        </w:rPr>
      </w:pPr>
      <w:r w:rsidRPr="00395A72">
        <w:rPr>
          <w:rFonts w:ascii="新細明體" w:eastAsia="新細明體" w:hAnsi="新細明體" w:cs="新細明體" w:hint="eastAsia"/>
          <w:color w:val="000000" w:themeColor="text1"/>
          <w:sz w:val="28"/>
          <w:szCs w:val="28"/>
        </w:rPr>
        <w:t>②</w:t>
      </w:r>
      <w:r w:rsidRPr="00395A72">
        <w:rPr>
          <w:rFonts w:ascii="標楷體" w:hAnsi="標楷體" w:hint="eastAsia"/>
          <w:color w:val="000000" w:themeColor="text1"/>
          <w:sz w:val="28"/>
          <w:szCs w:val="28"/>
        </w:rPr>
        <w:t>如適用，前款該特定的產業指引得援引國際認可之永續準則、國際認可之認證機制和/或被投資公司的環境或氣候管理策略。</w:t>
      </w:r>
    </w:p>
    <w:p w14:paraId="56B5D823" w14:textId="77777777" w:rsidR="00E276DF" w:rsidRPr="00395A72" w:rsidRDefault="00E276DF" w:rsidP="00782CB7">
      <w:pPr>
        <w:ind w:leftChars="176" w:left="848" w:hangingChars="152" w:hanging="426"/>
        <w:rPr>
          <w:rFonts w:ascii="標楷體" w:hAnsi="標楷體"/>
          <w:color w:val="000000" w:themeColor="text1"/>
          <w:sz w:val="28"/>
          <w:szCs w:val="28"/>
        </w:rPr>
      </w:pPr>
      <w:r w:rsidRPr="00395A72">
        <w:rPr>
          <w:rFonts w:ascii="標楷體" w:hAnsi="標楷體" w:hint="eastAsia"/>
          <w:sz w:val="28"/>
          <w:szCs w:val="28"/>
        </w:rPr>
        <w:t>10.</w:t>
      </w:r>
      <w:r w:rsidR="00782CB7" w:rsidRPr="00395A72">
        <w:rPr>
          <w:rFonts w:ascii="標楷體" w:hAnsi="標楷體" w:hint="eastAsia"/>
          <w:color w:val="000000" w:themeColor="text1"/>
          <w:sz w:val="28"/>
          <w:szCs w:val="28"/>
        </w:rPr>
        <w:t>證券商描述在策略上的韌性，並考慮不同氣候相關情境</w:t>
      </w:r>
      <w:r w:rsidR="00782CB7" w:rsidRPr="00395A72">
        <w:rPr>
          <w:rFonts w:ascii="標楷體" w:hAnsi="標楷體"/>
          <w:color w:val="000000" w:themeColor="text1"/>
          <w:sz w:val="28"/>
          <w:szCs w:val="28"/>
        </w:rPr>
        <w:t>(</w:t>
      </w:r>
      <w:r w:rsidR="00782CB7" w:rsidRPr="00395A72">
        <w:rPr>
          <w:rFonts w:ascii="標楷體" w:hAnsi="標楷體" w:hint="eastAsia"/>
          <w:color w:val="000000" w:themeColor="text1"/>
          <w:sz w:val="28"/>
          <w:szCs w:val="28"/>
        </w:rPr>
        <w:t>包括</w:t>
      </w:r>
      <w:r w:rsidR="00782CB7" w:rsidRPr="00395A72">
        <w:rPr>
          <w:rFonts w:ascii="標楷體" w:hAnsi="標楷體"/>
          <w:color w:val="000000" w:themeColor="text1"/>
          <w:sz w:val="28"/>
          <w:szCs w:val="28"/>
        </w:rPr>
        <w:t>2˚C</w:t>
      </w:r>
      <w:r w:rsidR="00782CB7" w:rsidRPr="00395A72">
        <w:rPr>
          <w:rFonts w:ascii="標楷體" w:hAnsi="標楷體" w:hint="eastAsia"/>
          <w:color w:val="000000" w:themeColor="text1"/>
          <w:sz w:val="28"/>
          <w:szCs w:val="28"/>
        </w:rPr>
        <w:t>或更嚴苛的情境</w:t>
      </w:r>
      <w:r w:rsidR="00782CB7" w:rsidRPr="00395A72">
        <w:rPr>
          <w:rFonts w:ascii="標楷體" w:hAnsi="標楷體"/>
          <w:color w:val="000000" w:themeColor="text1"/>
          <w:sz w:val="28"/>
          <w:szCs w:val="28"/>
        </w:rPr>
        <w:t>)</w:t>
      </w:r>
      <w:r w:rsidR="00782CB7" w:rsidRPr="00395A72">
        <w:rPr>
          <w:rFonts w:ascii="標楷體" w:hAnsi="標楷體" w:hint="eastAsia"/>
          <w:color w:val="000000" w:themeColor="text1"/>
          <w:sz w:val="28"/>
          <w:szCs w:val="28"/>
        </w:rPr>
        <w:t>時:</w:t>
      </w:r>
    </w:p>
    <w:p w14:paraId="193192E1" w14:textId="77777777" w:rsidR="00782CB7" w:rsidRPr="00395A72" w:rsidRDefault="00782CB7" w:rsidP="00327850">
      <w:pPr>
        <w:ind w:leftChars="295" w:left="1134" w:hangingChars="152" w:hanging="426"/>
        <w:rPr>
          <w:rFonts w:ascii="標楷體" w:hAnsi="標楷體"/>
          <w:color w:val="000000" w:themeColor="text1"/>
          <w:sz w:val="28"/>
          <w:szCs w:val="28"/>
        </w:rPr>
      </w:pPr>
      <w:r w:rsidRPr="00395A72">
        <w:rPr>
          <w:rFonts w:ascii="標楷體" w:hAnsi="標楷體" w:hint="eastAsia"/>
          <w:sz w:val="28"/>
          <w:szCs w:val="28"/>
        </w:rPr>
        <w:t>(1)</w:t>
      </w:r>
      <w:r w:rsidR="00327850" w:rsidRPr="00395A72">
        <w:rPr>
          <w:rFonts w:ascii="標楷體" w:hAnsi="標楷體" w:hint="eastAsia"/>
          <w:color w:val="000000" w:themeColor="text1"/>
          <w:sz w:val="28"/>
          <w:szCs w:val="28"/>
        </w:rPr>
        <w:t>宜揭露低碳轉型計畫，以描述組織策略對氣候相關風險與機會之韌性。</w:t>
      </w:r>
    </w:p>
    <w:p w14:paraId="1DDC8540" w14:textId="77777777" w:rsidR="00327850" w:rsidRPr="00395A72" w:rsidRDefault="00327850" w:rsidP="00327850">
      <w:pPr>
        <w:ind w:leftChars="295" w:left="1134" w:hangingChars="152" w:hanging="426"/>
        <w:rPr>
          <w:rFonts w:ascii="標楷體" w:hAnsi="標楷體"/>
          <w:color w:val="000000" w:themeColor="text1"/>
          <w:sz w:val="28"/>
          <w:szCs w:val="28"/>
        </w:rPr>
      </w:pPr>
      <w:r w:rsidRPr="00395A72">
        <w:rPr>
          <w:rFonts w:ascii="標楷體" w:hAnsi="標楷體" w:hint="eastAsia"/>
          <w:sz w:val="28"/>
          <w:szCs w:val="28"/>
        </w:rPr>
        <w:t>(2)</w:t>
      </w:r>
      <w:r w:rsidRPr="00395A72">
        <w:rPr>
          <w:rFonts w:ascii="標楷體" w:hAnsi="標楷體" w:hint="eastAsia"/>
          <w:color w:val="000000" w:themeColor="text1"/>
          <w:sz w:val="28"/>
          <w:szCs w:val="28"/>
        </w:rPr>
        <w:t>宜揭露如何透過不同氣候變遷情境之路徑分析，了解自身氣候風險相關策略之韌性與調適策略適當性後，所做出之策略調整。</w:t>
      </w:r>
    </w:p>
    <w:p w14:paraId="2FF0B4FA" w14:textId="77777777" w:rsidR="00327850" w:rsidRPr="00395A72" w:rsidRDefault="00327850" w:rsidP="00402861">
      <w:pPr>
        <w:ind w:leftChars="295" w:left="1134" w:hangingChars="152" w:hanging="426"/>
        <w:rPr>
          <w:rFonts w:ascii="標楷體" w:hAnsi="標楷體"/>
          <w:color w:val="000000" w:themeColor="text1"/>
          <w:sz w:val="28"/>
          <w:szCs w:val="28"/>
        </w:rPr>
      </w:pPr>
      <w:r w:rsidRPr="00395A72">
        <w:rPr>
          <w:rFonts w:ascii="標楷體" w:hAnsi="標楷體" w:hint="eastAsia"/>
          <w:sz w:val="28"/>
          <w:szCs w:val="28"/>
        </w:rPr>
        <w:t>(3)</w:t>
      </w:r>
      <w:r w:rsidRPr="00395A72">
        <w:rPr>
          <w:rFonts w:ascii="標楷體" w:hAnsi="標楷體" w:hint="eastAsia"/>
          <w:color w:val="000000" w:themeColor="text1"/>
          <w:sz w:val="28"/>
          <w:szCs w:val="28"/>
        </w:rPr>
        <w:t>得揭露重大自然災害因應計畫，相關計畫通常包含總部與主要辦公室據點應對實體風險持續增加之情境。</w:t>
      </w:r>
    </w:p>
    <w:p w14:paraId="405BB4A9" w14:textId="77777777" w:rsidR="00402861" w:rsidRPr="00395A72" w:rsidRDefault="00402861" w:rsidP="00402861">
      <w:pPr>
        <w:ind w:leftChars="295" w:left="1134" w:hangingChars="152" w:hanging="426"/>
        <w:rPr>
          <w:rFonts w:ascii="標楷體" w:hAnsi="標楷體"/>
          <w:color w:val="000000" w:themeColor="text1"/>
          <w:sz w:val="28"/>
          <w:szCs w:val="28"/>
        </w:rPr>
      </w:pPr>
      <w:r w:rsidRPr="00395A72">
        <w:rPr>
          <w:rFonts w:ascii="標楷體" w:hAnsi="標楷體" w:hint="eastAsia"/>
          <w:sz w:val="28"/>
          <w:szCs w:val="28"/>
        </w:rPr>
        <w:t>(4)</w:t>
      </w:r>
      <w:r w:rsidRPr="00395A72">
        <w:rPr>
          <w:rFonts w:ascii="標楷體" w:hAnsi="標楷體" w:hint="eastAsia"/>
          <w:color w:val="000000" w:themeColor="text1"/>
          <w:sz w:val="28"/>
          <w:szCs w:val="28"/>
        </w:rPr>
        <w:t>如適用，得評估將氣候相關機會因子納入考量之金融商品，並考量揭露為公司本身之氣候相關機會。</w:t>
      </w:r>
    </w:p>
    <w:p w14:paraId="192E8912" w14:textId="77777777" w:rsidR="00F61A7B" w:rsidRPr="00395A72" w:rsidRDefault="00F61A7B" w:rsidP="00F61A7B">
      <w:pPr>
        <w:ind w:leftChars="177" w:left="851" w:hangingChars="152" w:hanging="426"/>
        <w:rPr>
          <w:rFonts w:ascii="標楷體" w:hAnsi="標楷體"/>
          <w:color w:val="000000" w:themeColor="text1"/>
          <w:sz w:val="28"/>
          <w:szCs w:val="28"/>
        </w:rPr>
      </w:pPr>
      <w:r w:rsidRPr="00395A72">
        <w:rPr>
          <w:rFonts w:ascii="標楷體" w:hAnsi="標楷體" w:hint="eastAsia"/>
          <w:sz w:val="28"/>
          <w:szCs w:val="28"/>
        </w:rPr>
        <w:t>11.</w:t>
      </w:r>
      <w:r w:rsidRPr="00395A72">
        <w:rPr>
          <w:rFonts w:ascii="標楷體" w:hAnsi="標楷體" w:hint="eastAsia"/>
          <w:color w:val="000000" w:themeColor="text1"/>
          <w:sz w:val="28"/>
          <w:szCs w:val="28"/>
        </w:rPr>
        <w:t>若氣候相關風險係屬重大，綜合證券商應發展情境分析之能力以評估氣候風險對投資組合之衝擊，包括投資組合在不同情境下面臨財務損失之韌性。</w:t>
      </w:r>
    </w:p>
    <w:p w14:paraId="294D2A91" w14:textId="77777777" w:rsidR="007E75AC" w:rsidRPr="00395A72" w:rsidRDefault="007E75AC" w:rsidP="007E75AC">
      <w:pPr>
        <w:ind w:leftChars="-59" w:left="849" w:hangingChars="354" w:hanging="991"/>
        <w:rPr>
          <w:rFonts w:ascii="標楷體" w:hAnsi="標楷體"/>
          <w:sz w:val="28"/>
          <w:szCs w:val="28"/>
        </w:rPr>
      </w:pPr>
      <w:r w:rsidRPr="00395A72">
        <w:rPr>
          <w:rFonts w:ascii="標楷體" w:hAnsi="標楷體" w:hint="eastAsia"/>
          <w:sz w:val="28"/>
          <w:szCs w:val="28"/>
        </w:rPr>
        <w:t>第四章 風險管理</w:t>
      </w:r>
    </w:p>
    <w:p w14:paraId="1066CAE7" w14:textId="77777777" w:rsidR="002C7574" w:rsidRPr="00395A72" w:rsidRDefault="002C7574" w:rsidP="002C7574">
      <w:pPr>
        <w:ind w:leftChars="177" w:left="848" w:hangingChars="151" w:hanging="423"/>
        <w:rPr>
          <w:rFonts w:ascii="標楷體" w:hAnsi="標楷體"/>
          <w:color w:val="000000" w:themeColor="text1"/>
          <w:sz w:val="28"/>
          <w:szCs w:val="28"/>
        </w:rPr>
      </w:pPr>
      <w:r w:rsidRPr="00395A72">
        <w:rPr>
          <w:rFonts w:ascii="標楷體" w:hAnsi="標楷體" w:hint="eastAsia"/>
          <w:sz w:val="28"/>
          <w:szCs w:val="28"/>
        </w:rPr>
        <w:t>12.</w:t>
      </w:r>
      <w:r w:rsidRPr="00395A72">
        <w:rPr>
          <w:rFonts w:ascii="標楷體" w:hAnsi="標楷體" w:hint="eastAsia"/>
          <w:color w:val="000000" w:themeColor="text1"/>
          <w:sz w:val="28"/>
          <w:szCs w:val="28"/>
        </w:rPr>
        <w:t>證券商應</w:t>
      </w:r>
      <w:r w:rsidRPr="00395A72">
        <w:rPr>
          <w:rFonts w:ascii="標楷體" w:hAnsi="標楷體" w:cs="標楷體" w:hint="eastAsia"/>
          <w:color w:val="000000" w:themeColor="text1"/>
          <w:sz w:val="28"/>
          <w:szCs w:val="28"/>
        </w:rPr>
        <w:t>揭露</w:t>
      </w:r>
      <w:r w:rsidRPr="00395A72">
        <w:rPr>
          <w:rFonts w:ascii="標楷體" w:hAnsi="標楷體" w:hint="eastAsia"/>
          <w:color w:val="000000" w:themeColor="text1"/>
          <w:sz w:val="28"/>
          <w:szCs w:val="28"/>
        </w:rPr>
        <w:t>其辨識及評估氣候相關風險之流程：宜說明其如何辨識與評估各產品或投資策略中的重大氣候相關風險。</w:t>
      </w:r>
    </w:p>
    <w:p w14:paraId="5282CBAB" w14:textId="77777777" w:rsidR="002C7574" w:rsidRPr="00395A72" w:rsidRDefault="002C7574" w:rsidP="002C7574">
      <w:pPr>
        <w:ind w:leftChars="177" w:left="848" w:hangingChars="151" w:hanging="423"/>
        <w:rPr>
          <w:rFonts w:ascii="標楷體" w:hAnsi="標楷體"/>
          <w:color w:val="000000" w:themeColor="text1"/>
          <w:sz w:val="28"/>
          <w:szCs w:val="28"/>
        </w:rPr>
      </w:pPr>
      <w:r w:rsidRPr="00395A72">
        <w:rPr>
          <w:rFonts w:ascii="標楷體" w:hAnsi="標楷體" w:hint="eastAsia"/>
          <w:sz w:val="28"/>
          <w:szCs w:val="28"/>
        </w:rPr>
        <w:t>13.</w:t>
      </w:r>
      <w:r w:rsidRPr="00395A72">
        <w:rPr>
          <w:rFonts w:ascii="標楷體" w:hAnsi="標楷體" w:hint="eastAsia"/>
          <w:color w:val="000000" w:themeColor="text1"/>
          <w:sz w:val="28"/>
          <w:szCs w:val="28"/>
        </w:rPr>
        <w:t>證券商應揭露其管理氣候相關風險的流程：</w:t>
      </w:r>
    </w:p>
    <w:p w14:paraId="7ECC5175" w14:textId="77777777" w:rsidR="002C7574" w:rsidRPr="00395A72" w:rsidRDefault="002C7574" w:rsidP="00051D52">
      <w:pPr>
        <w:ind w:leftChars="295" w:left="1134" w:hangingChars="152" w:hanging="426"/>
        <w:rPr>
          <w:rFonts w:ascii="標楷體" w:hAnsi="標楷體"/>
          <w:color w:val="000000" w:themeColor="text1"/>
          <w:sz w:val="28"/>
          <w:szCs w:val="28"/>
        </w:rPr>
      </w:pPr>
      <w:r w:rsidRPr="00395A72">
        <w:rPr>
          <w:rFonts w:ascii="標楷體" w:hAnsi="標楷體" w:hint="eastAsia"/>
          <w:sz w:val="28"/>
          <w:szCs w:val="28"/>
        </w:rPr>
        <w:t>(1)</w:t>
      </w:r>
      <w:r w:rsidRPr="00395A72">
        <w:rPr>
          <w:rFonts w:ascii="標楷體" w:hAnsi="標楷體" w:hint="eastAsia"/>
          <w:color w:val="000000" w:themeColor="text1"/>
          <w:sz w:val="28"/>
          <w:szCs w:val="28"/>
        </w:rPr>
        <w:t>如適用，得描述如何在各個產品或投資策略中管理所鑑別出之重大氣候風險。</w:t>
      </w:r>
    </w:p>
    <w:p w14:paraId="7F5DFCBF" w14:textId="77777777" w:rsidR="002C7574" w:rsidRPr="00395A72" w:rsidRDefault="002C7574" w:rsidP="00051D52">
      <w:pPr>
        <w:ind w:leftChars="295" w:left="1134" w:hangingChars="152" w:hanging="426"/>
        <w:rPr>
          <w:rFonts w:ascii="標楷體" w:hAnsi="標楷體"/>
          <w:color w:val="000000" w:themeColor="text1"/>
          <w:sz w:val="28"/>
          <w:szCs w:val="28"/>
        </w:rPr>
      </w:pPr>
      <w:r w:rsidRPr="00395A72">
        <w:rPr>
          <w:rFonts w:ascii="標楷體" w:hAnsi="標楷體" w:hint="eastAsia"/>
          <w:sz w:val="28"/>
          <w:szCs w:val="28"/>
        </w:rPr>
        <w:t>(2)</w:t>
      </w:r>
      <w:r w:rsidRPr="00395A72">
        <w:rPr>
          <w:rFonts w:ascii="標楷體" w:hAnsi="標楷體" w:hint="eastAsia"/>
          <w:color w:val="000000" w:themeColor="text1"/>
          <w:sz w:val="28"/>
          <w:szCs w:val="28"/>
        </w:rPr>
        <w:t>如適用，得依內部控制三道防線架構，明確劃分各防線之氣候風險管理職責。</w:t>
      </w:r>
    </w:p>
    <w:p w14:paraId="53B62658" w14:textId="77777777" w:rsidR="001C0E11" w:rsidRPr="00395A72" w:rsidRDefault="001C0E11" w:rsidP="001C0E11">
      <w:pPr>
        <w:ind w:leftChars="178" w:left="844" w:hangingChars="149" w:hanging="417"/>
        <w:rPr>
          <w:rFonts w:ascii="標楷體" w:hAnsi="標楷體"/>
          <w:color w:val="000000" w:themeColor="text1"/>
          <w:sz w:val="28"/>
          <w:szCs w:val="28"/>
        </w:rPr>
      </w:pPr>
      <w:r w:rsidRPr="00395A72">
        <w:rPr>
          <w:rFonts w:ascii="標楷體" w:hAnsi="標楷體" w:hint="eastAsia"/>
          <w:sz w:val="28"/>
          <w:szCs w:val="28"/>
        </w:rPr>
        <w:t>14.</w:t>
      </w:r>
      <w:r w:rsidRPr="00395A72">
        <w:rPr>
          <w:rFonts w:ascii="標楷體" w:hAnsi="標楷體" w:hint="eastAsia"/>
          <w:color w:val="000000" w:themeColor="text1"/>
          <w:sz w:val="28"/>
          <w:szCs w:val="28"/>
        </w:rPr>
        <w:t>證券商應描述其氣候相關風險之識別、評估與管理流程如何整合進公司</w:t>
      </w:r>
      <w:r w:rsidRPr="00395A72">
        <w:rPr>
          <w:rFonts w:ascii="標楷體" w:hAnsi="標楷體" w:hint="eastAsia"/>
          <w:color w:val="000000" w:themeColor="text1"/>
          <w:sz w:val="28"/>
          <w:szCs w:val="28"/>
        </w:rPr>
        <w:lastRenderedPageBreak/>
        <w:t>整體之風險管理體系。</w:t>
      </w:r>
    </w:p>
    <w:p w14:paraId="0DE9DAA9" w14:textId="77777777" w:rsidR="00FD367F" w:rsidRPr="00395A72" w:rsidRDefault="00FD367F" w:rsidP="00FD367F">
      <w:pPr>
        <w:ind w:leftChars="-59" w:left="844" w:hangingChars="352" w:hanging="986"/>
        <w:rPr>
          <w:rFonts w:ascii="標楷體" w:hAnsi="標楷體"/>
          <w:color w:val="000000" w:themeColor="text1"/>
          <w:sz w:val="28"/>
          <w:szCs w:val="28"/>
        </w:rPr>
      </w:pPr>
      <w:r w:rsidRPr="00395A72">
        <w:rPr>
          <w:rFonts w:ascii="標楷體" w:hAnsi="標楷體" w:hint="eastAsia"/>
          <w:color w:val="000000" w:themeColor="text1"/>
          <w:sz w:val="28"/>
          <w:szCs w:val="28"/>
        </w:rPr>
        <w:t>第五章 指標與目標</w:t>
      </w:r>
    </w:p>
    <w:p w14:paraId="5F762CF5" w14:textId="77777777" w:rsidR="00FD367F" w:rsidRPr="00A43C7D" w:rsidRDefault="00FD367F" w:rsidP="00FD367F">
      <w:pPr>
        <w:ind w:leftChars="177" w:left="842" w:hangingChars="149" w:hanging="417"/>
        <w:rPr>
          <w:rFonts w:ascii="標楷體" w:hAnsi="標楷體"/>
          <w:color w:val="000000" w:themeColor="text1"/>
          <w:sz w:val="28"/>
          <w:szCs w:val="28"/>
        </w:rPr>
      </w:pPr>
      <w:r w:rsidRPr="00A43C7D">
        <w:rPr>
          <w:rFonts w:ascii="標楷體" w:hAnsi="標楷體" w:hint="eastAsia"/>
          <w:color w:val="000000" w:themeColor="text1"/>
          <w:sz w:val="28"/>
          <w:szCs w:val="28"/>
        </w:rPr>
        <w:t>15.證券商宜揭露其依循策略和風險管理流程進行評估氣候相關風險與機會所使用的指標：</w:t>
      </w:r>
    </w:p>
    <w:p w14:paraId="53A7893F" w14:textId="77777777" w:rsidR="00FD367F" w:rsidRPr="00395A72" w:rsidRDefault="00FD367F" w:rsidP="00FD367F">
      <w:pPr>
        <w:ind w:leftChars="294" w:left="1132" w:hangingChars="152" w:hanging="426"/>
        <w:rPr>
          <w:rFonts w:ascii="標楷體" w:hAnsi="標楷體"/>
          <w:color w:val="000000" w:themeColor="text1"/>
          <w:sz w:val="28"/>
          <w:szCs w:val="28"/>
        </w:rPr>
      </w:pPr>
      <w:r w:rsidRPr="00395A72">
        <w:rPr>
          <w:rFonts w:ascii="標楷體" w:hAnsi="標楷體" w:hint="eastAsia"/>
          <w:color w:val="000000" w:themeColor="text1"/>
          <w:sz w:val="28"/>
          <w:szCs w:val="28"/>
        </w:rPr>
        <w:t>(1)宜描述各產品或投資策略中，用以評估氣候相關風險與機會的指標；如相關，公司得描述其指標隨時間所做的改變，並得考慮產業等因素之差異影響。</w:t>
      </w:r>
    </w:p>
    <w:p w14:paraId="5D491259" w14:textId="77777777" w:rsidR="00FD367F" w:rsidRPr="00395A72" w:rsidRDefault="00FD367F" w:rsidP="00FD367F">
      <w:pPr>
        <w:ind w:leftChars="295" w:left="840" w:hangingChars="47" w:hanging="132"/>
        <w:rPr>
          <w:rFonts w:ascii="標楷體" w:hAnsi="標楷體"/>
          <w:color w:val="000000" w:themeColor="text1"/>
          <w:sz w:val="28"/>
          <w:szCs w:val="28"/>
        </w:rPr>
      </w:pPr>
      <w:r w:rsidRPr="00395A72">
        <w:rPr>
          <w:rFonts w:ascii="標楷體" w:hAnsi="標楷體" w:hint="eastAsia"/>
          <w:color w:val="000000" w:themeColor="text1"/>
          <w:sz w:val="28"/>
          <w:szCs w:val="28"/>
        </w:rPr>
        <w:t>(2)宜提供在投資決策與監視時所考量之指標。</w:t>
      </w:r>
    </w:p>
    <w:p w14:paraId="5751BFB7" w14:textId="77777777" w:rsidR="00FD367F" w:rsidRPr="00395A72" w:rsidRDefault="00FD367F" w:rsidP="00FD367F">
      <w:pPr>
        <w:ind w:leftChars="295" w:left="840" w:hangingChars="47" w:hanging="132"/>
        <w:rPr>
          <w:rFonts w:ascii="標楷體" w:hAnsi="標楷體"/>
          <w:color w:val="000000" w:themeColor="text1"/>
          <w:sz w:val="28"/>
          <w:szCs w:val="28"/>
        </w:rPr>
      </w:pPr>
      <w:r w:rsidRPr="00395A72">
        <w:rPr>
          <w:rFonts w:ascii="標楷體" w:hAnsi="標楷體" w:hint="eastAsia"/>
          <w:color w:val="000000" w:themeColor="text1"/>
          <w:sz w:val="28"/>
          <w:szCs w:val="28"/>
        </w:rPr>
        <w:t>(3)</w:t>
      </w:r>
      <w:r w:rsidRPr="00395A72">
        <w:rPr>
          <w:rFonts w:ascii="標楷體" w:hAnsi="標楷體"/>
          <w:color w:val="000000" w:themeColor="text1"/>
          <w:sz w:val="28"/>
          <w:szCs w:val="28"/>
        </w:rPr>
        <w:t>得</w:t>
      </w:r>
      <w:r w:rsidRPr="00395A72">
        <w:rPr>
          <w:rFonts w:ascii="標楷體" w:hAnsi="標楷體" w:hint="eastAsia"/>
          <w:color w:val="000000" w:themeColor="text1"/>
          <w:sz w:val="28"/>
          <w:szCs w:val="28"/>
        </w:rPr>
        <w:t>揭露採用適合組織脈絡與能力之適當方法及指標。</w:t>
      </w:r>
    </w:p>
    <w:p w14:paraId="7634B215" w14:textId="77777777" w:rsidR="006D2C80" w:rsidRPr="00395A72" w:rsidRDefault="006D2C80" w:rsidP="006D2C80">
      <w:pPr>
        <w:ind w:leftChars="178" w:left="839" w:hangingChars="147" w:hanging="412"/>
        <w:rPr>
          <w:rFonts w:ascii="標楷體" w:hAnsi="標楷體"/>
          <w:color w:val="000000" w:themeColor="text1"/>
          <w:sz w:val="28"/>
          <w:szCs w:val="28"/>
        </w:rPr>
      </w:pPr>
      <w:r w:rsidRPr="00395A72">
        <w:rPr>
          <w:rFonts w:ascii="標楷體" w:hAnsi="標楷體" w:hint="eastAsia"/>
          <w:color w:val="000000" w:themeColor="text1"/>
          <w:sz w:val="28"/>
          <w:szCs w:val="28"/>
        </w:rPr>
        <w:t>16.證券商應揭露其溫室氣體排放：</w:t>
      </w:r>
    </w:p>
    <w:p w14:paraId="5EA0D154" w14:textId="77777777" w:rsidR="006D2C80" w:rsidRPr="00395A72" w:rsidRDefault="006D2C80" w:rsidP="006D2C80">
      <w:pPr>
        <w:ind w:leftChars="296" w:left="839" w:hangingChars="46" w:hanging="129"/>
        <w:rPr>
          <w:rFonts w:ascii="標楷體" w:hAnsi="標楷體"/>
          <w:color w:val="000000" w:themeColor="text1"/>
          <w:sz w:val="28"/>
          <w:szCs w:val="28"/>
        </w:rPr>
      </w:pPr>
      <w:r w:rsidRPr="00395A72">
        <w:rPr>
          <w:rFonts w:ascii="標楷體" w:hAnsi="標楷體" w:hint="eastAsia"/>
          <w:color w:val="000000" w:themeColor="text1"/>
          <w:sz w:val="28"/>
          <w:szCs w:val="28"/>
        </w:rPr>
        <w:t>(1)應揭露其組織範疇一與範疇二碳排放。</w:t>
      </w:r>
    </w:p>
    <w:p w14:paraId="5A8B6D8A" w14:textId="77777777" w:rsidR="006D2C80" w:rsidRPr="00395A72" w:rsidRDefault="006D2C80" w:rsidP="00D41672">
      <w:pPr>
        <w:ind w:leftChars="296" w:left="1133" w:hangingChars="151" w:hanging="423"/>
        <w:rPr>
          <w:rFonts w:ascii="標楷體" w:hAnsi="標楷體"/>
          <w:color w:val="000000" w:themeColor="text1"/>
          <w:sz w:val="28"/>
          <w:szCs w:val="28"/>
        </w:rPr>
      </w:pPr>
      <w:r w:rsidRPr="00395A72">
        <w:rPr>
          <w:rFonts w:ascii="標楷體" w:hAnsi="標楷體" w:hint="eastAsia"/>
          <w:color w:val="000000" w:themeColor="text1"/>
          <w:sz w:val="28"/>
          <w:szCs w:val="28"/>
        </w:rPr>
        <w:t>(2)範疇三類別15在數據可用或可被合理預估的情況下，公司宜提供各管理的資產、商品或投資的加權平均碳排放強度。溫室氣體排放之計算應依據Partnership for Carbon Accounting Financials (PCAF) 所制定Global GHG Accounting and Reporting for the Financial Industry 之方法學或其他具可比較性之方法學。</w:t>
      </w:r>
    </w:p>
    <w:p w14:paraId="31F621CC" w14:textId="77777777" w:rsidR="006D2C80" w:rsidRPr="00395A72" w:rsidRDefault="002E0E15" w:rsidP="006D2C80">
      <w:pPr>
        <w:ind w:leftChars="296" w:left="1133" w:hangingChars="151" w:hanging="423"/>
        <w:rPr>
          <w:rFonts w:ascii="標楷體" w:hAnsi="標楷體"/>
          <w:color w:val="000000" w:themeColor="text1"/>
          <w:sz w:val="28"/>
          <w:szCs w:val="28"/>
        </w:rPr>
      </w:pPr>
      <w:r w:rsidRPr="00395A72">
        <w:rPr>
          <w:rFonts w:ascii="標楷體" w:hAnsi="標楷體" w:hint="eastAsia"/>
          <w:color w:val="000000" w:themeColor="text1"/>
          <w:sz w:val="28"/>
          <w:szCs w:val="28"/>
        </w:rPr>
        <w:t>(3)如適用，宜提供過去之溫室氣體排放歷史數據，以供資訊使用者進行趨勢分析；亦應說明用以計算溫室氣體排放相關指標之方法學。</w:t>
      </w:r>
    </w:p>
    <w:p w14:paraId="4A7B60B5" w14:textId="77777777" w:rsidR="00D41672" w:rsidRPr="00D41672" w:rsidRDefault="00D41672" w:rsidP="00BF4E26">
      <w:pPr>
        <w:ind w:leftChars="177" w:left="848" w:hangingChars="151" w:hanging="423"/>
        <w:rPr>
          <w:rFonts w:ascii="標楷體" w:hAnsi="標楷體"/>
          <w:color w:val="000000" w:themeColor="text1"/>
          <w:sz w:val="28"/>
          <w:szCs w:val="28"/>
        </w:rPr>
      </w:pPr>
      <w:r w:rsidRPr="00395A72">
        <w:rPr>
          <w:rFonts w:ascii="標楷體" w:hAnsi="標楷體" w:hint="eastAsia"/>
          <w:color w:val="000000" w:themeColor="text1"/>
          <w:sz w:val="28"/>
          <w:szCs w:val="28"/>
        </w:rPr>
        <w:t>17.證券商宜揭露用以管理氣候相關風險與機會之目標，以及落實該目標之表現；如進度落後得有相關說明及改善措施。</w:t>
      </w:r>
    </w:p>
    <w:sectPr w:rsidR="00D41672" w:rsidRPr="00D41672" w:rsidSect="00FD367F">
      <w:footerReference w:type="default" r:id="rId8"/>
      <w:pgSz w:w="11906" w:h="16838"/>
      <w:pgMar w:top="1134" w:right="1134" w:bottom="1134"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4A01A" w14:textId="77777777" w:rsidR="0012440A" w:rsidRDefault="0012440A" w:rsidP="00D5081F">
      <w:pPr>
        <w:spacing w:before="0" w:after="0" w:line="240" w:lineRule="auto"/>
      </w:pPr>
      <w:r>
        <w:separator/>
      </w:r>
    </w:p>
  </w:endnote>
  <w:endnote w:type="continuationSeparator" w:id="0">
    <w:p w14:paraId="55453748" w14:textId="77777777" w:rsidR="0012440A" w:rsidRDefault="0012440A" w:rsidP="00D508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sto MT">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38213"/>
      <w:docPartObj>
        <w:docPartGallery w:val="Page Numbers (Bottom of Page)"/>
        <w:docPartUnique/>
      </w:docPartObj>
    </w:sdtPr>
    <w:sdtContent>
      <w:p w14:paraId="3904D631" w14:textId="77777777" w:rsidR="00D5081F" w:rsidRDefault="00D5081F">
        <w:pPr>
          <w:pStyle w:val="a9"/>
          <w:jc w:val="center"/>
        </w:pPr>
        <w:r>
          <w:fldChar w:fldCharType="begin"/>
        </w:r>
        <w:r>
          <w:instrText>PAGE   \* MERGEFORMAT</w:instrText>
        </w:r>
        <w:r>
          <w:fldChar w:fldCharType="separate"/>
        </w:r>
        <w:r>
          <w:rPr>
            <w:lang w:val="zh-TW"/>
          </w:rPr>
          <w:t>2</w:t>
        </w:r>
        <w:r>
          <w:fldChar w:fldCharType="end"/>
        </w:r>
      </w:p>
    </w:sdtContent>
  </w:sdt>
  <w:p w14:paraId="0999E60D" w14:textId="77777777" w:rsidR="00D5081F" w:rsidRDefault="00D508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7AB59" w14:textId="77777777" w:rsidR="0012440A" w:rsidRDefault="0012440A" w:rsidP="00D5081F">
      <w:pPr>
        <w:spacing w:before="0" w:after="0" w:line="240" w:lineRule="auto"/>
      </w:pPr>
      <w:r>
        <w:separator/>
      </w:r>
    </w:p>
  </w:footnote>
  <w:footnote w:type="continuationSeparator" w:id="0">
    <w:p w14:paraId="49AA5FF6" w14:textId="77777777" w:rsidR="0012440A" w:rsidRDefault="0012440A" w:rsidP="00D5081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952C8"/>
    <w:multiLevelType w:val="hybridMultilevel"/>
    <w:tmpl w:val="F7566704"/>
    <w:lvl w:ilvl="0" w:tplc="FDFE8746">
      <w:start w:val="1"/>
      <w:numFmt w:val="taiwaneseCountingThousand"/>
      <w:lvlText w:val="第%1章"/>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F434A6"/>
    <w:multiLevelType w:val="hybridMultilevel"/>
    <w:tmpl w:val="73BA2832"/>
    <w:lvl w:ilvl="0" w:tplc="4B80D06C">
      <w:start w:val="1"/>
      <w:numFmt w:val="decimal"/>
      <w:lvlText w:val="(%1)"/>
      <w:lvlJc w:val="left"/>
      <w:pPr>
        <w:ind w:left="1788" w:hanging="720"/>
      </w:pPr>
      <w:rPr>
        <w:rFonts w:hint="default"/>
        <w:color w:val="auto"/>
        <w:sz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 w15:restartNumberingAfterBreak="0">
    <w:nsid w:val="3C5C4385"/>
    <w:multiLevelType w:val="hybridMultilevel"/>
    <w:tmpl w:val="06540DF8"/>
    <w:lvl w:ilvl="0" w:tplc="01B8678C">
      <w:start w:val="1"/>
      <w:numFmt w:val="decimal"/>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15:restartNumberingAfterBreak="0">
    <w:nsid w:val="41B320BF"/>
    <w:multiLevelType w:val="hybridMultilevel"/>
    <w:tmpl w:val="89E20472"/>
    <w:lvl w:ilvl="0" w:tplc="CE90EB54">
      <w:start w:val="1"/>
      <w:numFmt w:val="decimal"/>
      <w:lvlText w:val="%1."/>
      <w:lvlJc w:val="left"/>
      <w:pPr>
        <w:ind w:left="1126" w:hanging="420"/>
      </w:pPr>
      <w:rPr>
        <w:rFonts w:hint="default"/>
        <w:color w:val="auto"/>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4" w15:restartNumberingAfterBreak="0">
    <w:nsid w:val="61C508AB"/>
    <w:multiLevelType w:val="hybridMultilevel"/>
    <w:tmpl w:val="1F7E6792"/>
    <w:lvl w:ilvl="0" w:tplc="BE5EC63A">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16cid:durableId="1298800995">
    <w:abstractNumId w:val="0"/>
  </w:num>
  <w:num w:numId="2" w16cid:durableId="75136015">
    <w:abstractNumId w:val="3"/>
  </w:num>
  <w:num w:numId="3" w16cid:durableId="832794926">
    <w:abstractNumId w:val="4"/>
  </w:num>
  <w:num w:numId="4" w16cid:durableId="1464159488">
    <w:abstractNumId w:val="1"/>
  </w:num>
  <w:num w:numId="5" w16cid:durableId="163794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BA"/>
    <w:rsid w:val="00051D52"/>
    <w:rsid w:val="0012440A"/>
    <w:rsid w:val="001C0E11"/>
    <w:rsid w:val="001C5545"/>
    <w:rsid w:val="001E7217"/>
    <w:rsid w:val="002423FA"/>
    <w:rsid w:val="002C7574"/>
    <w:rsid w:val="002D4670"/>
    <w:rsid w:val="002E0E15"/>
    <w:rsid w:val="003164EE"/>
    <w:rsid w:val="00327850"/>
    <w:rsid w:val="00395A72"/>
    <w:rsid w:val="003C2B6B"/>
    <w:rsid w:val="003C4C3C"/>
    <w:rsid w:val="003D66C2"/>
    <w:rsid w:val="0040212C"/>
    <w:rsid w:val="00402861"/>
    <w:rsid w:val="004063B1"/>
    <w:rsid w:val="004706B1"/>
    <w:rsid w:val="00493F00"/>
    <w:rsid w:val="004A5F1F"/>
    <w:rsid w:val="004D4606"/>
    <w:rsid w:val="00513F05"/>
    <w:rsid w:val="00524D30"/>
    <w:rsid w:val="005A4E5D"/>
    <w:rsid w:val="005D7EE0"/>
    <w:rsid w:val="005F59D3"/>
    <w:rsid w:val="006D2C80"/>
    <w:rsid w:val="00706CCA"/>
    <w:rsid w:val="00721F86"/>
    <w:rsid w:val="007446BA"/>
    <w:rsid w:val="00747C2F"/>
    <w:rsid w:val="007511CF"/>
    <w:rsid w:val="00771717"/>
    <w:rsid w:val="00782CB7"/>
    <w:rsid w:val="007E75AC"/>
    <w:rsid w:val="008E0BB1"/>
    <w:rsid w:val="00946DD7"/>
    <w:rsid w:val="009B77B8"/>
    <w:rsid w:val="009C2A4F"/>
    <w:rsid w:val="00A43C7D"/>
    <w:rsid w:val="00AD23F4"/>
    <w:rsid w:val="00B33A21"/>
    <w:rsid w:val="00B40341"/>
    <w:rsid w:val="00B55916"/>
    <w:rsid w:val="00B76944"/>
    <w:rsid w:val="00BE2C3B"/>
    <w:rsid w:val="00BF4E26"/>
    <w:rsid w:val="00D41672"/>
    <w:rsid w:val="00D421F4"/>
    <w:rsid w:val="00D5081F"/>
    <w:rsid w:val="00DD04E5"/>
    <w:rsid w:val="00E276DF"/>
    <w:rsid w:val="00F61A7B"/>
    <w:rsid w:val="00F708F5"/>
    <w:rsid w:val="00FC6142"/>
    <w:rsid w:val="00FD367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3203A"/>
  <w15:chartTrackingRefBased/>
  <w15:docId w15:val="{CD26B7A5-BDFA-4E69-B2E5-1D6A7E65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6BA"/>
    <w:pPr>
      <w:widowControl w:val="0"/>
      <w:spacing w:before="240" w:after="240" w:line="400" w:lineRule="exact"/>
    </w:pPr>
    <w:rPr>
      <w:rFonts w:ascii="Times New Roman" w:eastAsia="標楷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清單段落,列點,(二),Recommendation,Footnote Sam,List Paragraph (numbered (a)),Text,Noise heading,RUS List,Rec para,Dot pt,F5 List Paragraph,No Spacing1,List Paragraph Char Char Char,Indicator Text,Numbered Para 1,圖標號,標題一,標題 (4),卑南壹,L"/>
    <w:basedOn w:val="a"/>
    <w:link w:val="a4"/>
    <w:uiPriority w:val="34"/>
    <w:qFormat/>
    <w:rsid w:val="007446BA"/>
    <w:pPr>
      <w:ind w:leftChars="200" w:left="480"/>
    </w:pPr>
  </w:style>
  <w:style w:type="character" w:customStyle="1" w:styleId="a4">
    <w:name w:val="清單段落 字元"/>
    <w:aliases w:val="1.1.1.1清單段落 字元,列點 字元,(二) 字元,Recommendation 字元,Footnote Sam 字元,List Paragraph (numbered (a)) 字元,Text 字元,Noise heading 字元,RUS List 字元,Rec para 字元,Dot pt 字元,F5 List Paragraph 字元,No Spacing1 字元,List Paragraph Char Char Char 字元,Indicator Text 字元,L 字元"/>
    <w:link w:val="a3"/>
    <w:uiPriority w:val="34"/>
    <w:qFormat/>
    <w:rsid w:val="00946DD7"/>
    <w:rPr>
      <w:rFonts w:ascii="Times New Roman" w:eastAsia="標楷體" w:hAnsi="Times New Roman" w:cs="Times New Roman"/>
      <w:kern w:val="0"/>
      <w:szCs w:val="24"/>
    </w:rPr>
  </w:style>
  <w:style w:type="paragraph" w:styleId="a5">
    <w:name w:val="Balloon Text"/>
    <w:basedOn w:val="a"/>
    <w:link w:val="a6"/>
    <w:uiPriority w:val="99"/>
    <w:semiHidden/>
    <w:unhideWhenUsed/>
    <w:rsid w:val="004706B1"/>
    <w:pPr>
      <w:spacing w:before="0" w:after="0" w:line="240" w:lineRule="auto"/>
    </w:pPr>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706B1"/>
    <w:rPr>
      <w:rFonts w:asciiTheme="majorHAnsi" w:eastAsiaTheme="majorEastAsia" w:hAnsiTheme="majorHAnsi" w:cstheme="majorBidi"/>
      <w:kern w:val="0"/>
      <w:sz w:val="18"/>
      <w:szCs w:val="18"/>
    </w:rPr>
  </w:style>
  <w:style w:type="paragraph" w:styleId="a7">
    <w:name w:val="header"/>
    <w:basedOn w:val="a"/>
    <w:link w:val="a8"/>
    <w:uiPriority w:val="99"/>
    <w:unhideWhenUsed/>
    <w:rsid w:val="00D5081F"/>
    <w:pPr>
      <w:tabs>
        <w:tab w:val="center" w:pos="4153"/>
        <w:tab w:val="right" w:pos="8306"/>
      </w:tabs>
      <w:snapToGrid w:val="0"/>
    </w:pPr>
    <w:rPr>
      <w:sz w:val="20"/>
      <w:szCs w:val="20"/>
    </w:rPr>
  </w:style>
  <w:style w:type="character" w:customStyle="1" w:styleId="a8">
    <w:name w:val="頁首 字元"/>
    <w:basedOn w:val="a0"/>
    <w:link w:val="a7"/>
    <w:uiPriority w:val="99"/>
    <w:rsid w:val="00D5081F"/>
    <w:rPr>
      <w:rFonts w:ascii="Times New Roman" w:eastAsia="標楷體" w:hAnsi="Times New Roman" w:cs="Times New Roman"/>
      <w:kern w:val="0"/>
      <w:sz w:val="20"/>
      <w:szCs w:val="20"/>
    </w:rPr>
  </w:style>
  <w:style w:type="paragraph" w:styleId="a9">
    <w:name w:val="footer"/>
    <w:basedOn w:val="a"/>
    <w:link w:val="aa"/>
    <w:uiPriority w:val="99"/>
    <w:unhideWhenUsed/>
    <w:rsid w:val="00D5081F"/>
    <w:pPr>
      <w:tabs>
        <w:tab w:val="center" w:pos="4153"/>
        <w:tab w:val="right" w:pos="8306"/>
      </w:tabs>
      <w:snapToGrid w:val="0"/>
    </w:pPr>
    <w:rPr>
      <w:sz w:val="20"/>
      <w:szCs w:val="20"/>
    </w:rPr>
  </w:style>
  <w:style w:type="character" w:customStyle="1" w:styleId="aa">
    <w:name w:val="頁尾 字元"/>
    <w:basedOn w:val="a0"/>
    <w:link w:val="a9"/>
    <w:uiPriority w:val="99"/>
    <w:rsid w:val="00D5081F"/>
    <w:rPr>
      <w:rFonts w:ascii="Times New Roman" w:eastAsia="標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D0BF8-AD0A-4906-B14F-16DAC19A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457</Words>
  <Characters>2608</Characters>
  <Application>Microsoft Office Word</Application>
  <DocSecurity>0</DocSecurity>
  <Lines>21</Lines>
  <Paragraphs>6</Paragraphs>
  <ScaleCrop>false</ScaleCrop>
  <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吳淑敏</dc:creator>
  <cp:keywords/>
  <dc:description/>
  <cp:lastModifiedBy>淑敏 吳</cp:lastModifiedBy>
  <cp:revision>5</cp:revision>
  <cp:lastPrinted>2023-09-07T09:47:00Z</cp:lastPrinted>
  <dcterms:created xsi:type="dcterms:W3CDTF">2023-09-18T00:25:00Z</dcterms:created>
  <dcterms:modified xsi:type="dcterms:W3CDTF">2023-09-20T03:42:00Z</dcterms:modified>
</cp:coreProperties>
</file>