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FAFA" w14:textId="335598B7" w:rsidR="004C7CC9" w:rsidRPr="001A1CFD" w:rsidRDefault="004C7CC9" w:rsidP="002B038F">
      <w:pPr>
        <w:adjustRightInd w:val="0"/>
        <w:snapToGrid w:val="0"/>
        <w:jc w:val="center"/>
        <w:rPr>
          <w:rFonts w:ascii="標楷體" w:eastAsia="標楷體" w:hAnsi="標楷體"/>
          <w:color w:val="000000" w:themeColor="text1"/>
          <w:sz w:val="36"/>
          <w:szCs w:val="36"/>
        </w:rPr>
      </w:pPr>
      <w:r w:rsidRPr="001A1CFD">
        <w:rPr>
          <w:rFonts w:ascii="標楷體" w:eastAsia="標楷體" w:hAnsi="標楷體" w:hint="eastAsia"/>
          <w:b/>
          <w:bCs/>
          <w:color w:val="000000" w:themeColor="text1"/>
          <w:sz w:val="36"/>
          <w:szCs w:val="36"/>
        </w:rPr>
        <w:t>證券商向高齡客戶提供金融服務自律規範</w:t>
      </w:r>
    </w:p>
    <w:p w14:paraId="0D6957EC" w14:textId="1EC1ECE0" w:rsidR="00926900" w:rsidRDefault="00926900" w:rsidP="002B038F">
      <w:pPr>
        <w:snapToGrid w:val="0"/>
        <w:spacing w:line="340" w:lineRule="exact"/>
        <w:jc w:val="right"/>
        <w:outlineLvl w:val="0"/>
        <w:rPr>
          <w:rFonts w:eastAsia="標楷體"/>
          <w:spacing w:val="-12"/>
          <w:sz w:val="20"/>
        </w:rPr>
      </w:pPr>
      <w:r>
        <w:rPr>
          <w:rFonts w:eastAsia="標楷體" w:hint="eastAsia"/>
          <w:spacing w:val="-12"/>
          <w:sz w:val="20"/>
        </w:rPr>
        <w:t xml:space="preserve">                     </w:t>
      </w:r>
      <w:r>
        <w:rPr>
          <w:rFonts w:eastAsia="標楷體" w:hint="eastAsia"/>
          <w:spacing w:val="-12"/>
          <w:sz w:val="20"/>
        </w:rPr>
        <w:t>金融監督管理委員會</w:t>
      </w:r>
      <w:r>
        <w:rPr>
          <w:rFonts w:eastAsia="標楷體"/>
          <w:spacing w:val="-12"/>
          <w:sz w:val="20"/>
        </w:rPr>
        <w:t>11</w:t>
      </w:r>
      <w:r>
        <w:rPr>
          <w:rFonts w:eastAsia="標楷體" w:hint="eastAsia"/>
          <w:spacing w:val="-12"/>
          <w:sz w:val="20"/>
        </w:rPr>
        <w:t>1</w:t>
      </w:r>
      <w:r>
        <w:rPr>
          <w:rFonts w:eastAsia="標楷體" w:hint="eastAsia"/>
          <w:spacing w:val="-12"/>
          <w:sz w:val="20"/>
        </w:rPr>
        <w:t>年</w:t>
      </w:r>
      <w:r>
        <w:rPr>
          <w:rFonts w:eastAsia="標楷體" w:hint="eastAsia"/>
          <w:spacing w:val="-12"/>
          <w:sz w:val="20"/>
        </w:rPr>
        <w:t>4</w:t>
      </w:r>
      <w:r>
        <w:rPr>
          <w:rFonts w:eastAsia="標楷體" w:hint="eastAsia"/>
          <w:spacing w:val="-12"/>
          <w:sz w:val="20"/>
        </w:rPr>
        <w:t>月</w:t>
      </w:r>
      <w:r>
        <w:rPr>
          <w:rFonts w:eastAsia="標楷體" w:hint="eastAsia"/>
          <w:spacing w:val="-12"/>
          <w:sz w:val="20"/>
        </w:rPr>
        <w:t>7</w:t>
      </w:r>
      <w:r>
        <w:rPr>
          <w:rFonts w:eastAsia="標楷體" w:hint="eastAsia"/>
          <w:spacing w:val="-12"/>
          <w:sz w:val="20"/>
        </w:rPr>
        <w:t>日金管證券字第</w:t>
      </w:r>
      <w:r>
        <w:rPr>
          <w:rFonts w:eastAsia="標楷體"/>
          <w:spacing w:val="-12"/>
          <w:sz w:val="20"/>
        </w:rPr>
        <w:t>11</w:t>
      </w:r>
      <w:r>
        <w:rPr>
          <w:rFonts w:eastAsia="標楷體" w:hint="eastAsia"/>
          <w:spacing w:val="-12"/>
          <w:sz w:val="20"/>
        </w:rPr>
        <w:t>1</w:t>
      </w:r>
      <w:r>
        <w:rPr>
          <w:rFonts w:eastAsia="標楷體"/>
          <w:spacing w:val="-12"/>
          <w:sz w:val="20"/>
        </w:rPr>
        <w:t>03</w:t>
      </w:r>
      <w:r>
        <w:rPr>
          <w:rFonts w:eastAsia="標楷體" w:hint="eastAsia"/>
          <w:spacing w:val="-12"/>
          <w:sz w:val="20"/>
        </w:rPr>
        <w:t>36502</w:t>
      </w:r>
      <w:r>
        <w:rPr>
          <w:rFonts w:eastAsia="標楷體" w:hint="eastAsia"/>
          <w:spacing w:val="-12"/>
          <w:sz w:val="20"/>
        </w:rPr>
        <w:t>號函</w:t>
      </w:r>
      <w:r w:rsidR="0081298C">
        <w:rPr>
          <w:rFonts w:eastAsia="標楷體" w:hint="eastAsia"/>
          <w:spacing w:val="-12"/>
          <w:sz w:val="20"/>
        </w:rPr>
        <w:t>同意備查</w:t>
      </w:r>
    </w:p>
    <w:p w14:paraId="75D06AAF" w14:textId="55DF731F" w:rsidR="00926900" w:rsidRPr="00926900" w:rsidRDefault="00926900" w:rsidP="002B038F">
      <w:pPr>
        <w:spacing w:line="340" w:lineRule="exact"/>
        <w:ind w:leftChars="-59" w:left="-1" w:hangingChars="80" w:hanging="141"/>
        <w:jc w:val="right"/>
        <w:rPr>
          <w:rFonts w:eastAsia="標楷體"/>
          <w:spacing w:val="-12"/>
          <w:sz w:val="20"/>
        </w:rPr>
      </w:pPr>
      <w:r>
        <w:rPr>
          <w:rFonts w:eastAsia="標楷體"/>
          <w:spacing w:val="-12"/>
          <w:sz w:val="20"/>
        </w:rPr>
        <w:t xml:space="preserve">                       </w:t>
      </w:r>
      <w:r>
        <w:rPr>
          <w:rFonts w:eastAsia="標楷體" w:hint="eastAsia"/>
          <w:spacing w:val="-12"/>
          <w:sz w:val="20"/>
        </w:rPr>
        <w:t>中華民國證券商業同業公會</w:t>
      </w:r>
      <w:r>
        <w:rPr>
          <w:rFonts w:eastAsia="標楷體"/>
          <w:spacing w:val="-12"/>
          <w:sz w:val="20"/>
        </w:rPr>
        <w:t>11</w:t>
      </w:r>
      <w:r>
        <w:rPr>
          <w:rFonts w:eastAsia="標楷體" w:hint="eastAsia"/>
          <w:spacing w:val="-12"/>
          <w:sz w:val="20"/>
        </w:rPr>
        <w:t>1</w:t>
      </w:r>
      <w:r>
        <w:rPr>
          <w:rFonts w:eastAsia="標楷體" w:hint="eastAsia"/>
          <w:spacing w:val="-12"/>
          <w:sz w:val="20"/>
        </w:rPr>
        <w:t>年</w:t>
      </w:r>
      <w:r>
        <w:rPr>
          <w:rFonts w:eastAsia="標楷體" w:hint="eastAsia"/>
          <w:spacing w:val="-12"/>
          <w:sz w:val="20"/>
        </w:rPr>
        <w:t>4</w:t>
      </w:r>
      <w:r>
        <w:rPr>
          <w:rFonts w:eastAsia="標楷體" w:hint="eastAsia"/>
          <w:spacing w:val="-12"/>
          <w:sz w:val="20"/>
        </w:rPr>
        <w:t>月</w:t>
      </w:r>
      <w:r w:rsidR="00B62C0E">
        <w:rPr>
          <w:rFonts w:eastAsia="標楷體" w:hint="eastAsia"/>
          <w:spacing w:val="-12"/>
          <w:sz w:val="20"/>
        </w:rPr>
        <w:t>8</w:t>
      </w:r>
      <w:r>
        <w:rPr>
          <w:rFonts w:eastAsia="標楷體" w:hint="eastAsia"/>
          <w:spacing w:val="-12"/>
          <w:sz w:val="20"/>
        </w:rPr>
        <w:t>日中證商業三字第</w:t>
      </w:r>
      <w:r w:rsidR="00B62C0E">
        <w:rPr>
          <w:rFonts w:eastAsia="標楷體" w:hint="eastAsia"/>
          <w:spacing w:val="-12"/>
          <w:sz w:val="20"/>
        </w:rPr>
        <w:t>1110001763</w:t>
      </w:r>
      <w:r>
        <w:rPr>
          <w:rFonts w:eastAsia="標楷體" w:hint="eastAsia"/>
          <w:spacing w:val="-12"/>
          <w:sz w:val="20"/>
        </w:rPr>
        <w:t>號函公告</w:t>
      </w:r>
    </w:p>
    <w:p w14:paraId="081E5B14" w14:textId="101749DB" w:rsidR="005A3BBE" w:rsidRPr="006D6ABA" w:rsidRDefault="005A3BBE" w:rsidP="005A3BBE">
      <w:pPr>
        <w:adjustRightInd w:val="0"/>
        <w:snapToGrid w:val="0"/>
        <w:spacing w:beforeLines="50" w:before="180" w:line="440" w:lineRule="atLeast"/>
        <w:rPr>
          <w:rFonts w:ascii="標楷體" w:eastAsia="標楷體" w:hAnsi="標楷體"/>
          <w:b/>
          <w:bCs/>
          <w:color w:val="000000" w:themeColor="text1"/>
          <w:sz w:val="28"/>
          <w:szCs w:val="28"/>
        </w:rPr>
      </w:pPr>
      <w:r w:rsidRPr="006D6ABA">
        <w:rPr>
          <w:rFonts w:ascii="標楷體" w:eastAsia="標楷體" w:hAnsi="標楷體" w:hint="eastAsia"/>
          <w:b/>
          <w:bCs/>
          <w:color w:val="000000" w:themeColor="text1"/>
          <w:sz w:val="28"/>
          <w:szCs w:val="28"/>
        </w:rPr>
        <w:t>第一條(目的)</w:t>
      </w:r>
    </w:p>
    <w:p w14:paraId="0F98C9FD" w14:textId="77777777" w:rsidR="005A3BBE" w:rsidRPr="00780F2A" w:rsidRDefault="005A3BBE" w:rsidP="005A3BBE">
      <w:pPr>
        <w:pStyle w:val="a5"/>
        <w:spacing w:beforeLines="30" w:before="108" w:line="460" w:lineRule="exact"/>
        <w:ind w:leftChars="0" w:left="0"/>
        <w:jc w:val="both"/>
        <w:rPr>
          <w:rFonts w:ascii="標楷體" w:eastAsia="標楷體" w:hAnsi="標楷體"/>
          <w:color w:val="000000" w:themeColor="text1"/>
          <w:sz w:val="28"/>
          <w:szCs w:val="28"/>
        </w:rPr>
      </w:pPr>
      <w:r w:rsidRPr="00780F2A">
        <w:rPr>
          <w:rFonts w:ascii="標楷體" w:eastAsia="標楷體" w:hAnsi="標楷體"/>
          <w:color w:val="000000" w:themeColor="text1"/>
          <w:sz w:val="28"/>
          <w:szCs w:val="28"/>
        </w:rPr>
        <w:t>為</w:t>
      </w:r>
      <w:r w:rsidRPr="00780F2A">
        <w:rPr>
          <w:rFonts w:ascii="標楷體" w:eastAsia="標楷體" w:hAnsi="標楷體" w:hint="eastAsia"/>
          <w:color w:val="000000" w:themeColor="text1"/>
          <w:sz w:val="28"/>
          <w:szCs w:val="28"/>
        </w:rPr>
        <w:t>強化證券商對高齡客戶之服務，</w:t>
      </w:r>
      <w:r w:rsidRPr="00780F2A">
        <w:rPr>
          <w:rFonts w:ascii="標楷體" w:eastAsia="標楷體" w:hAnsi="標楷體"/>
          <w:color w:val="000000" w:themeColor="text1"/>
          <w:sz w:val="28"/>
          <w:szCs w:val="28"/>
        </w:rPr>
        <w:t>特訂定本規</w:t>
      </w:r>
      <w:r w:rsidRPr="00780F2A">
        <w:rPr>
          <w:rFonts w:ascii="標楷體" w:eastAsia="標楷體" w:hAnsi="標楷體" w:hint="eastAsia"/>
          <w:color w:val="000000" w:themeColor="text1"/>
          <w:sz w:val="28"/>
          <w:szCs w:val="28"/>
        </w:rPr>
        <w:t>範</w:t>
      </w:r>
      <w:r w:rsidRPr="00780F2A">
        <w:rPr>
          <w:rFonts w:ascii="標楷體" w:eastAsia="標楷體" w:hAnsi="標楷體"/>
          <w:color w:val="000000" w:themeColor="text1"/>
          <w:sz w:val="28"/>
          <w:szCs w:val="28"/>
        </w:rPr>
        <w:t>。</w:t>
      </w:r>
    </w:p>
    <w:p w14:paraId="73899977" w14:textId="77777777" w:rsidR="005A3BBE" w:rsidRDefault="005A3BBE" w:rsidP="005A3BBE">
      <w:pPr>
        <w:adjustRightInd w:val="0"/>
        <w:snapToGrid w:val="0"/>
        <w:spacing w:beforeLines="50" w:before="180" w:line="440" w:lineRule="atLeast"/>
        <w:rPr>
          <w:rFonts w:ascii="標楷體" w:eastAsia="標楷體" w:hAnsi="標楷體"/>
          <w:b/>
          <w:bCs/>
          <w:color w:val="000000" w:themeColor="text1"/>
          <w:sz w:val="28"/>
          <w:szCs w:val="28"/>
        </w:rPr>
      </w:pPr>
      <w:r w:rsidRPr="006D6ABA">
        <w:rPr>
          <w:rFonts w:ascii="標楷體" w:eastAsia="標楷體" w:hAnsi="標楷體" w:hint="eastAsia"/>
          <w:b/>
          <w:bCs/>
          <w:color w:val="000000" w:themeColor="text1"/>
          <w:sz w:val="28"/>
          <w:szCs w:val="28"/>
        </w:rPr>
        <w:t>第二條(</w:t>
      </w:r>
      <w:r>
        <w:rPr>
          <w:rFonts w:ascii="標楷體" w:eastAsia="標楷體" w:hAnsi="標楷體" w:hint="eastAsia"/>
          <w:b/>
          <w:bCs/>
          <w:color w:val="000000" w:themeColor="text1"/>
          <w:sz w:val="28"/>
          <w:szCs w:val="28"/>
        </w:rPr>
        <w:t>定義</w:t>
      </w:r>
      <w:r w:rsidRPr="006D6ABA">
        <w:rPr>
          <w:rFonts w:ascii="標楷體" w:eastAsia="標楷體" w:hAnsi="標楷體" w:hint="eastAsia"/>
          <w:b/>
          <w:bCs/>
          <w:color w:val="000000" w:themeColor="text1"/>
          <w:sz w:val="28"/>
          <w:szCs w:val="28"/>
        </w:rPr>
        <w:t>)</w:t>
      </w:r>
    </w:p>
    <w:p w14:paraId="00D17108" w14:textId="77777777" w:rsidR="005A3BBE" w:rsidRPr="00780F2A" w:rsidRDefault="005A3BBE" w:rsidP="005A3BBE">
      <w:pPr>
        <w:pStyle w:val="a5"/>
        <w:spacing w:beforeLines="30" w:before="108" w:line="460" w:lineRule="exact"/>
        <w:ind w:leftChars="0" w:left="0"/>
        <w:jc w:val="both"/>
        <w:rPr>
          <w:rFonts w:ascii="標楷體" w:eastAsia="標楷體" w:hAnsi="標楷體"/>
          <w:color w:val="000000" w:themeColor="text1"/>
          <w:sz w:val="28"/>
          <w:szCs w:val="28"/>
        </w:rPr>
      </w:pPr>
      <w:r w:rsidRPr="00780F2A">
        <w:rPr>
          <w:rFonts w:ascii="標楷體" w:eastAsia="標楷體" w:hAnsi="標楷體" w:hint="eastAsia"/>
          <w:color w:val="000000" w:themeColor="text1"/>
          <w:sz w:val="28"/>
          <w:szCs w:val="28"/>
        </w:rPr>
        <w:t>本規範所稱高齡客戶，指接受證券商提供金融服務並符合一定年齡之自然人客戶。</w:t>
      </w:r>
    </w:p>
    <w:p w14:paraId="7DE9EAB0" w14:textId="21DFD2B9" w:rsidR="005A3BBE" w:rsidRPr="00780F2A" w:rsidRDefault="006376AB" w:rsidP="005A3BBE">
      <w:pPr>
        <w:pStyle w:val="a5"/>
        <w:spacing w:beforeLines="30" w:before="108" w:line="460" w:lineRule="exact"/>
        <w:ind w:leftChars="0" w:left="0"/>
        <w:jc w:val="both"/>
        <w:rPr>
          <w:rFonts w:ascii="標楷體" w:eastAsia="標楷體" w:hAnsi="標楷體"/>
          <w:color w:val="000000" w:themeColor="text1"/>
          <w:sz w:val="28"/>
          <w:szCs w:val="28"/>
        </w:rPr>
      </w:pPr>
      <w:r w:rsidRPr="006376AB">
        <w:rPr>
          <w:rFonts w:ascii="標楷體" w:eastAsia="標楷體" w:hAnsi="標楷體" w:hint="eastAsia"/>
          <w:color w:val="000000" w:themeColor="text1"/>
          <w:sz w:val="28"/>
          <w:szCs w:val="28"/>
        </w:rPr>
        <w:t>前項所稱一定年齡，依金融監督管理委員會111年4月7日金管證券字第1110336502號函規定辦理。</w:t>
      </w:r>
    </w:p>
    <w:p w14:paraId="11DD5748" w14:textId="77777777" w:rsidR="005A3BBE" w:rsidRPr="006D6ABA" w:rsidRDefault="005A3BBE" w:rsidP="005A3BBE">
      <w:pPr>
        <w:adjustRightInd w:val="0"/>
        <w:snapToGrid w:val="0"/>
        <w:spacing w:beforeLines="50" w:before="180" w:line="44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第三條</w:t>
      </w:r>
      <w:r w:rsidRPr="006D6ABA">
        <w:rPr>
          <w:rFonts w:ascii="標楷體" w:eastAsia="標楷體" w:hAnsi="標楷體" w:hint="eastAsia"/>
          <w:b/>
          <w:bCs/>
          <w:color w:val="000000" w:themeColor="text1"/>
          <w:sz w:val="28"/>
          <w:szCs w:val="28"/>
        </w:rPr>
        <w:t>(</w:t>
      </w:r>
      <w:r w:rsidRPr="00CC7DC3">
        <w:rPr>
          <w:rFonts w:ascii="標楷體" w:eastAsia="標楷體" w:hAnsi="標楷體" w:hint="eastAsia"/>
          <w:b/>
          <w:bCs/>
          <w:color w:val="000000" w:themeColor="text1"/>
          <w:sz w:val="28"/>
          <w:szCs w:val="28"/>
        </w:rPr>
        <w:t>法規遵守</w:t>
      </w:r>
      <w:r w:rsidRPr="006D6ABA">
        <w:rPr>
          <w:rFonts w:ascii="標楷體" w:eastAsia="標楷體" w:hAnsi="標楷體" w:hint="eastAsia"/>
          <w:b/>
          <w:bCs/>
          <w:color w:val="000000" w:themeColor="text1"/>
          <w:sz w:val="28"/>
          <w:szCs w:val="28"/>
        </w:rPr>
        <w:t>)</w:t>
      </w:r>
    </w:p>
    <w:p w14:paraId="736A0F0A" w14:textId="77777777" w:rsidR="005A3BBE" w:rsidRPr="00780F2A" w:rsidRDefault="005A3BBE" w:rsidP="005A3BBE">
      <w:pPr>
        <w:pStyle w:val="a5"/>
        <w:spacing w:beforeLines="30" w:before="108" w:line="460" w:lineRule="exact"/>
        <w:ind w:leftChars="0" w:left="0"/>
        <w:jc w:val="both"/>
        <w:rPr>
          <w:rFonts w:ascii="標楷體" w:eastAsia="標楷體" w:hAnsi="標楷體"/>
          <w:color w:val="000000" w:themeColor="text1"/>
          <w:sz w:val="28"/>
          <w:szCs w:val="28"/>
        </w:rPr>
      </w:pPr>
      <w:r w:rsidRPr="00780F2A">
        <w:rPr>
          <w:rFonts w:ascii="標楷體" w:eastAsia="標楷體" w:hAnsi="標楷體" w:hint="eastAsia"/>
          <w:color w:val="000000" w:themeColor="text1"/>
          <w:sz w:val="28"/>
          <w:szCs w:val="28"/>
        </w:rPr>
        <w:t>證券商向高齡客戶提供金融服務，有關瞭解客戶程序、客戶屬性評估、商品風險屬性評估、商品適合度制度或契約重要內容告知及揭露風險等事項，應按業務類別分別適用各該業務法令章則之規定及依本規範之規定辦理，證券商並應將本規範納入內部作業程序，確實執行。</w:t>
      </w:r>
    </w:p>
    <w:p w14:paraId="46CFE114" w14:textId="77777777" w:rsidR="005A3BBE" w:rsidRPr="006D6ABA" w:rsidRDefault="005A3BBE" w:rsidP="005A3BBE">
      <w:pPr>
        <w:adjustRightInd w:val="0"/>
        <w:snapToGrid w:val="0"/>
        <w:spacing w:beforeLines="50" w:before="180" w:line="440" w:lineRule="atLeast"/>
        <w:rPr>
          <w:rFonts w:ascii="標楷體" w:eastAsia="標楷體" w:hAnsi="標楷體"/>
          <w:b/>
          <w:bCs/>
          <w:color w:val="000000" w:themeColor="text1"/>
          <w:sz w:val="28"/>
          <w:szCs w:val="28"/>
        </w:rPr>
      </w:pPr>
      <w:r w:rsidRPr="006D6ABA">
        <w:rPr>
          <w:rFonts w:ascii="標楷體" w:eastAsia="標楷體" w:hAnsi="標楷體" w:hint="eastAsia"/>
          <w:b/>
          <w:bCs/>
          <w:color w:val="000000" w:themeColor="text1"/>
          <w:sz w:val="28"/>
          <w:szCs w:val="28"/>
        </w:rPr>
        <w:t>第</w:t>
      </w:r>
      <w:r>
        <w:rPr>
          <w:rFonts w:ascii="標楷體" w:eastAsia="標楷體" w:hAnsi="標楷體" w:hint="eastAsia"/>
          <w:b/>
          <w:bCs/>
          <w:color w:val="000000" w:themeColor="text1"/>
          <w:sz w:val="28"/>
          <w:szCs w:val="28"/>
        </w:rPr>
        <w:t>四</w:t>
      </w:r>
      <w:r w:rsidRPr="006D6ABA">
        <w:rPr>
          <w:rFonts w:ascii="標楷體" w:eastAsia="標楷體" w:hAnsi="標楷體" w:hint="eastAsia"/>
          <w:b/>
          <w:bCs/>
          <w:color w:val="000000" w:themeColor="text1"/>
          <w:sz w:val="28"/>
          <w:szCs w:val="28"/>
        </w:rPr>
        <w:t>條（</w:t>
      </w:r>
      <w:r w:rsidRPr="00780F2A">
        <w:rPr>
          <w:rFonts w:ascii="標楷體" w:eastAsia="標楷體" w:hAnsi="標楷體" w:hint="eastAsia"/>
          <w:b/>
          <w:bCs/>
          <w:color w:val="000000" w:themeColor="text1"/>
          <w:sz w:val="28"/>
          <w:szCs w:val="28"/>
        </w:rPr>
        <w:t>K</w:t>
      </w:r>
      <w:r w:rsidRPr="00780F2A">
        <w:rPr>
          <w:rFonts w:ascii="標楷體" w:eastAsia="標楷體" w:hAnsi="標楷體"/>
          <w:b/>
          <w:bCs/>
          <w:color w:val="000000" w:themeColor="text1"/>
          <w:sz w:val="28"/>
          <w:szCs w:val="28"/>
        </w:rPr>
        <w:t>YC</w:t>
      </w:r>
      <w:r w:rsidRPr="00780F2A">
        <w:rPr>
          <w:rFonts w:ascii="標楷體" w:eastAsia="標楷體" w:hAnsi="標楷體" w:hint="eastAsia"/>
          <w:b/>
          <w:bCs/>
          <w:color w:val="000000" w:themeColor="text1"/>
          <w:sz w:val="28"/>
          <w:szCs w:val="28"/>
        </w:rPr>
        <w:t>作業</w:t>
      </w:r>
      <w:r w:rsidRPr="006D6ABA">
        <w:rPr>
          <w:rFonts w:ascii="標楷體" w:eastAsia="標楷體" w:hAnsi="標楷體" w:hint="eastAsia"/>
          <w:b/>
          <w:bCs/>
          <w:color w:val="000000" w:themeColor="text1"/>
          <w:sz w:val="28"/>
          <w:szCs w:val="28"/>
        </w:rPr>
        <w:t>）</w:t>
      </w:r>
    </w:p>
    <w:p w14:paraId="2FFA8C37" w14:textId="77777777" w:rsidR="005A3BBE" w:rsidRPr="000001B5" w:rsidRDefault="005A3BBE" w:rsidP="005A3BBE">
      <w:pPr>
        <w:pStyle w:val="a5"/>
        <w:spacing w:beforeLines="30" w:before="108" w:line="460" w:lineRule="exact"/>
        <w:ind w:leftChars="0" w:left="0"/>
        <w:jc w:val="both"/>
        <w:rPr>
          <w:rFonts w:ascii="標楷體" w:eastAsia="標楷體" w:hAnsi="標楷體"/>
          <w:color w:val="000000" w:themeColor="text1"/>
          <w:sz w:val="28"/>
          <w:szCs w:val="28"/>
        </w:rPr>
      </w:pPr>
      <w:r w:rsidRPr="00780F2A">
        <w:rPr>
          <w:rFonts w:ascii="標楷體" w:eastAsia="標楷體" w:hAnsi="標楷體" w:hint="eastAsia"/>
          <w:color w:val="000000" w:themeColor="text1"/>
          <w:sz w:val="28"/>
          <w:szCs w:val="28"/>
        </w:rPr>
        <w:t>證券商KYC作業應就高齡客戶設計符合其風險特性之風險屬性評估機制，有效評估該高齡客戶是否具有弱點及其財務特性。</w:t>
      </w:r>
    </w:p>
    <w:p w14:paraId="39E1EC8D" w14:textId="77777777" w:rsidR="005A3BBE" w:rsidRPr="006D6ABA" w:rsidRDefault="005A3BBE" w:rsidP="005A3BBE">
      <w:pPr>
        <w:adjustRightInd w:val="0"/>
        <w:snapToGrid w:val="0"/>
        <w:spacing w:beforeLines="50" w:before="180" w:line="440" w:lineRule="atLeast"/>
        <w:rPr>
          <w:rFonts w:ascii="標楷體" w:eastAsia="標楷體" w:hAnsi="標楷體"/>
          <w:b/>
          <w:bCs/>
          <w:color w:val="000000" w:themeColor="text1"/>
          <w:sz w:val="28"/>
          <w:szCs w:val="28"/>
        </w:rPr>
      </w:pPr>
      <w:r w:rsidRPr="006D6ABA">
        <w:rPr>
          <w:rFonts w:ascii="標楷體" w:eastAsia="標楷體" w:hAnsi="標楷體" w:hint="eastAsia"/>
          <w:b/>
          <w:bCs/>
          <w:color w:val="000000" w:themeColor="text1"/>
          <w:sz w:val="28"/>
          <w:szCs w:val="28"/>
        </w:rPr>
        <w:t>第</w:t>
      </w:r>
      <w:r>
        <w:rPr>
          <w:rFonts w:ascii="標楷體" w:eastAsia="標楷體" w:hAnsi="標楷體" w:hint="eastAsia"/>
          <w:b/>
          <w:bCs/>
          <w:color w:val="000000" w:themeColor="text1"/>
          <w:sz w:val="28"/>
          <w:szCs w:val="28"/>
        </w:rPr>
        <w:t>五</w:t>
      </w:r>
      <w:r w:rsidRPr="006D6ABA">
        <w:rPr>
          <w:rFonts w:ascii="標楷體" w:eastAsia="標楷體" w:hAnsi="標楷體" w:hint="eastAsia"/>
          <w:b/>
          <w:bCs/>
          <w:color w:val="000000" w:themeColor="text1"/>
          <w:sz w:val="28"/>
          <w:szCs w:val="28"/>
        </w:rPr>
        <w:t>條(</w:t>
      </w:r>
      <w:r w:rsidRPr="00704FC3">
        <w:rPr>
          <w:rFonts w:ascii="標楷體" w:eastAsia="標楷體" w:hAnsi="標楷體" w:hint="eastAsia"/>
          <w:b/>
          <w:bCs/>
          <w:color w:val="000000" w:themeColor="text1"/>
          <w:sz w:val="28"/>
          <w:szCs w:val="28"/>
        </w:rPr>
        <w:t>K</w:t>
      </w:r>
      <w:r w:rsidRPr="00704FC3">
        <w:rPr>
          <w:rFonts w:ascii="標楷體" w:eastAsia="標楷體" w:hAnsi="標楷體"/>
          <w:b/>
          <w:bCs/>
          <w:color w:val="000000" w:themeColor="text1"/>
          <w:sz w:val="28"/>
          <w:szCs w:val="28"/>
        </w:rPr>
        <w:t>YP</w:t>
      </w:r>
      <w:r w:rsidRPr="00704FC3">
        <w:rPr>
          <w:rFonts w:ascii="標楷體" w:eastAsia="標楷體" w:hAnsi="標楷體" w:hint="eastAsia"/>
          <w:b/>
          <w:bCs/>
          <w:color w:val="000000" w:themeColor="text1"/>
          <w:sz w:val="28"/>
          <w:szCs w:val="28"/>
        </w:rPr>
        <w:t>作業</w:t>
      </w:r>
      <w:r w:rsidRPr="006D6ABA">
        <w:rPr>
          <w:rFonts w:ascii="標楷體" w:eastAsia="標楷體" w:hAnsi="標楷體" w:hint="eastAsia"/>
          <w:b/>
          <w:bCs/>
          <w:color w:val="000000" w:themeColor="text1"/>
          <w:sz w:val="28"/>
          <w:szCs w:val="28"/>
        </w:rPr>
        <w:t>)</w:t>
      </w:r>
    </w:p>
    <w:p w14:paraId="2B3CBD82" w14:textId="77777777" w:rsidR="005A3BBE" w:rsidRPr="00F55724" w:rsidRDefault="005A3BBE" w:rsidP="005A3BBE">
      <w:pPr>
        <w:pStyle w:val="a5"/>
        <w:spacing w:beforeLines="30" w:before="108" w:line="460" w:lineRule="exact"/>
        <w:ind w:leftChars="0" w:left="0"/>
        <w:jc w:val="both"/>
        <w:rPr>
          <w:rFonts w:ascii="標楷體" w:eastAsia="標楷體" w:hAnsi="標楷體"/>
          <w:color w:val="000000" w:themeColor="text1"/>
          <w:sz w:val="28"/>
          <w:szCs w:val="28"/>
        </w:rPr>
      </w:pPr>
      <w:r w:rsidRPr="00704FC3">
        <w:rPr>
          <w:rFonts w:ascii="標楷體" w:eastAsia="標楷體" w:hAnsi="標楷體" w:hint="eastAsia"/>
          <w:color w:val="000000" w:themeColor="text1"/>
          <w:sz w:val="28"/>
          <w:szCs w:val="28"/>
        </w:rPr>
        <w:t>證券商K</w:t>
      </w:r>
      <w:r w:rsidRPr="00704FC3">
        <w:rPr>
          <w:rFonts w:ascii="標楷體" w:eastAsia="標楷體" w:hAnsi="標楷體"/>
          <w:color w:val="000000" w:themeColor="text1"/>
          <w:sz w:val="28"/>
          <w:szCs w:val="28"/>
        </w:rPr>
        <w:t>YP</w:t>
      </w:r>
      <w:r w:rsidRPr="00704FC3">
        <w:rPr>
          <w:rFonts w:ascii="標楷體" w:eastAsia="標楷體" w:hAnsi="標楷體" w:hint="eastAsia"/>
          <w:color w:val="000000" w:themeColor="text1"/>
          <w:sz w:val="28"/>
          <w:szCs w:val="28"/>
        </w:rPr>
        <w:t>作業，其</w:t>
      </w:r>
      <w:r w:rsidRPr="00704FC3">
        <w:rPr>
          <w:rFonts w:ascii="標楷體" w:eastAsia="標楷體" w:hAnsi="標楷體"/>
          <w:color w:val="000000" w:themeColor="text1"/>
          <w:sz w:val="28"/>
          <w:szCs w:val="28"/>
        </w:rPr>
        <w:t>商品風險等級評估機制</w:t>
      </w:r>
      <w:r w:rsidRPr="00704FC3">
        <w:rPr>
          <w:rFonts w:ascii="標楷體" w:eastAsia="標楷體" w:hAnsi="標楷體" w:hint="eastAsia"/>
          <w:color w:val="000000" w:themeColor="text1"/>
          <w:sz w:val="28"/>
          <w:szCs w:val="28"/>
        </w:rPr>
        <w:t>，應針對高齡客戶適當考量影響性較高之因子，充分反映其風險等級及標示特性。</w:t>
      </w:r>
    </w:p>
    <w:p w14:paraId="543EE75D" w14:textId="77777777" w:rsidR="005A3BBE" w:rsidRPr="00106D27" w:rsidRDefault="005A3BBE" w:rsidP="005A3BBE">
      <w:pPr>
        <w:adjustRightInd w:val="0"/>
        <w:snapToGrid w:val="0"/>
        <w:spacing w:beforeLines="50" w:before="180" w:line="440" w:lineRule="exact"/>
        <w:rPr>
          <w:rFonts w:ascii="標楷體" w:eastAsia="標楷體" w:hAnsi="標楷體"/>
          <w:b/>
          <w:bCs/>
          <w:color w:val="000000" w:themeColor="text1"/>
          <w:sz w:val="28"/>
          <w:szCs w:val="28"/>
        </w:rPr>
      </w:pPr>
      <w:r w:rsidRPr="006D6ABA">
        <w:rPr>
          <w:rFonts w:ascii="標楷體" w:eastAsia="標楷體" w:hAnsi="標楷體" w:hint="eastAsia"/>
          <w:b/>
          <w:bCs/>
          <w:color w:val="000000" w:themeColor="text1"/>
          <w:sz w:val="28"/>
          <w:szCs w:val="28"/>
        </w:rPr>
        <w:t>第</w:t>
      </w:r>
      <w:r>
        <w:rPr>
          <w:rFonts w:ascii="標楷體" w:eastAsia="標楷體" w:hAnsi="標楷體" w:hint="eastAsia"/>
          <w:b/>
          <w:bCs/>
          <w:color w:val="000000" w:themeColor="text1"/>
          <w:sz w:val="28"/>
          <w:szCs w:val="28"/>
        </w:rPr>
        <w:t>六</w:t>
      </w:r>
      <w:r w:rsidRPr="006D6ABA">
        <w:rPr>
          <w:rFonts w:ascii="標楷體" w:eastAsia="標楷體" w:hAnsi="標楷體" w:hint="eastAsia"/>
          <w:b/>
          <w:bCs/>
          <w:color w:val="000000" w:themeColor="text1"/>
          <w:sz w:val="28"/>
          <w:szCs w:val="28"/>
        </w:rPr>
        <w:t>條(行銷程序及作業)</w:t>
      </w:r>
    </w:p>
    <w:p w14:paraId="0C3EAB09" w14:textId="77777777" w:rsidR="005A3BBE" w:rsidRPr="00106D27" w:rsidRDefault="005A3BBE" w:rsidP="005A3BBE">
      <w:pPr>
        <w:pStyle w:val="a5"/>
        <w:spacing w:beforeLines="30" w:before="108" w:line="460" w:lineRule="exact"/>
        <w:ind w:leftChars="0" w:left="0"/>
        <w:jc w:val="both"/>
        <w:rPr>
          <w:rFonts w:ascii="標楷體" w:eastAsia="標楷體" w:hAnsi="標楷體"/>
          <w:color w:val="000000" w:themeColor="text1"/>
          <w:sz w:val="28"/>
          <w:szCs w:val="28"/>
        </w:rPr>
      </w:pPr>
      <w:r w:rsidRPr="00704FC3">
        <w:rPr>
          <w:rFonts w:ascii="標楷體" w:eastAsia="標楷體" w:hAnsi="標楷體" w:hint="eastAsia"/>
          <w:color w:val="000000" w:themeColor="text1"/>
          <w:sz w:val="28"/>
          <w:szCs w:val="28"/>
        </w:rPr>
        <w:t>證券商對高齡客戶辦理適合度評估時，應考量高齡客戶之弱點與財務特性及所擬推介商品之特殊風險事項等，妥適評估說明擬推介商品之適合性及推介理由，以確認所行銷商品確實適合高齡客戶。</w:t>
      </w:r>
    </w:p>
    <w:p w14:paraId="5B344059" w14:textId="77777777" w:rsidR="005A3BBE" w:rsidRPr="006D6ABA" w:rsidRDefault="005A3BBE" w:rsidP="005A3BBE">
      <w:pPr>
        <w:spacing w:beforeLines="50" w:before="180" w:line="460" w:lineRule="exact"/>
        <w:jc w:val="both"/>
        <w:rPr>
          <w:rFonts w:ascii="標楷體" w:eastAsia="標楷體" w:hAnsi="標楷體"/>
          <w:b/>
          <w:bCs/>
          <w:color w:val="000000" w:themeColor="text1"/>
          <w:sz w:val="28"/>
          <w:szCs w:val="28"/>
        </w:rPr>
      </w:pPr>
      <w:r w:rsidRPr="006D6ABA">
        <w:rPr>
          <w:rFonts w:ascii="標楷體" w:eastAsia="標楷體" w:hAnsi="標楷體" w:hint="eastAsia"/>
          <w:b/>
          <w:bCs/>
          <w:color w:val="000000" w:themeColor="text1"/>
          <w:sz w:val="28"/>
          <w:szCs w:val="28"/>
        </w:rPr>
        <w:t>第</w:t>
      </w:r>
      <w:r>
        <w:rPr>
          <w:rFonts w:ascii="標楷體" w:eastAsia="標楷體" w:hAnsi="標楷體" w:hint="eastAsia"/>
          <w:b/>
          <w:bCs/>
          <w:color w:val="000000" w:themeColor="text1"/>
          <w:sz w:val="28"/>
          <w:szCs w:val="28"/>
        </w:rPr>
        <w:t>七</w:t>
      </w:r>
      <w:r w:rsidRPr="006D6ABA">
        <w:rPr>
          <w:rFonts w:ascii="標楷體" w:eastAsia="標楷體" w:hAnsi="標楷體" w:hint="eastAsia"/>
          <w:b/>
          <w:bCs/>
          <w:color w:val="000000" w:themeColor="text1"/>
          <w:sz w:val="28"/>
          <w:szCs w:val="28"/>
        </w:rPr>
        <w:t>條(告知及揭露)</w:t>
      </w:r>
    </w:p>
    <w:p w14:paraId="7E958C7E" w14:textId="77777777" w:rsidR="005A3BBE" w:rsidRPr="00106D27" w:rsidRDefault="005A3BBE" w:rsidP="005A3BBE">
      <w:pPr>
        <w:spacing w:beforeLines="30" w:before="108" w:line="460" w:lineRule="exact"/>
        <w:ind w:leftChars="-1" w:left="1" w:hangingChars="1" w:hanging="3"/>
        <w:jc w:val="both"/>
        <w:rPr>
          <w:rFonts w:ascii="標楷體" w:eastAsia="標楷體" w:hAnsi="標楷體"/>
          <w:color w:val="000000" w:themeColor="text1"/>
          <w:sz w:val="28"/>
          <w:szCs w:val="28"/>
        </w:rPr>
      </w:pPr>
      <w:r w:rsidRPr="00704FC3">
        <w:rPr>
          <w:rFonts w:ascii="標楷體" w:eastAsia="標楷體" w:hAnsi="標楷體" w:cs="Times New Roman" w:hint="eastAsia"/>
          <w:color w:val="000000" w:themeColor="text1"/>
          <w:sz w:val="28"/>
          <w:szCs w:val="28"/>
        </w:rPr>
        <w:lastRenderedPageBreak/>
        <w:t>證券商向高齡客戶提供金融服務，應強化其行銷與契約文件可閱讀性，以善盡告知及揭露義務；另對重大權益義務變更，應以事前約定之妥適方法進行通知。</w:t>
      </w:r>
    </w:p>
    <w:p w14:paraId="4A3BA8C5" w14:textId="77777777" w:rsidR="005A3BBE" w:rsidRDefault="005A3BBE" w:rsidP="005A3BBE">
      <w:pPr>
        <w:adjustRightInd w:val="0"/>
        <w:snapToGrid w:val="0"/>
        <w:spacing w:beforeLines="50" w:before="180" w:line="460" w:lineRule="atLeast"/>
        <w:rPr>
          <w:rFonts w:ascii="標楷體" w:eastAsia="標楷體" w:hAnsi="標楷體"/>
          <w:b/>
          <w:bCs/>
          <w:color w:val="000000" w:themeColor="text1"/>
          <w:sz w:val="28"/>
          <w:szCs w:val="28"/>
        </w:rPr>
      </w:pPr>
      <w:r w:rsidRPr="006D6ABA">
        <w:rPr>
          <w:rFonts w:ascii="標楷體" w:eastAsia="標楷體" w:hAnsi="標楷體" w:hint="eastAsia"/>
          <w:b/>
          <w:bCs/>
          <w:color w:val="000000" w:themeColor="text1"/>
          <w:sz w:val="28"/>
          <w:szCs w:val="28"/>
        </w:rPr>
        <w:t>第</w:t>
      </w:r>
      <w:r>
        <w:rPr>
          <w:rFonts w:ascii="標楷體" w:eastAsia="標楷體" w:hAnsi="標楷體" w:hint="eastAsia"/>
          <w:b/>
          <w:bCs/>
          <w:color w:val="000000" w:themeColor="text1"/>
          <w:sz w:val="28"/>
          <w:szCs w:val="28"/>
        </w:rPr>
        <w:t>八</w:t>
      </w:r>
      <w:r w:rsidRPr="006D6ABA">
        <w:rPr>
          <w:rFonts w:ascii="標楷體" w:eastAsia="標楷體" w:hAnsi="標楷體" w:hint="eastAsia"/>
          <w:b/>
          <w:bCs/>
          <w:color w:val="000000" w:themeColor="text1"/>
          <w:sz w:val="28"/>
          <w:szCs w:val="28"/>
        </w:rPr>
        <w:t>條(</w:t>
      </w:r>
      <w:r w:rsidRPr="00704FC3">
        <w:rPr>
          <w:rFonts w:ascii="標楷體" w:eastAsia="標楷體" w:hAnsi="標楷體" w:hint="eastAsia"/>
          <w:b/>
          <w:bCs/>
          <w:color w:val="000000" w:themeColor="text1"/>
          <w:sz w:val="28"/>
          <w:szCs w:val="28"/>
        </w:rPr>
        <w:t>關懷提問)</w:t>
      </w:r>
    </w:p>
    <w:p w14:paraId="6DC67617" w14:textId="77777777" w:rsidR="005A3BBE" w:rsidRDefault="005A3BBE" w:rsidP="005A3BBE">
      <w:pPr>
        <w:adjustRightInd w:val="0"/>
        <w:snapToGrid w:val="0"/>
        <w:spacing w:beforeLines="30" w:before="108" w:line="460" w:lineRule="atLeast"/>
        <w:rPr>
          <w:rFonts w:ascii="標楷體" w:eastAsia="標楷體" w:hAnsi="標楷體"/>
          <w:b/>
          <w:bCs/>
          <w:color w:val="000000" w:themeColor="text1"/>
          <w:sz w:val="28"/>
          <w:szCs w:val="28"/>
        </w:rPr>
      </w:pPr>
      <w:r w:rsidRPr="00704FC3">
        <w:rPr>
          <w:rFonts w:ascii="標楷體" w:eastAsia="標楷體" w:hAnsi="標楷體" w:cs="Times New Roman" w:hint="eastAsia"/>
          <w:color w:val="000000" w:themeColor="text1"/>
          <w:sz w:val="28"/>
          <w:szCs w:val="28"/>
        </w:rPr>
        <w:t>證券商對高齡客戶之特殊行為，宜採關懷提問因應措施，提醒注意交易風險，以防範高齡客戶受詐騙</w:t>
      </w:r>
      <w:r w:rsidRPr="00704FC3">
        <w:rPr>
          <w:rFonts w:ascii="標楷體" w:eastAsia="標楷體" w:hAnsi="標楷體" w:cs="Times New Roman"/>
          <w:color w:val="000000" w:themeColor="text1"/>
          <w:sz w:val="28"/>
          <w:szCs w:val="28"/>
        </w:rPr>
        <w:t>。</w:t>
      </w:r>
    </w:p>
    <w:p w14:paraId="71AD391A" w14:textId="77777777" w:rsidR="005A3BBE" w:rsidRPr="006D6ABA" w:rsidRDefault="005A3BBE" w:rsidP="005A3BBE">
      <w:pPr>
        <w:adjustRightInd w:val="0"/>
        <w:snapToGrid w:val="0"/>
        <w:spacing w:beforeLines="50" w:before="180" w:line="460" w:lineRule="atLeast"/>
        <w:rPr>
          <w:rFonts w:ascii="標楷體" w:eastAsia="標楷體" w:hAnsi="標楷體"/>
          <w:b/>
          <w:bCs/>
          <w:color w:val="000000" w:themeColor="text1"/>
          <w:sz w:val="28"/>
          <w:szCs w:val="28"/>
        </w:rPr>
      </w:pPr>
      <w:r w:rsidRPr="006D6ABA">
        <w:rPr>
          <w:rFonts w:ascii="標楷體" w:eastAsia="標楷體" w:hAnsi="標楷體" w:hint="eastAsia"/>
          <w:b/>
          <w:bCs/>
          <w:color w:val="000000" w:themeColor="text1"/>
          <w:sz w:val="28"/>
          <w:szCs w:val="28"/>
        </w:rPr>
        <w:t>第</w:t>
      </w:r>
      <w:r>
        <w:rPr>
          <w:rFonts w:ascii="標楷體" w:eastAsia="標楷體" w:hAnsi="標楷體" w:hint="eastAsia"/>
          <w:b/>
          <w:bCs/>
          <w:color w:val="000000" w:themeColor="text1"/>
          <w:sz w:val="28"/>
          <w:szCs w:val="28"/>
        </w:rPr>
        <w:t>九</w:t>
      </w:r>
      <w:r w:rsidRPr="006D6ABA">
        <w:rPr>
          <w:rFonts w:ascii="標楷體" w:eastAsia="標楷體" w:hAnsi="標楷體" w:hint="eastAsia"/>
          <w:b/>
          <w:bCs/>
          <w:color w:val="000000" w:themeColor="text1"/>
          <w:sz w:val="28"/>
          <w:szCs w:val="28"/>
        </w:rPr>
        <w:t>條(</w:t>
      </w:r>
      <w:r w:rsidRPr="0022081E">
        <w:rPr>
          <w:rFonts w:ascii="標楷體" w:eastAsia="標楷體" w:hAnsi="標楷體" w:hint="eastAsia"/>
          <w:b/>
          <w:bCs/>
          <w:color w:val="000000" w:themeColor="text1"/>
          <w:sz w:val="28"/>
          <w:szCs w:val="28"/>
        </w:rPr>
        <w:t>確認交易指示人身分</w:t>
      </w:r>
      <w:r w:rsidRPr="006D6ABA">
        <w:rPr>
          <w:rFonts w:ascii="標楷體" w:eastAsia="標楷體" w:hAnsi="標楷體" w:hint="eastAsia"/>
          <w:b/>
          <w:bCs/>
          <w:color w:val="000000" w:themeColor="text1"/>
          <w:sz w:val="28"/>
          <w:szCs w:val="28"/>
        </w:rPr>
        <w:t>）</w:t>
      </w:r>
    </w:p>
    <w:p w14:paraId="1D749841" w14:textId="77777777" w:rsidR="005A3BBE" w:rsidRPr="0083580C" w:rsidRDefault="005A3BBE" w:rsidP="005A3BBE">
      <w:pPr>
        <w:adjustRightInd w:val="0"/>
        <w:snapToGrid w:val="0"/>
        <w:spacing w:line="440" w:lineRule="atLeast"/>
        <w:ind w:hanging="1"/>
        <w:jc w:val="both"/>
        <w:rPr>
          <w:rFonts w:ascii="標楷體" w:eastAsia="標楷體" w:hAnsi="標楷體"/>
          <w:color w:val="000000" w:themeColor="text1"/>
          <w:sz w:val="28"/>
          <w:szCs w:val="28"/>
        </w:rPr>
      </w:pPr>
      <w:r w:rsidRPr="00106D27">
        <w:rPr>
          <w:rFonts w:ascii="標楷體" w:eastAsia="標楷體" w:hAnsi="標楷體" w:hint="eastAsia"/>
          <w:color w:val="000000" w:themeColor="text1"/>
          <w:sz w:val="28"/>
          <w:szCs w:val="28"/>
        </w:rPr>
        <w:t>證券商應確實執行高齡客戶以外之他人以電話代為指示交易之相關管控措施</w:t>
      </w:r>
      <w:r w:rsidRPr="003E149B">
        <w:rPr>
          <w:rFonts w:ascii="標楷體" w:eastAsia="標楷體" w:hAnsi="標楷體"/>
          <w:color w:val="000000" w:themeColor="text1"/>
          <w:sz w:val="27"/>
          <w:szCs w:val="27"/>
        </w:rPr>
        <w:t>。</w:t>
      </w:r>
    </w:p>
    <w:p w14:paraId="1D01A831" w14:textId="77777777" w:rsidR="005A3BBE" w:rsidRPr="006D6ABA" w:rsidRDefault="005A3BBE" w:rsidP="005A3BBE">
      <w:pPr>
        <w:adjustRightInd w:val="0"/>
        <w:snapToGrid w:val="0"/>
        <w:spacing w:beforeLines="50" w:before="180" w:line="460" w:lineRule="atLeast"/>
        <w:rPr>
          <w:rFonts w:ascii="標楷體" w:eastAsia="標楷體" w:hAnsi="標楷體"/>
          <w:b/>
          <w:bCs/>
          <w:color w:val="000000" w:themeColor="text1"/>
          <w:sz w:val="28"/>
          <w:szCs w:val="28"/>
        </w:rPr>
      </w:pPr>
      <w:r w:rsidRPr="006D6ABA">
        <w:rPr>
          <w:rFonts w:ascii="標楷體" w:eastAsia="標楷體" w:hAnsi="標楷體" w:hint="eastAsia"/>
          <w:b/>
          <w:bCs/>
          <w:color w:val="000000" w:themeColor="text1"/>
          <w:sz w:val="28"/>
          <w:szCs w:val="28"/>
        </w:rPr>
        <w:t>第</w:t>
      </w:r>
      <w:r>
        <w:rPr>
          <w:rFonts w:ascii="標楷體" w:eastAsia="標楷體" w:hAnsi="標楷體" w:hint="eastAsia"/>
          <w:b/>
          <w:bCs/>
          <w:color w:val="000000" w:themeColor="text1"/>
          <w:sz w:val="28"/>
          <w:szCs w:val="28"/>
        </w:rPr>
        <w:t>十</w:t>
      </w:r>
      <w:r w:rsidRPr="006D6ABA">
        <w:rPr>
          <w:rFonts w:ascii="標楷體" w:eastAsia="標楷體" w:hAnsi="標楷體" w:hint="eastAsia"/>
          <w:b/>
          <w:bCs/>
          <w:color w:val="000000" w:themeColor="text1"/>
          <w:sz w:val="28"/>
          <w:szCs w:val="28"/>
        </w:rPr>
        <w:t>條(交易檢視</w:t>
      </w:r>
      <w:r>
        <w:rPr>
          <w:rFonts w:ascii="標楷體" w:eastAsia="標楷體" w:hAnsi="標楷體" w:hint="eastAsia"/>
          <w:b/>
          <w:bCs/>
          <w:color w:val="000000" w:themeColor="text1"/>
          <w:sz w:val="28"/>
          <w:szCs w:val="28"/>
        </w:rPr>
        <w:t>或</w:t>
      </w:r>
      <w:r w:rsidRPr="006D6ABA">
        <w:rPr>
          <w:rFonts w:ascii="標楷體" w:eastAsia="標楷體" w:hAnsi="標楷體" w:hint="eastAsia"/>
          <w:b/>
          <w:bCs/>
          <w:color w:val="000000" w:themeColor="text1"/>
          <w:sz w:val="28"/>
          <w:szCs w:val="28"/>
        </w:rPr>
        <w:t>確認)</w:t>
      </w:r>
    </w:p>
    <w:p w14:paraId="639E2A94" w14:textId="77777777" w:rsidR="005A3BBE" w:rsidRPr="00D01726" w:rsidRDefault="005A3BBE" w:rsidP="005A3BBE">
      <w:pPr>
        <w:adjustRightInd w:val="0"/>
        <w:snapToGrid w:val="0"/>
        <w:spacing w:beforeLines="30" w:before="108" w:line="460" w:lineRule="atLeast"/>
        <w:jc w:val="both"/>
        <w:rPr>
          <w:rFonts w:ascii="標楷體" w:eastAsia="標楷體" w:hAnsi="標楷體"/>
          <w:color w:val="000000" w:themeColor="text1"/>
          <w:sz w:val="28"/>
          <w:szCs w:val="28"/>
        </w:rPr>
      </w:pPr>
      <w:r w:rsidRPr="00D01726">
        <w:rPr>
          <w:rFonts w:ascii="標楷體" w:eastAsia="標楷體" w:hAnsi="標楷體" w:hint="eastAsia"/>
          <w:color w:val="000000" w:themeColor="text1"/>
          <w:sz w:val="28"/>
          <w:szCs w:val="28"/>
        </w:rPr>
        <w:t>證券商應有強化銷售高齡客戶高風險商品之交易檢視或確認機制。</w:t>
      </w:r>
    </w:p>
    <w:p w14:paraId="45D4543F" w14:textId="77777777" w:rsidR="005A3BBE" w:rsidRPr="006D6ABA" w:rsidRDefault="005A3BBE" w:rsidP="005A3BBE">
      <w:pPr>
        <w:pStyle w:val="a5"/>
        <w:adjustRightInd w:val="0"/>
        <w:snapToGrid w:val="0"/>
        <w:spacing w:beforeLines="50" w:before="180" w:line="460" w:lineRule="exact"/>
        <w:ind w:leftChars="0" w:left="0"/>
        <w:rPr>
          <w:rFonts w:ascii="標楷體" w:eastAsia="標楷體" w:hAnsi="標楷體"/>
          <w:b/>
          <w:bCs/>
          <w:color w:val="000000" w:themeColor="text1"/>
          <w:sz w:val="28"/>
          <w:szCs w:val="28"/>
        </w:rPr>
      </w:pPr>
      <w:r w:rsidRPr="006D6ABA">
        <w:rPr>
          <w:rFonts w:ascii="標楷體" w:eastAsia="標楷體" w:hAnsi="標楷體" w:hint="eastAsia"/>
          <w:b/>
          <w:bCs/>
          <w:color w:val="000000" w:themeColor="text1"/>
          <w:sz w:val="28"/>
          <w:szCs w:val="28"/>
        </w:rPr>
        <w:t>第</w:t>
      </w:r>
      <w:r>
        <w:rPr>
          <w:rFonts w:ascii="標楷體" w:eastAsia="標楷體" w:hAnsi="標楷體" w:hint="eastAsia"/>
          <w:b/>
          <w:bCs/>
          <w:color w:val="000000" w:themeColor="text1"/>
          <w:sz w:val="28"/>
          <w:szCs w:val="28"/>
        </w:rPr>
        <w:t>十一</w:t>
      </w:r>
      <w:r w:rsidRPr="006D6ABA">
        <w:rPr>
          <w:rFonts w:ascii="標楷體" w:eastAsia="標楷體" w:hAnsi="標楷體" w:hint="eastAsia"/>
          <w:b/>
          <w:bCs/>
          <w:color w:val="000000" w:themeColor="text1"/>
          <w:sz w:val="28"/>
          <w:szCs w:val="28"/>
        </w:rPr>
        <w:t>條(交易監控及查核）</w:t>
      </w:r>
    </w:p>
    <w:p w14:paraId="7DB0BE9D" w14:textId="77777777" w:rsidR="005A3BBE" w:rsidRPr="00D01726" w:rsidRDefault="005A3BBE" w:rsidP="005A3BBE">
      <w:pPr>
        <w:adjustRightInd w:val="0"/>
        <w:snapToGrid w:val="0"/>
        <w:spacing w:beforeLines="30" w:before="108" w:line="460" w:lineRule="exact"/>
        <w:rPr>
          <w:rFonts w:ascii="標楷體" w:eastAsia="標楷體" w:hAnsi="標楷體"/>
          <w:color w:val="000000" w:themeColor="text1"/>
          <w:sz w:val="28"/>
          <w:szCs w:val="28"/>
        </w:rPr>
      </w:pPr>
      <w:r w:rsidRPr="00D01726">
        <w:rPr>
          <w:rFonts w:ascii="標楷體" w:eastAsia="標楷體" w:hAnsi="標楷體" w:hint="eastAsia"/>
          <w:color w:val="000000" w:themeColor="text1"/>
          <w:sz w:val="28"/>
          <w:szCs w:val="28"/>
        </w:rPr>
        <w:t>證券商應建立適用高齡客戶之交易監控機制及加強查核機制</w:t>
      </w:r>
      <w:r w:rsidRPr="00D01726">
        <w:rPr>
          <w:rFonts w:ascii="標楷體" w:eastAsia="標楷體" w:hAnsi="標楷體"/>
          <w:color w:val="000000" w:themeColor="text1"/>
          <w:sz w:val="28"/>
          <w:szCs w:val="28"/>
        </w:rPr>
        <w:t>，以及早辨識異常交易</w:t>
      </w:r>
      <w:r w:rsidRPr="00D01726">
        <w:rPr>
          <w:rFonts w:ascii="標楷體" w:eastAsia="標楷體" w:hAnsi="標楷體" w:hint="eastAsia"/>
          <w:color w:val="000000" w:themeColor="text1"/>
          <w:sz w:val="28"/>
          <w:szCs w:val="28"/>
        </w:rPr>
        <w:t>。</w:t>
      </w:r>
    </w:p>
    <w:p w14:paraId="008D830D" w14:textId="77777777" w:rsidR="005A3BBE" w:rsidRPr="006D6ABA" w:rsidRDefault="005A3BBE" w:rsidP="005A3BBE">
      <w:pPr>
        <w:pStyle w:val="a5"/>
        <w:adjustRightInd w:val="0"/>
        <w:snapToGrid w:val="0"/>
        <w:spacing w:beforeLines="30" w:before="108" w:line="460" w:lineRule="exact"/>
        <w:ind w:leftChars="0" w:left="0"/>
        <w:rPr>
          <w:rFonts w:ascii="標楷體" w:eastAsia="標楷體" w:hAnsi="標楷體"/>
          <w:b/>
          <w:bCs/>
          <w:color w:val="000000" w:themeColor="text1"/>
          <w:sz w:val="28"/>
          <w:szCs w:val="28"/>
        </w:rPr>
      </w:pPr>
      <w:r w:rsidRPr="006D6ABA">
        <w:rPr>
          <w:rFonts w:ascii="標楷體" w:eastAsia="標楷體" w:hAnsi="標楷體" w:hint="eastAsia"/>
          <w:b/>
          <w:bCs/>
          <w:color w:val="000000" w:themeColor="text1"/>
          <w:sz w:val="28"/>
          <w:szCs w:val="28"/>
        </w:rPr>
        <w:t>第十</w:t>
      </w:r>
      <w:r>
        <w:rPr>
          <w:rFonts w:ascii="標楷體" w:eastAsia="標楷體" w:hAnsi="標楷體" w:hint="eastAsia"/>
          <w:b/>
          <w:bCs/>
          <w:color w:val="000000" w:themeColor="text1"/>
          <w:sz w:val="28"/>
          <w:szCs w:val="28"/>
        </w:rPr>
        <w:t>二</w:t>
      </w:r>
      <w:r w:rsidRPr="006D6ABA">
        <w:rPr>
          <w:rFonts w:ascii="標楷體" w:eastAsia="標楷體" w:hAnsi="標楷體" w:hint="eastAsia"/>
          <w:b/>
          <w:bCs/>
          <w:color w:val="000000" w:themeColor="text1"/>
          <w:sz w:val="28"/>
          <w:szCs w:val="28"/>
        </w:rPr>
        <w:t>條(施行程序）</w:t>
      </w:r>
    </w:p>
    <w:p w14:paraId="4FE9407F" w14:textId="77777777" w:rsidR="005A3BBE" w:rsidRDefault="005A3BBE" w:rsidP="005A3BBE">
      <w:pPr>
        <w:pStyle w:val="a5"/>
        <w:spacing w:line="480" w:lineRule="exact"/>
        <w:ind w:leftChars="0" w:left="0"/>
        <w:jc w:val="both"/>
        <w:rPr>
          <w:rFonts w:ascii="標楷體" w:eastAsia="標楷體" w:hAnsi="標楷體"/>
          <w:color w:val="000000" w:themeColor="text1"/>
          <w:sz w:val="28"/>
          <w:szCs w:val="28"/>
        </w:rPr>
      </w:pPr>
      <w:r w:rsidRPr="00430DB4">
        <w:rPr>
          <w:rFonts w:ascii="標楷體" w:eastAsia="標楷體" w:hAnsi="標楷體" w:hint="eastAsia"/>
          <w:color w:val="000000" w:themeColor="text1"/>
          <w:sz w:val="28"/>
          <w:szCs w:val="28"/>
        </w:rPr>
        <w:t>本規範經本公會理事會會議通過，並報請主管機關核備後施行，修正時亦同。</w:t>
      </w:r>
    </w:p>
    <w:p w14:paraId="425C1983" w14:textId="77777777" w:rsidR="005A3BBE" w:rsidRDefault="005A3BBE" w:rsidP="005A3BBE">
      <w:pPr>
        <w:pStyle w:val="a5"/>
        <w:spacing w:line="480" w:lineRule="exact"/>
        <w:ind w:leftChars="0" w:left="0"/>
        <w:jc w:val="both"/>
        <w:rPr>
          <w:rFonts w:ascii="標楷體" w:eastAsia="標楷體" w:hAnsi="標楷體"/>
          <w:color w:val="000000" w:themeColor="text1"/>
          <w:sz w:val="28"/>
          <w:szCs w:val="28"/>
        </w:rPr>
      </w:pPr>
    </w:p>
    <w:p w14:paraId="18840293" w14:textId="77777777" w:rsidR="005A3BBE" w:rsidRPr="005A3BBE" w:rsidRDefault="005A3BBE"/>
    <w:sectPr w:rsidR="005A3BBE" w:rsidRPr="005A3B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0C136" w14:textId="77777777" w:rsidR="00650C78" w:rsidRDefault="00650C78" w:rsidP="00071254">
      <w:r>
        <w:separator/>
      </w:r>
    </w:p>
  </w:endnote>
  <w:endnote w:type="continuationSeparator" w:id="0">
    <w:p w14:paraId="3285D4D6" w14:textId="77777777" w:rsidR="00650C78" w:rsidRDefault="00650C78" w:rsidP="0007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EEEDF" w14:textId="77777777" w:rsidR="00650C78" w:rsidRDefault="00650C78" w:rsidP="00071254">
      <w:r>
        <w:separator/>
      </w:r>
    </w:p>
  </w:footnote>
  <w:footnote w:type="continuationSeparator" w:id="0">
    <w:p w14:paraId="37C443B0" w14:textId="77777777" w:rsidR="00650C78" w:rsidRDefault="00650C78" w:rsidP="00071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5D"/>
    <w:rsid w:val="000003C7"/>
    <w:rsid w:val="00000BC6"/>
    <w:rsid w:val="00055A12"/>
    <w:rsid w:val="00071254"/>
    <w:rsid w:val="000D791A"/>
    <w:rsid w:val="000E225D"/>
    <w:rsid w:val="0010498F"/>
    <w:rsid w:val="0019077E"/>
    <w:rsid w:val="001A1CFD"/>
    <w:rsid w:val="001F0D6B"/>
    <w:rsid w:val="00265BA7"/>
    <w:rsid w:val="00284AC4"/>
    <w:rsid w:val="002B038F"/>
    <w:rsid w:val="002C1DBF"/>
    <w:rsid w:val="003443A0"/>
    <w:rsid w:val="003A492F"/>
    <w:rsid w:val="003D699B"/>
    <w:rsid w:val="00430A24"/>
    <w:rsid w:val="00462055"/>
    <w:rsid w:val="0048651E"/>
    <w:rsid w:val="004B72AA"/>
    <w:rsid w:val="004C40EC"/>
    <w:rsid w:val="004C7CC9"/>
    <w:rsid w:val="004F4839"/>
    <w:rsid w:val="00530D90"/>
    <w:rsid w:val="00554AEE"/>
    <w:rsid w:val="005754CB"/>
    <w:rsid w:val="005A3BBE"/>
    <w:rsid w:val="00603C18"/>
    <w:rsid w:val="006376AB"/>
    <w:rsid w:val="00650C78"/>
    <w:rsid w:val="006921E9"/>
    <w:rsid w:val="006B3801"/>
    <w:rsid w:val="006C4A34"/>
    <w:rsid w:val="007C169A"/>
    <w:rsid w:val="007E365A"/>
    <w:rsid w:val="0081298C"/>
    <w:rsid w:val="00853EF7"/>
    <w:rsid w:val="00884547"/>
    <w:rsid w:val="008B1C10"/>
    <w:rsid w:val="00926900"/>
    <w:rsid w:val="009837ED"/>
    <w:rsid w:val="009A41BE"/>
    <w:rsid w:val="00A62C31"/>
    <w:rsid w:val="00AE1BDC"/>
    <w:rsid w:val="00B12D61"/>
    <w:rsid w:val="00B62C0E"/>
    <w:rsid w:val="00B87762"/>
    <w:rsid w:val="00B95DB7"/>
    <w:rsid w:val="00BA2BF9"/>
    <w:rsid w:val="00BC40B3"/>
    <w:rsid w:val="00BC60C4"/>
    <w:rsid w:val="00BD58A7"/>
    <w:rsid w:val="00C120A0"/>
    <w:rsid w:val="00C73EF9"/>
    <w:rsid w:val="00CC6567"/>
    <w:rsid w:val="00CD6DB7"/>
    <w:rsid w:val="00D736A6"/>
    <w:rsid w:val="00D9688D"/>
    <w:rsid w:val="00DA3976"/>
    <w:rsid w:val="00DA6927"/>
    <w:rsid w:val="00DB1D1F"/>
    <w:rsid w:val="00DE7795"/>
    <w:rsid w:val="00E1194A"/>
    <w:rsid w:val="00E11E1F"/>
    <w:rsid w:val="00E230B5"/>
    <w:rsid w:val="00E632F6"/>
    <w:rsid w:val="00E71AFF"/>
    <w:rsid w:val="00EB7E93"/>
    <w:rsid w:val="00EE0170"/>
    <w:rsid w:val="00F3067D"/>
    <w:rsid w:val="00F366D2"/>
    <w:rsid w:val="00FE6D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157FF"/>
  <w15:chartTrackingRefBased/>
  <w15:docId w15:val="{AFC73A0B-02FD-4979-BD53-CDA2083E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25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A3BBE"/>
    <w:rPr>
      <w:color w:val="0563C1"/>
      <w:u w:val="single"/>
    </w:rPr>
  </w:style>
  <w:style w:type="paragraph" w:styleId="a5">
    <w:name w:val="List Paragraph"/>
    <w:basedOn w:val="a"/>
    <w:uiPriority w:val="34"/>
    <w:qFormat/>
    <w:rsid w:val="005A3BBE"/>
    <w:pPr>
      <w:ind w:leftChars="200" w:left="480"/>
    </w:pPr>
    <w:rPr>
      <w:rFonts w:ascii="Calibri" w:eastAsia="新細明體" w:hAnsi="Calibri" w:cs="Times New Roman"/>
    </w:rPr>
  </w:style>
  <w:style w:type="paragraph" w:styleId="a6">
    <w:name w:val="header"/>
    <w:basedOn w:val="a"/>
    <w:link w:val="a7"/>
    <w:uiPriority w:val="99"/>
    <w:unhideWhenUsed/>
    <w:rsid w:val="00071254"/>
    <w:pPr>
      <w:tabs>
        <w:tab w:val="center" w:pos="4153"/>
        <w:tab w:val="right" w:pos="8306"/>
      </w:tabs>
      <w:snapToGrid w:val="0"/>
    </w:pPr>
    <w:rPr>
      <w:sz w:val="20"/>
      <w:szCs w:val="20"/>
    </w:rPr>
  </w:style>
  <w:style w:type="character" w:customStyle="1" w:styleId="a7">
    <w:name w:val="頁首 字元"/>
    <w:basedOn w:val="a0"/>
    <w:link w:val="a6"/>
    <w:uiPriority w:val="99"/>
    <w:rsid w:val="00071254"/>
    <w:rPr>
      <w:sz w:val="20"/>
      <w:szCs w:val="20"/>
    </w:rPr>
  </w:style>
  <w:style w:type="paragraph" w:styleId="a8">
    <w:name w:val="footer"/>
    <w:basedOn w:val="a"/>
    <w:link w:val="a9"/>
    <w:uiPriority w:val="99"/>
    <w:unhideWhenUsed/>
    <w:rsid w:val="00071254"/>
    <w:pPr>
      <w:tabs>
        <w:tab w:val="center" w:pos="4153"/>
        <w:tab w:val="right" w:pos="8306"/>
      </w:tabs>
      <w:snapToGrid w:val="0"/>
    </w:pPr>
    <w:rPr>
      <w:sz w:val="20"/>
      <w:szCs w:val="20"/>
    </w:rPr>
  </w:style>
  <w:style w:type="character" w:customStyle="1" w:styleId="a9">
    <w:name w:val="頁尾 字元"/>
    <w:basedOn w:val="a0"/>
    <w:link w:val="a8"/>
    <w:uiPriority w:val="99"/>
    <w:rsid w:val="000712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5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B4271-1CC7-4023-A0DC-10B75B5C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陳昱達</dc:creator>
  <cp:keywords/>
  <dc:description/>
  <cp:lastModifiedBy>陳昱達</cp:lastModifiedBy>
  <cp:revision>3</cp:revision>
  <cp:lastPrinted>2022-03-04T07:31:00Z</cp:lastPrinted>
  <dcterms:created xsi:type="dcterms:W3CDTF">2026-01-22T01:33:00Z</dcterms:created>
  <dcterms:modified xsi:type="dcterms:W3CDTF">2026-01-22T01:34:00Z</dcterms:modified>
</cp:coreProperties>
</file>