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1E" w:rsidRPr="0037411E" w:rsidRDefault="0037411E" w:rsidP="0037411E">
      <w:pPr>
        <w:spacing w:line="500" w:lineRule="exact"/>
        <w:jc w:val="center"/>
        <w:rPr>
          <w:rFonts w:asciiTheme="majorEastAsia" w:eastAsiaTheme="majorEastAsia" w:hAnsiTheme="majorEastAsia"/>
          <w:spacing w:val="24"/>
          <w:sz w:val="22"/>
          <w:szCs w:val="22"/>
          <w:u w:val="single"/>
        </w:rPr>
      </w:pPr>
      <w:r w:rsidRPr="0037411E">
        <w:rPr>
          <w:rFonts w:asciiTheme="majorEastAsia" w:eastAsiaTheme="majorEastAsia" w:hAnsiTheme="majorEastAsia" w:hint="eastAsia"/>
          <w:spacing w:val="24"/>
          <w:sz w:val="22"/>
          <w:szCs w:val="22"/>
          <w:u w:val="single"/>
        </w:rPr>
        <w:t xml:space="preserve">　　　　　　證券股份有限公司</w:t>
      </w:r>
    </w:p>
    <w:p w:rsidR="0037411E" w:rsidRPr="0037411E" w:rsidRDefault="00AA44DC" w:rsidP="0037411E">
      <w:pPr>
        <w:spacing w:line="400" w:lineRule="exact"/>
        <w:jc w:val="center"/>
        <w:rPr>
          <w:rFonts w:asciiTheme="majorEastAsia" w:eastAsiaTheme="majorEastAsia" w:hAnsiTheme="majorEastAsia"/>
          <w:spacing w:val="24"/>
          <w:sz w:val="22"/>
          <w:szCs w:val="22"/>
          <w:u w:val="single"/>
        </w:rPr>
      </w:pPr>
      <w:r w:rsidRPr="00AA44DC">
        <w:rPr>
          <w:noProof/>
        </w:rPr>
        <w:pict>
          <v:rect id="_x0000_s1026" style="position:absolute;left:0;text-align:left;margin-left:0;margin-top:2pt;width:126.05pt;height:27.05pt;z-index:251660288" o:allowincell="f" filled="f" strokecolor="white" strokeweight="4pt">
            <v:textbox inset="1pt,1pt,1pt,1pt">
              <w:txbxContent>
                <w:p w:rsidR="0037411E" w:rsidRPr="0037411E" w:rsidRDefault="0037411E" w:rsidP="0037411E">
                  <w:pPr>
                    <w:rPr>
                      <w:rFonts w:asciiTheme="minorEastAsia" w:eastAsiaTheme="minorEastAsia" w:hAnsiTheme="minorEastAsia"/>
                    </w:rPr>
                  </w:pPr>
                  <w:r w:rsidRPr="0037411E">
                    <w:rPr>
                      <w:rFonts w:asciiTheme="minorEastAsia" w:eastAsiaTheme="minorEastAsia" w:hAnsiTheme="minorEastAsia" w:hint="eastAsia"/>
                    </w:rPr>
                    <w:t>作業週期：每日查核</w:t>
                  </w:r>
                </w:p>
              </w:txbxContent>
            </v:textbox>
          </v:rect>
        </w:pict>
      </w:r>
      <w:r w:rsidR="0037411E" w:rsidRPr="0037411E">
        <w:rPr>
          <w:rFonts w:asciiTheme="majorEastAsia" w:eastAsiaTheme="majorEastAsia" w:hAnsiTheme="majorEastAsia" w:hint="eastAsia"/>
          <w:sz w:val="22"/>
          <w:szCs w:val="22"/>
        </w:rPr>
        <w:t>業務及收入循環：經紀</w:t>
      </w:r>
      <w:r w:rsidR="0037411E" w:rsidRPr="0037411E">
        <w:rPr>
          <w:rFonts w:asciiTheme="majorEastAsia" w:eastAsiaTheme="majorEastAsia" w:hAnsiTheme="majorEastAsia"/>
          <w:sz w:val="22"/>
          <w:szCs w:val="22"/>
        </w:rPr>
        <w:t>(</w:t>
      </w:r>
      <w:r w:rsidR="0037411E" w:rsidRPr="0037411E">
        <w:rPr>
          <w:rFonts w:asciiTheme="majorEastAsia" w:eastAsiaTheme="majorEastAsia" w:hAnsiTheme="majorEastAsia" w:hint="eastAsia"/>
          <w:sz w:val="22"/>
          <w:szCs w:val="22"/>
        </w:rPr>
        <w:t>受託買賣外國有價證券</w:t>
      </w:r>
      <w:r w:rsidR="0037411E" w:rsidRPr="0037411E">
        <w:rPr>
          <w:rFonts w:asciiTheme="majorEastAsia" w:eastAsiaTheme="majorEastAsia" w:hAnsiTheme="majorEastAsia"/>
          <w:sz w:val="22"/>
          <w:szCs w:val="22"/>
        </w:rPr>
        <w:t>)</w:t>
      </w:r>
    </w:p>
    <w:p w:rsidR="0037411E" w:rsidRPr="0037411E" w:rsidRDefault="0037411E" w:rsidP="0037411E">
      <w:pPr>
        <w:spacing w:line="300" w:lineRule="auto"/>
        <w:jc w:val="center"/>
        <w:rPr>
          <w:rFonts w:asciiTheme="majorEastAsia" w:eastAsiaTheme="majorEastAsia" w:hAnsiTheme="majorEastAsia"/>
          <w:spacing w:val="46"/>
          <w:sz w:val="22"/>
          <w:szCs w:val="22"/>
          <w:u w:val="single"/>
        </w:rPr>
      </w:pPr>
      <w:r w:rsidRPr="0037411E">
        <w:rPr>
          <w:rFonts w:asciiTheme="majorEastAsia" w:eastAsiaTheme="majorEastAsia" w:hAnsiTheme="majorEastAsia" w:hint="eastAsia"/>
          <w:spacing w:val="46"/>
          <w:sz w:val="22"/>
          <w:szCs w:val="22"/>
          <w:u w:val="single"/>
        </w:rPr>
        <w:t>違約、複受託、保管契約及營業紛爭處理查核明細表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985"/>
        <w:gridCol w:w="7938"/>
        <w:gridCol w:w="567"/>
        <w:gridCol w:w="567"/>
        <w:gridCol w:w="1134"/>
        <w:gridCol w:w="1985"/>
      </w:tblGrid>
      <w:tr w:rsidR="0037411E" w:rsidRPr="0037411E" w:rsidTr="00FE17B3">
        <w:trPr>
          <w:cantSplit/>
          <w:trHeight w:hRule="exact" w:val="400"/>
        </w:trPr>
        <w:tc>
          <w:tcPr>
            <w:tcW w:w="1985" w:type="dxa"/>
            <w:vMerge w:val="restart"/>
            <w:tcBorders>
              <w:top w:val="single" w:sz="12" w:space="0" w:color="auto"/>
              <w:left w:val="single" w:sz="12" w:space="0" w:color="auto"/>
            </w:tcBorders>
            <w:vAlign w:val="center"/>
          </w:tcPr>
          <w:p w:rsidR="0037411E" w:rsidRPr="0037411E" w:rsidRDefault="0037411E" w:rsidP="00FE17B3">
            <w:pPr>
              <w:jc w:val="center"/>
              <w:rPr>
                <w:rFonts w:asciiTheme="majorEastAsia" w:eastAsiaTheme="majorEastAsia" w:hAnsiTheme="majorEastAsia"/>
                <w:sz w:val="22"/>
                <w:szCs w:val="22"/>
              </w:rPr>
            </w:pPr>
            <w:r w:rsidRPr="0037411E">
              <w:rPr>
                <w:rFonts w:asciiTheme="majorEastAsia" w:eastAsiaTheme="majorEastAsia" w:hAnsiTheme="majorEastAsia" w:hint="eastAsia"/>
                <w:sz w:val="22"/>
                <w:szCs w:val="22"/>
              </w:rPr>
              <w:t>項</w:t>
            </w:r>
            <w:r w:rsidRPr="0037411E">
              <w:rPr>
                <w:rFonts w:asciiTheme="majorEastAsia" w:eastAsiaTheme="majorEastAsia" w:hAnsiTheme="majorEastAsia"/>
                <w:sz w:val="22"/>
                <w:szCs w:val="22"/>
              </w:rPr>
              <w:t xml:space="preserve">     </w:t>
            </w:r>
            <w:r w:rsidRPr="0037411E">
              <w:rPr>
                <w:rFonts w:asciiTheme="majorEastAsia" w:eastAsiaTheme="majorEastAsia" w:hAnsiTheme="majorEastAsia" w:hint="eastAsia"/>
                <w:sz w:val="22"/>
                <w:szCs w:val="22"/>
              </w:rPr>
              <w:t>目</w:t>
            </w:r>
          </w:p>
        </w:tc>
        <w:tc>
          <w:tcPr>
            <w:tcW w:w="7938" w:type="dxa"/>
            <w:vMerge w:val="restart"/>
            <w:tcBorders>
              <w:top w:val="single" w:sz="12" w:space="0" w:color="auto"/>
            </w:tcBorders>
            <w:vAlign w:val="center"/>
          </w:tcPr>
          <w:p w:rsidR="0037411E" w:rsidRPr="0037411E" w:rsidRDefault="0037411E" w:rsidP="00FE17B3">
            <w:pPr>
              <w:jc w:val="center"/>
              <w:rPr>
                <w:rFonts w:asciiTheme="majorEastAsia" w:eastAsiaTheme="majorEastAsia" w:hAnsiTheme="majorEastAsia"/>
                <w:sz w:val="22"/>
                <w:szCs w:val="22"/>
              </w:rPr>
            </w:pPr>
            <w:r w:rsidRPr="0037411E">
              <w:rPr>
                <w:rFonts w:asciiTheme="majorEastAsia" w:eastAsiaTheme="majorEastAsia" w:hAnsiTheme="majorEastAsia" w:hint="eastAsia"/>
                <w:sz w:val="22"/>
                <w:szCs w:val="22"/>
              </w:rPr>
              <w:t>查</w:t>
            </w:r>
            <w:r w:rsidRPr="0037411E">
              <w:rPr>
                <w:rFonts w:asciiTheme="majorEastAsia" w:eastAsiaTheme="majorEastAsia" w:hAnsiTheme="majorEastAsia"/>
                <w:sz w:val="22"/>
                <w:szCs w:val="22"/>
              </w:rPr>
              <w:t xml:space="preserve">          </w:t>
            </w:r>
            <w:r w:rsidRPr="0037411E">
              <w:rPr>
                <w:rFonts w:asciiTheme="majorEastAsia" w:eastAsiaTheme="majorEastAsia" w:hAnsiTheme="majorEastAsia" w:hint="eastAsia"/>
                <w:sz w:val="22"/>
                <w:szCs w:val="22"/>
              </w:rPr>
              <w:t>核</w:t>
            </w:r>
            <w:r w:rsidRPr="0037411E">
              <w:rPr>
                <w:rFonts w:asciiTheme="majorEastAsia" w:eastAsiaTheme="majorEastAsia" w:hAnsiTheme="majorEastAsia"/>
                <w:sz w:val="22"/>
                <w:szCs w:val="22"/>
              </w:rPr>
              <w:t xml:space="preserve">          </w:t>
            </w:r>
            <w:r w:rsidRPr="0037411E">
              <w:rPr>
                <w:rFonts w:asciiTheme="majorEastAsia" w:eastAsiaTheme="majorEastAsia" w:hAnsiTheme="majorEastAsia" w:hint="eastAsia"/>
                <w:sz w:val="22"/>
                <w:szCs w:val="22"/>
              </w:rPr>
              <w:t>程</w:t>
            </w:r>
            <w:r w:rsidRPr="0037411E">
              <w:rPr>
                <w:rFonts w:asciiTheme="majorEastAsia" w:eastAsiaTheme="majorEastAsia" w:hAnsiTheme="majorEastAsia"/>
                <w:sz w:val="22"/>
                <w:szCs w:val="22"/>
              </w:rPr>
              <w:t xml:space="preserve">          </w:t>
            </w:r>
            <w:r w:rsidRPr="0037411E">
              <w:rPr>
                <w:rFonts w:asciiTheme="majorEastAsia" w:eastAsiaTheme="majorEastAsia" w:hAnsiTheme="majorEastAsia" w:hint="eastAsia"/>
                <w:sz w:val="22"/>
                <w:szCs w:val="22"/>
              </w:rPr>
              <w:t>序</w:t>
            </w:r>
          </w:p>
        </w:tc>
        <w:tc>
          <w:tcPr>
            <w:tcW w:w="2268" w:type="dxa"/>
            <w:gridSpan w:val="3"/>
            <w:tcBorders>
              <w:top w:val="single" w:sz="12" w:space="0" w:color="auto"/>
            </w:tcBorders>
            <w:vAlign w:val="center"/>
          </w:tcPr>
          <w:p w:rsidR="0037411E" w:rsidRPr="0037411E" w:rsidRDefault="0037411E" w:rsidP="00FE17B3">
            <w:pPr>
              <w:jc w:val="center"/>
              <w:rPr>
                <w:rFonts w:asciiTheme="majorEastAsia" w:eastAsiaTheme="majorEastAsia" w:hAnsiTheme="majorEastAsia"/>
                <w:spacing w:val="60"/>
                <w:sz w:val="22"/>
                <w:szCs w:val="22"/>
              </w:rPr>
            </w:pPr>
            <w:r w:rsidRPr="0037411E">
              <w:rPr>
                <w:rFonts w:asciiTheme="majorEastAsia" w:eastAsiaTheme="majorEastAsia" w:hAnsiTheme="majorEastAsia" w:hint="eastAsia"/>
                <w:spacing w:val="60"/>
                <w:sz w:val="22"/>
                <w:szCs w:val="22"/>
              </w:rPr>
              <w:t>查核結果</w:t>
            </w:r>
          </w:p>
        </w:tc>
        <w:tc>
          <w:tcPr>
            <w:tcW w:w="1985" w:type="dxa"/>
            <w:vMerge w:val="restart"/>
            <w:tcBorders>
              <w:top w:val="single" w:sz="12" w:space="0" w:color="auto"/>
              <w:right w:val="single" w:sz="12" w:space="0" w:color="auto"/>
            </w:tcBorders>
            <w:vAlign w:val="center"/>
          </w:tcPr>
          <w:p w:rsidR="0037411E" w:rsidRPr="0037411E" w:rsidRDefault="0037411E" w:rsidP="00FE17B3">
            <w:pPr>
              <w:jc w:val="center"/>
              <w:rPr>
                <w:rFonts w:asciiTheme="majorEastAsia" w:eastAsiaTheme="majorEastAsia" w:hAnsiTheme="majorEastAsia"/>
                <w:sz w:val="22"/>
                <w:szCs w:val="22"/>
              </w:rPr>
            </w:pPr>
            <w:r w:rsidRPr="0037411E">
              <w:rPr>
                <w:rFonts w:asciiTheme="majorEastAsia" w:eastAsiaTheme="majorEastAsia" w:hAnsiTheme="majorEastAsia" w:hint="eastAsia"/>
                <w:spacing w:val="60"/>
                <w:sz w:val="22"/>
                <w:szCs w:val="22"/>
              </w:rPr>
              <w:t>底稿索引</w:t>
            </w:r>
          </w:p>
        </w:tc>
      </w:tr>
      <w:tr w:rsidR="0037411E" w:rsidRPr="0037411E" w:rsidTr="00FE17B3">
        <w:trPr>
          <w:cantSplit/>
          <w:trHeight w:hRule="exact" w:val="400"/>
        </w:trPr>
        <w:tc>
          <w:tcPr>
            <w:tcW w:w="1985" w:type="dxa"/>
            <w:vMerge/>
            <w:tcBorders>
              <w:left w:val="single" w:sz="12" w:space="0" w:color="auto"/>
            </w:tcBorders>
          </w:tcPr>
          <w:p w:rsidR="0037411E" w:rsidRPr="0037411E" w:rsidRDefault="0037411E" w:rsidP="00FE17B3">
            <w:pPr>
              <w:rPr>
                <w:rFonts w:asciiTheme="majorEastAsia" w:eastAsiaTheme="majorEastAsia" w:hAnsiTheme="majorEastAsia"/>
                <w:sz w:val="22"/>
                <w:szCs w:val="22"/>
              </w:rPr>
            </w:pPr>
          </w:p>
        </w:tc>
        <w:tc>
          <w:tcPr>
            <w:tcW w:w="7938" w:type="dxa"/>
            <w:vMerge/>
          </w:tcPr>
          <w:p w:rsidR="0037411E" w:rsidRPr="0037411E" w:rsidRDefault="0037411E" w:rsidP="00FE17B3">
            <w:pPr>
              <w:rPr>
                <w:rFonts w:asciiTheme="majorEastAsia" w:eastAsiaTheme="majorEastAsia" w:hAnsiTheme="majorEastAsia"/>
                <w:sz w:val="22"/>
                <w:szCs w:val="22"/>
              </w:rPr>
            </w:pPr>
          </w:p>
        </w:tc>
        <w:tc>
          <w:tcPr>
            <w:tcW w:w="567" w:type="dxa"/>
          </w:tcPr>
          <w:p w:rsidR="0037411E" w:rsidRPr="0037411E" w:rsidRDefault="0037411E" w:rsidP="00FE17B3">
            <w:pPr>
              <w:jc w:val="center"/>
              <w:rPr>
                <w:rFonts w:asciiTheme="majorEastAsia" w:eastAsiaTheme="majorEastAsia" w:hAnsiTheme="majorEastAsia"/>
                <w:sz w:val="22"/>
                <w:szCs w:val="22"/>
              </w:rPr>
            </w:pPr>
            <w:r w:rsidRPr="0037411E">
              <w:rPr>
                <w:rFonts w:asciiTheme="majorEastAsia" w:eastAsiaTheme="majorEastAsia" w:hAnsiTheme="majorEastAsia" w:hint="eastAsia"/>
                <w:sz w:val="22"/>
                <w:szCs w:val="22"/>
              </w:rPr>
              <w:t>是</w:t>
            </w:r>
          </w:p>
        </w:tc>
        <w:tc>
          <w:tcPr>
            <w:tcW w:w="567" w:type="dxa"/>
          </w:tcPr>
          <w:p w:rsidR="0037411E" w:rsidRPr="0037411E" w:rsidRDefault="0037411E" w:rsidP="00FE17B3">
            <w:pPr>
              <w:jc w:val="center"/>
              <w:rPr>
                <w:rFonts w:asciiTheme="majorEastAsia" w:eastAsiaTheme="majorEastAsia" w:hAnsiTheme="majorEastAsia"/>
                <w:sz w:val="22"/>
                <w:szCs w:val="22"/>
              </w:rPr>
            </w:pPr>
            <w:r w:rsidRPr="0037411E">
              <w:rPr>
                <w:rFonts w:asciiTheme="majorEastAsia" w:eastAsiaTheme="majorEastAsia" w:hAnsiTheme="majorEastAsia" w:hint="eastAsia"/>
                <w:sz w:val="22"/>
                <w:szCs w:val="22"/>
              </w:rPr>
              <w:t>否</w:t>
            </w:r>
          </w:p>
        </w:tc>
        <w:tc>
          <w:tcPr>
            <w:tcW w:w="1134" w:type="dxa"/>
          </w:tcPr>
          <w:p w:rsidR="0037411E" w:rsidRPr="0037411E" w:rsidRDefault="0037411E" w:rsidP="00FE17B3">
            <w:pPr>
              <w:jc w:val="center"/>
              <w:rPr>
                <w:rFonts w:asciiTheme="majorEastAsia" w:eastAsiaTheme="majorEastAsia" w:hAnsiTheme="majorEastAsia"/>
                <w:sz w:val="22"/>
                <w:szCs w:val="22"/>
              </w:rPr>
            </w:pPr>
            <w:r w:rsidRPr="0037411E">
              <w:rPr>
                <w:rFonts w:asciiTheme="majorEastAsia" w:eastAsiaTheme="majorEastAsia" w:hAnsiTheme="majorEastAsia" w:hint="eastAsia"/>
                <w:sz w:val="22"/>
                <w:szCs w:val="22"/>
              </w:rPr>
              <w:t>不適用</w:t>
            </w:r>
          </w:p>
        </w:tc>
        <w:tc>
          <w:tcPr>
            <w:tcW w:w="1985" w:type="dxa"/>
            <w:vMerge/>
            <w:tcBorders>
              <w:right w:val="single" w:sz="12" w:space="0" w:color="auto"/>
            </w:tcBorders>
          </w:tcPr>
          <w:p w:rsidR="0037411E" w:rsidRPr="0037411E" w:rsidRDefault="0037411E" w:rsidP="00FE17B3">
            <w:pPr>
              <w:rPr>
                <w:rFonts w:asciiTheme="majorEastAsia" w:eastAsiaTheme="majorEastAsia" w:hAnsiTheme="majorEastAsia"/>
                <w:sz w:val="22"/>
                <w:szCs w:val="22"/>
              </w:rPr>
            </w:pPr>
          </w:p>
        </w:tc>
      </w:tr>
      <w:tr w:rsidR="0037411E" w:rsidRPr="0037411E" w:rsidTr="0037411E">
        <w:trPr>
          <w:trHeight w:hRule="exact" w:val="6025"/>
        </w:trPr>
        <w:tc>
          <w:tcPr>
            <w:tcW w:w="1985" w:type="dxa"/>
            <w:tcBorders>
              <w:left w:val="single" w:sz="12" w:space="0" w:color="auto"/>
            </w:tcBorders>
          </w:tcPr>
          <w:p w:rsidR="0037411E" w:rsidRPr="0037411E" w:rsidRDefault="0037411E" w:rsidP="00FE17B3">
            <w:pPr>
              <w:tabs>
                <w:tab w:val="left" w:pos="0"/>
              </w:tabs>
              <w:spacing w:line="280" w:lineRule="exact"/>
              <w:rPr>
                <w:rFonts w:asciiTheme="majorEastAsia" w:eastAsiaTheme="majorEastAsia" w:hAnsiTheme="majorEastAsia"/>
                <w:sz w:val="22"/>
                <w:szCs w:val="22"/>
              </w:rPr>
            </w:pPr>
            <w:r w:rsidRPr="0037411E">
              <w:rPr>
                <w:rFonts w:asciiTheme="majorEastAsia" w:eastAsiaTheme="majorEastAsia" w:hAnsiTheme="majorEastAsia" w:hint="eastAsia"/>
                <w:sz w:val="22"/>
                <w:szCs w:val="22"/>
              </w:rPr>
              <w:t>違約處理作業</w:t>
            </w:r>
          </w:p>
          <w:p w:rsidR="0037411E" w:rsidRPr="0037411E" w:rsidRDefault="0037411E" w:rsidP="00FE17B3">
            <w:pPr>
              <w:tabs>
                <w:tab w:val="left" w:pos="0"/>
              </w:tabs>
              <w:spacing w:line="280" w:lineRule="exact"/>
              <w:rPr>
                <w:rFonts w:asciiTheme="majorEastAsia" w:eastAsiaTheme="majorEastAsia" w:hAnsiTheme="majorEastAsia"/>
                <w:sz w:val="22"/>
                <w:szCs w:val="22"/>
              </w:rPr>
            </w:pPr>
          </w:p>
          <w:p w:rsidR="0037411E" w:rsidRPr="0037411E" w:rsidRDefault="0037411E" w:rsidP="00FE17B3">
            <w:pPr>
              <w:tabs>
                <w:tab w:val="left" w:pos="0"/>
              </w:tabs>
              <w:spacing w:line="280" w:lineRule="exact"/>
              <w:rPr>
                <w:rFonts w:asciiTheme="majorEastAsia" w:eastAsiaTheme="majorEastAsia" w:hAnsiTheme="majorEastAsia"/>
                <w:sz w:val="22"/>
                <w:szCs w:val="22"/>
              </w:rPr>
            </w:pPr>
          </w:p>
          <w:p w:rsidR="0037411E" w:rsidRPr="0037411E" w:rsidRDefault="0037411E" w:rsidP="00FE17B3">
            <w:pPr>
              <w:tabs>
                <w:tab w:val="left" w:pos="0"/>
              </w:tabs>
              <w:spacing w:line="280" w:lineRule="exact"/>
              <w:rPr>
                <w:rFonts w:asciiTheme="majorEastAsia" w:eastAsiaTheme="majorEastAsia" w:hAnsiTheme="majorEastAsia"/>
                <w:sz w:val="22"/>
                <w:szCs w:val="22"/>
              </w:rPr>
            </w:pPr>
          </w:p>
          <w:p w:rsidR="0037411E" w:rsidRDefault="0037411E" w:rsidP="00FE17B3">
            <w:pPr>
              <w:tabs>
                <w:tab w:val="left" w:pos="0"/>
              </w:tabs>
              <w:spacing w:line="280" w:lineRule="exact"/>
              <w:rPr>
                <w:rFonts w:asciiTheme="majorEastAsia" w:eastAsiaTheme="majorEastAsia" w:hAnsiTheme="majorEastAsia"/>
                <w:sz w:val="22"/>
                <w:szCs w:val="22"/>
              </w:rPr>
            </w:pPr>
          </w:p>
          <w:p w:rsidR="0037411E" w:rsidRPr="0037411E" w:rsidRDefault="0037411E" w:rsidP="00FE17B3">
            <w:pPr>
              <w:tabs>
                <w:tab w:val="left" w:pos="0"/>
              </w:tabs>
              <w:spacing w:line="280" w:lineRule="exact"/>
              <w:rPr>
                <w:rFonts w:asciiTheme="majorEastAsia" w:eastAsiaTheme="majorEastAsia" w:hAnsiTheme="majorEastAsia"/>
                <w:sz w:val="22"/>
                <w:szCs w:val="22"/>
              </w:rPr>
            </w:pPr>
          </w:p>
          <w:p w:rsidR="0037411E" w:rsidRPr="0037411E" w:rsidRDefault="0037411E" w:rsidP="00FE17B3">
            <w:pPr>
              <w:tabs>
                <w:tab w:val="left" w:pos="0"/>
              </w:tabs>
              <w:spacing w:line="280" w:lineRule="exact"/>
              <w:rPr>
                <w:rFonts w:asciiTheme="majorEastAsia" w:eastAsiaTheme="majorEastAsia" w:hAnsiTheme="majorEastAsia"/>
                <w:sz w:val="22"/>
                <w:szCs w:val="22"/>
              </w:rPr>
            </w:pPr>
          </w:p>
          <w:p w:rsidR="0037411E" w:rsidRPr="0037411E" w:rsidRDefault="0037411E" w:rsidP="00FE17B3">
            <w:pPr>
              <w:tabs>
                <w:tab w:val="left" w:pos="0"/>
              </w:tabs>
              <w:spacing w:line="280" w:lineRule="exact"/>
              <w:rPr>
                <w:rFonts w:asciiTheme="majorEastAsia" w:eastAsiaTheme="majorEastAsia" w:hAnsiTheme="majorEastAsia"/>
                <w:sz w:val="22"/>
                <w:szCs w:val="22"/>
              </w:rPr>
            </w:pPr>
            <w:r w:rsidRPr="0037411E">
              <w:rPr>
                <w:rFonts w:asciiTheme="majorEastAsia" w:eastAsiaTheme="majorEastAsia" w:hAnsiTheme="majorEastAsia" w:hint="eastAsia"/>
                <w:sz w:val="22"/>
                <w:szCs w:val="22"/>
              </w:rPr>
              <w:t>複委託契約、複受託券商、保管機構暨</w:t>
            </w:r>
            <w:r w:rsidRPr="0037411E">
              <w:rPr>
                <w:rFonts w:asciiTheme="majorEastAsia" w:eastAsiaTheme="majorEastAsia" w:hAnsiTheme="majorEastAsia" w:hint="eastAsia"/>
                <w:color w:val="FF0000"/>
                <w:spacing w:val="8"/>
                <w:sz w:val="22"/>
                <w:szCs w:val="22"/>
                <w:u w:val="single"/>
              </w:rPr>
              <w:t>外國有價證券標的公司</w:t>
            </w:r>
            <w:r w:rsidRPr="0037411E">
              <w:rPr>
                <w:rFonts w:asciiTheme="majorEastAsia" w:eastAsiaTheme="majorEastAsia" w:hAnsiTheme="majorEastAsia" w:hint="eastAsia"/>
                <w:sz w:val="22"/>
                <w:szCs w:val="22"/>
              </w:rPr>
              <w:t>異常事項之處理作業</w:t>
            </w:r>
          </w:p>
          <w:p w:rsidR="0037411E" w:rsidRPr="0037411E" w:rsidRDefault="0037411E" w:rsidP="00FE17B3">
            <w:pPr>
              <w:tabs>
                <w:tab w:val="left" w:pos="0"/>
              </w:tabs>
              <w:spacing w:line="280" w:lineRule="exact"/>
              <w:rPr>
                <w:rFonts w:asciiTheme="majorEastAsia" w:eastAsiaTheme="majorEastAsia" w:hAnsiTheme="majorEastAsia"/>
                <w:sz w:val="22"/>
                <w:szCs w:val="22"/>
              </w:rPr>
            </w:pPr>
          </w:p>
          <w:p w:rsidR="0037411E" w:rsidRPr="0037411E" w:rsidRDefault="0037411E" w:rsidP="00FE17B3">
            <w:pPr>
              <w:tabs>
                <w:tab w:val="left" w:pos="0"/>
              </w:tabs>
              <w:spacing w:line="280" w:lineRule="exact"/>
              <w:rPr>
                <w:rFonts w:asciiTheme="majorEastAsia" w:eastAsiaTheme="majorEastAsia" w:hAnsiTheme="majorEastAsia"/>
                <w:sz w:val="22"/>
                <w:szCs w:val="22"/>
              </w:rPr>
            </w:pPr>
          </w:p>
          <w:p w:rsidR="0037411E" w:rsidRPr="0037411E" w:rsidRDefault="0037411E" w:rsidP="00FE17B3">
            <w:pPr>
              <w:tabs>
                <w:tab w:val="left" w:pos="0"/>
              </w:tabs>
              <w:spacing w:line="280" w:lineRule="exact"/>
              <w:rPr>
                <w:rFonts w:asciiTheme="majorEastAsia" w:eastAsiaTheme="majorEastAsia" w:hAnsiTheme="majorEastAsia"/>
                <w:sz w:val="22"/>
                <w:szCs w:val="22"/>
              </w:rPr>
            </w:pPr>
          </w:p>
          <w:p w:rsidR="0037411E" w:rsidRPr="0037411E" w:rsidRDefault="0037411E" w:rsidP="00FE17B3">
            <w:pPr>
              <w:tabs>
                <w:tab w:val="left" w:pos="0"/>
              </w:tabs>
              <w:spacing w:line="280" w:lineRule="exact"/>
              <w:rPr>
                <w:rFonts w:asciiTheme="majorEastAsia" w:eastAsiaTheme="majorEastAsia" w:hAnsiTheme="majorEastAsia"/>
                <w:sz w:val="22"/>
                <w:szCs w:val="22"/>
              </w:rPr>
            </w:pPr>
          </w:p>
          <w:p w:rsidR="0037411E" w:rsidRPr="0037411E" w:rsidRDefault="0037411E" w:rsidP="00FE17B3">
            <w:pPr>
              <w:tabs>
                <w:tab w:val="left" w:pos="0"/>
              </w:tabs>
              <w:spacing w:line="280" w:lineRule="exact"/>
              <w:rPr>
                <w:rFonts w:asciiTheme="majorEastAsia" w:eastAsiaTheme="majorEastAsia" w:hAnsiTheme="majorEastAsia"/>
                <w:sz w:val="22"/>
                <w:szCs w:val="22"/>
              </w:rPr>
            </w:pPr>
            <w:r w:rsidRPr="0037411E">
              <w:rPr>
                <w:rFonts w:asciiTheme="majorEastAsia" w:eastAsiaTheme="majorEastAsia" w:hAnsiTheme="majorEastAsia" w:hint="eastAsia"/>
                <w:sz w:val="22"/>
                <w:szCs w:val="22"/>
              </w:rPr>
              <w:t>與客戶發生交易糾紛或訴訟之處理作業</w:t>
            </w:r>
          </w:p>
          <w:p w:rsidR="0037411E" w:rsidRPr="0037411E" w:rsidRDefault="0037411E" w:rsidP="00FE17B3">
            <w:pPr>
              <w:tabs>
                <w:tab w:val="left" w:pos="0"/>
              </w:tabs>
              <w:spacing w:line="280" w:lineRule="exact"/>
              <w:rPr>
                <w:rFonts w:asciiTheme="majorEastAsia" w:eastAsiaTheme="majorEastAsia" w:hAnsiTheme="majorEastAsia"/>
                <w:sz w:val="22"/>
                <w:szCs w:val="22"/>
              </w:rPr>
            </w:pPr>
          </w:p>
          <w:p w:rsidR="0037411E" w:rsidRPr="0037411E" w:rsidRDefault="0037411E" w:rsidP="00FE17B3">
            <w:pPr>
              <w:tabs>
                <w:tab w:val="left" w:pos="180"/>
              </w:tabs>
              <w:spacing w:line="280" w:lineRule="exact"/>
              <w:ind w:left="180"/>
              <w:rPr>
                <w:rFonts w:asciiTheme="majorEastAsia" w:eastAsiaTheme="majorEastAsia" w:hAnsiTheme="majorEastAsia"/>
                <w:sz w:val="22"/>
                <w:szCs w:val="22"/>
              </w:rPr>
            </w:pPr>
          </w:p>
        </w:tc>
        <w:tc>
          <w:tcPr>
            <w:tcW w:w="7938" w:type="dxa"/>
          </w:tcPr>
          <w:p w:rsidR="0037411E" w:rsidRPr="0037411E" w:rsidRDefault="0037411E" w:rsidP="00FE17B3">
            <w:pPr>
              <w:spacing w:line="280" w:lineRule="exact"/>
              <w:rPr>
                <w:rFonts w:asciiTheme="majorEastAsia" w:eastAsiaTheme="majorEastAsia" w:hAnsiTheme="majorEastAsia"/>
                <w:sz w:val="22"/>
                <w:szCs w:val="22"/>
              </w:rPr>
            </w:pPr>
            <w:r w:rsidRPr="0037411E">
              <w:rPr>
                <w:rFonts w:asciiTheme="majorEastAsia" w:eastAsiaTheme="majorEastAsia" w:hAnsiTheme="majorEastAsia" w:hint="eastAsia"/>
                <w:color w:val="000000" w:themeColor="text1"/>
                <w:sz w:val="22"/>
                <w:szCs w:val="22"/>
              </w:rPr>
              <w:t>一、違約發生之原因是否予以查明。</w:t>
            </w:r>
          </w:p>
          <w:p w:rsidR="0037411E" w:rsidRPr="0037411E" w:rsidRDefault="0037411E" w:rsidP="0037411E">
            <w:pPr>
              <w:pStyle w:val="ad"/>
              <w:spacing w:after="0"/>
              <w:ind w:leftChars="0" w:left="566" w:hangingChars="236" w:hanging="566"/>
              <w:rPr>
                <w:rFonts w:asciiTheme="majorEastAsia" w:eastAsiaTheme="majorEastAsia" w:hAnsiTheme="majorEastAsia"/>
                <w:sz w:val="22"/>
                <w:szCs w:val="22"/>
              </w:rPr>
            </w:pPr>
            <w:r w:rsidRPr="0037411E">
              <w:rPr>
                <w:rFonts w:asciiTheme="majorEastAsia" w:eastAsiaTheme="majorEastAsia" w:hAnsiTheme="majorEastAsia" w:hint="eastAsia"/>
                <w:sz w:val="22"/>
                <w:szCs w:val="22"/>
              </w:rPr>
              <w:t>二、違約之處理是否立即函報主管機關及券商公會備查，並副知違約之委託人及複受託證券商。</w:t>
            </w:r>
          </w:p>
          <w:p w:rsidR="0037411E" w:rsidRPr="0037411E" w:rsidRDefault="0037411E" w:rsidP="00FE17B3">
            <w:pPr>
              <w:spacing w:line="280" w:lineRule="exact"/>
              <w:rPr>
                <w:rFonts w:asciiTheme="majorEastAsia" w:eastAsiaTheme="majorEastAsia" w:hAnsiTheme="majorEastAsia"/>
                <w:sz w:val="22"/>
                <w:szCs w:val="22"/>
              </w:rPr>
            </w:pPr>
            <w:r w:rsidRPr="0037411E">
              <w:rPr>
                <w:rFonts w:asciiTheme="majorEastAsia" w:eastAsiaTheme="majorEastAsia" w:hAnsiTheme="majorEastAsia" w:hint="eastAsia"/>
                <w:sz w:val="22"/>
                <w:szCs w:val="22"/>
              </w:rPr>
              <w:t>三、違約處理後，所生損益是否依規定辦理。</w:t>
            </w:r>
          </w:p>
          <w:p w:rsidR="0037411E" w:rsidRPr="0037411E" w:rsidRDefault="0037411E" w:rsidP="00FE17B3">
            <w:pPr>
              <w:spacing w:line="280" w:lineRule="exact"/>
              <w:rPr>
                <w:rFonts w:asciiTheme="majorEastAsia" w:eastAsiaTheme="majorEastAsia" w:hAnsiTheme="majorEastAsia"/>
                <w:sz w:val="22"/>
                <w:szCs w:val="22"/>
              </w:rPr>
            </w:pPr>
            <w:r w:rsidRPr="0037411E">
              <w:rPr>
                <w:rFonts w:asciiTheme="majorEastAsia" w:eastAsiaTheme="majorEastAsia" w:hAnsiTheme="majorEastAsia" w:hint="eastAsia"/>
                <w:color w:val="000000" w:themeColor="text1"/>
                <w:sz w:val="22"/>
                <w:szCs w:val="22"/>
              </w:rPr>
              <w:t>四、委託人違約，證券商是否解除或終止其受託契約。</w:t>
            </w:r>
          </w:p>
          <w:p w:rsidR="0037411E" w:rsidRPr="0037411E" w:rsidRDefault="0037411E" w:rsidP="00FE17B3">
            <w:pPr>
              <w:spacing w:line="280" w:lineRule="exact"/>
              <w:rPr>
                <w:rFonts w:asciiTheme="majorEastAsia" w:eastAsiaTheme="majorEastAsia" w:hAnsiTheme="majorEastAsia"/>
                <w:sz w:val="22"/>
                <w:szCs w:val="22"/>
              </w:rPr>
            </w:pPr>
          </w:p>
          <w:p w:rsidR="0037411E" w:rsidRPr="0037411E" w:rsidRDefault="0037411E" w:rsidP="00FE17B3">
            <w:pPr>
              <w:spacing w:line="280" w:lineRule="exact"/>
              <w:ind w:left="425" w:hanging="425"/>
              <w:rPr>
                <w:rFonts w:asciiTheme="majorEastAsia" w:eastAsiaTheme="majorEastAsia" w:hAnsiTheme="majorEastAsia"/>
                <w:sz w:val="22"/>
                <w:szCs w:val="22"/>
              </w:rPr>
            </w:pPr>
            <w:r w:rsidRPr="0037411E">
              <w:rPr>
                <w:rFonts w:asciiTheme="majorEastAsia" w:eastAsiaTheme="majorEastAsia" w:hAnsiTheme="majorEastAsia" w:hint="eastAsia"/>
                <w:color w:val="000000"/>
                <w:sz w:val="22"/>
                <w:szCs w:val="22"/>
              </w:rPr>
              <w:t>一、是否與複受託證券商簽訂複委託契約，完成開戶手續，並檢具券商公會所定相關書件，送經</w:t>
            </w:r>
            <w:r w:rsidRPr="0037411E">
              <w:rPr>
                <w:rFonts w:asciiTheme="majorEastAsia" w:eastAsiaTheme="majorEastAsia" w:hAnsiTheme="majorEastAsia" w:hint="eastAsia"/>
                <w:sz w:val="22"/>
                <w:szCs w:val="22"/>
              </w:rPr>
              <w:t>備查後始得對該複受託證券商為複委託，並應依報經備查之契約內容執行。</w:t>
            </w:r>
          </w:p>
          <w:p w:rsidR="0037411E" w:rsidRPr="0037411E" w:rsidRDefault="0037411E" w:rsidP="00FE17B3">
            <w:pPr>
              <w:pStyle w:val="a5"/>
              <w:spacing w:line="280" w:lineRule="exact"/>
              <w:ind w:left="425" w:hanging="425"/>
              <w:rPr>
                <w:rFonts w:asciiTheme="majorEastAsia" w:eastAsiaTheme="majorEastAsia" w:hAnsiTheme="majorEastAsia"/>
                <w:sz w:val="22"/>
                <w:szCs w:val="22"/>
              </w:rPr>
            </w:pPr>
            <w:r w:rsidRPr="0037411E">
              <w:rPr>
                <w:rFonts w:asciiTheme="majorEastAsia" w:eastAsiaTheme="majorEastAsia" w:hAnsiTheme="majorEastAsia" w:hint="eastAsia"/>
                <w:sz w:val="22"/>
                <w:szCs w:val="22"/>
              </w:rPr>
              <w:t>二、複受託券商、複委託契約或保管機構、保管契約有違約、停止受託買賣及其他不能續行受託買賣之情事時，是否依相關規定辦理。</w:t>
            </w:r>
          </w:p>
          <w:p w:rsidR="0037411E" w:rsidRPr="0037411E" w:rsidRDefault="0037411E" w:rsidP="00FE17B3">
            <w:pPr>
              <w:pStyle w:val="a5"/>
              <w:spacing w:line="280" w:lineRule="exact"/>
              <w:ind w:left="425" w:hanging="425"/>
              <w:rPr>
                <w:rFonts w:asciiTheme="majorEastAsia" w:eastAsiaTheme="majorEastAsia" w:hAnsiTheme="majorEastAsia"/>
                <w:color w:val="FF0000"/>
                <w:sz w:val="22"/>
                <w:szCs w:val="22"/>
              </w:rPr>
            </w:pPr>
            <w:r w:rsidRPr="0037411E">
              <w:rPr>
                <w:rFonts w:asciiTheme="majorEastAsia" w:eastAsiaTheme="majorEastAsia" w:hAnsiTheme="majorEastAsia" w:hint="eastAsia"/>
                <w:color w:val="FF0000"/>
                <w:sz w:val="22"/>
                <w:szCs w:val="22"/>
              </w:rPr>
              <w:t>三、</w:t>
            </w:r>
            <w:r w:rsidRPr="0037411E">
              <w:rPr>
                <w:rFonts w:asciiTheme="majorEastAsia" w:eastAsiaTheme="majorEastAsia" w:hAnsiTheme="majorEastAsia" w:hint="eastAsia"/>
                <w:color w:val="FF0000"/>
                <w:sz w:val="22"/>
                <w:szCs w:val="22"/>
                <w:u w:val="single"/>
              </w:rPr>
              <w:t>當全球具一定公信力之財經專業媒體報導或從複受託證券商得知外國有價證券之標的公司發生財務困難情事或複受託證券商本身發生財務困難有違約情事者，是否於知悉確認後立即通報券商公會。</w:t>
            </w:r>
          </w:p>
          <w:p w:rsidR="007C74FF" w:rsidRPr="00B16398" w:rsidRDefault="007C74FF" w:rsidP="007C74FF">
            <w:pPr>
              <w:spacing w:line="360" w:lineRule="exact"/>
              <w:ind w:left="812" w:right="28" w:hanging="387"/>
              <w:rPr>
                <w:rFonts w:ascii="新細明體" w:eastAsia="新細明體" w:hAnsi="新細明體" w:cstheme="minorBidi"/>
                <w:color w:val="FF0000"/>
                <w:spacing w:val="24"/>
                <w:u w:val="single"/>
              </w:rPr>
            </w:pPr>
            <w:r w:rsidRPr="00B16398">
              <w:rPr>
                <w:rFonts w:ascii="新細明體" w:eastAsia="新細明體" w:hAnsi="標楷體" w:cs="Times New Roman" w:hint="eastAsia"/>
                <w:color w:val="FF0000"/>
                <w:spacing w:val="0"/>
                <w:kern w:val="0"/>
                <w:szCs w:val="20"/>
                <w:u w:val="single"/>
              </w:rPr>
              <w:t>前項通報之外國有價證券不含境外基金。</w:t>
            </w:r>
          </w:p>
          <w:p w:rsidR="0037411E" w:rsidRPr="0037411E" w:rsidRDefault="0037411E" w:rsidP="00FE17B3">
            <w:pPr>
              <w:spacing w:line="280" w:lineRule="exact"/>
              <w:ind w:left="535" w:hanging="535"/>
              <w:rPr>
                <w:rFonts w:asciiTheme="majorEastAsia" w:eastAsiaTheme="majorEastAsia" w:hAnsiTheme="majorEastAsia"/>
                <w:sz w:val="22"/>
                <w:szCs w:val="22"/>
              </w:rPr>
            </w:pPr>
            <w:r w:rsidRPr="0037411E">
              <w:rPr>
                <w:rFonts w:asciiTheme="majorEastAsia" w:eastAsiaTheme="majorEastAsia" w:hAnsiTheme="majorEastAsia" w:hint="eastAsia"/>
                <w:sz w:val="22"/>
                <w:szCs w:val="22"/>
              </w:rPr>
              <w:t>一、與客戶因委託買賣所生之爭議是否依照公司內部控制制度規定之處理程序辦理，事後並留存完整之處理報告紀錄。</w:t>
            </w:r>
          </w:p>
          <w:p w:rsidR="0037411E" w:rsidRPr="0037411E" w:rsidRDefault="0037411E" w:rsidP="00FE17B3">
            <w:pPr>
              <w:spacing w:line="280" w:lineRule="exact"/>
              <w:ind w:left="535" w:hanging="535"/>
              <w:rPr>
                <w:rFonts w:asciiTheme="majorEastAsia" w:eastAsiaTheme="majorEastAsia" w:hAnsiTheme="majorEastAsia"/>
                <w:sz w:val="22"/>
                <w:szCs w:val="22"/>
              </w:rPr>
            </w:pPr>
            <w:r w:rsidRPr="0037411E">
              <w:rPr>
                <w:rFonts w:asciiTheme="majorEastAsia" w:eastAsiaTheme="majorEastAsia" w:hAnsiTheme="majorEastAsia" w:hint="eastAsia"/>
                <w:sz w:val="22"/>
                <w:szCs w:val="22"/>
              </w:rPr>
              <w:t>二、公司或其董事、監察人、經理人、受僱人，因外國有價證券複委託買賣業務發生爭議，而為訴訟、非訟、仲裁、或強制執行事件之被告或債務人者，公司是否依規定將其情形函報券商公會轉報主管機關。</w:t>
            </w:r>
          </w:p>
          <w:p w:rsidR="0037411E" w:rsidRPr="0037411E" w:rsidRDefault="0037411E" w:rsidP="00FE17B3">
            <w:pPr>
              <w:spacing w:line="280" w:lineRule="exact"/>
              <w:rPr>
                <w:rFonts w:asciiTheme="majorEastAsia" w:eastAsiaTheme="majorEastAsia" w:hAnsiTheme="majorEastAsia"/>
                <w:sz w:val="22"/>
                <w:szCs w:val="22"/>
              </w:rPr>
            </w:pPr>
          </w:p>
        </w:tc>
        <w:tc>
          <w:tcPr>
            <w:tcW w:w="567" w:type="dxa"/>
          </w:tcPr>
          <w:p w:rsidR="0037411E" w:rsidRPr="0037411E" w:rsidRDefault="0037411E" w:rsidP="00FE17B3">
            <w:pPr>
              <w:spacing w:line="280" w:lineRule="exact"/>
              <w:rPr>
                <w:rFonts w:asciiTheme="majorEastAsia" w:eastAsiaTheme="majorEastAsia" w:hAnsiTheme="majorEastAsia"/>
                <w:sz w:val="22"/>
                <w:szCs w:val="22"/>
              </w:rPr>
            </w:pPr>
          </w:p>
        </w:tc>
        <w:tc>
          <w:tcPr>
            <w:tcW w:w="567" w:type="dxa"/>
          </w:tcPr>
          <w:p w:rsidR="0037411E" w:rsidRPr="0037411E" w:rsidRDefault="0037411E" w:rsidP="00FE17B3">
            <w:pPr>
              <w:spacing w:line="280" w:lineRule="exact"/>
              <w:rPr>
                <w:rFonts w:asciiTheme="majorEastAsia" w:eastAsiaTheme="majorEastAsia" w:hAnsiTheme="majorEastAsia"/>
                <w:sz w:val="22"/>
                <w:szCs w:val="22"/>
              </w:rPr>
            </w:pPr>
          </w:p>
        </w:tc>
        <w:tc>
          <w:tcPr>
            <w:tcW w:w="1134" w:type="dxa"/>
          </w:tcPr>
          <w:p w:rsidR="0037411E" w:rsidRPr="0037411E" w:rsidRDefault="0037411E" w:rsidP="00FE17B3">
            <w:pPr>
              <w:spacing w:line="280" w:lineRule="exact"/>
              <w:rPr>
                <w:rFonts w:asciiTheme="majorEastAsia" w:eastAsiaTheme="majorEastAsia" w:hAnsiTheme="majorEastAsia"/>
                <w:sz w:val="22"/>
                <w:szCs w:val="22"/>
              </w:rPr>
            </w:pPr>
            <w:r w:rsidRPr="0037411E">
              <w:rPr>
                <w:rFonts w:asciiTheme="majorEastAsia" w:eastAsiaTheme="majorEastAsia" w:hAnsiTheme="majorEastAsia"/>
                <w:sz w:val="22"/>
                <w:szCs w:val="22"/>
              </w:rPr>
              <w:t xml:space="preserve"> </w:t>
            </w:r>
          </w:p>
        </w:tc>
        <w:tc>
          <w:tcPr>
            <w:tcW w:w="1985" w:type="dxa"/>
            <w:tcBorders>
              <w:right w:val="single" w:sz="12" w:space="0" w:color="auto"/>
            </w:tcBorders>
          </w:tcPr>
          <w:p w:rsidR="0037411E" w:rsidRPr="0037411E" w:rsidRDefault="0037411E" w:rsidP="00FE17B3">
            <w:pPr>
              <w:spacing w:line="280" w:lineRule="exact"/>
              <w:rPr>
                <w:rFonts w:asciiTheme="majorEastAsia" w:eastAsiaTheme="majorEastAsia" w:hAnsiTheme="majorEastAsia"/>
                <w:sz w:val="22"/>
                <w:szCs w:val="22"/>
              </w:rPr>
            </w:pPr>
          </w:p>
        </w:tc>
      </w:tr>
      <w:tr w:rsidR="0037411E" w:rsidRPr="0037411E" w:rsidTr="0037411E">
        <w:trPr>
          <w:cantSplit/>
          <w:trHeight w:hRule="exact" w:val="853"/>
        </w:trPr>
        <w:tc>
          <w:tcPr>
            <w:tcW w:w="14176" w:type="dxa"/>
            <w:gridSpan w:val="6"/>
            <w:tcBorders>
              <w:left w:val="single" w:sz="12" w:space="0" w:color="auto"/>
              <w:bottom w:val="single" w:sz="12" w:space="0" w:color="auto"/>
              <w:right w:val="single" w:sz="12" w:space="0" w:color="auto"/>
            </w:tcBorders>
          </w:tcPr>
          <w:p w:rsidR="0037411E" w:rsidRPr="0037411E" w:rsidRDefault="0037411E" w:rsidP="00FE17B3">
            <w:pPr>
              <w:ind w:firstLine="180"/>
              <w:rPr>
                <w:rFonts w:asciiTheme="majorEastAsia" w:eastAsiaTheme="majorEastAsia" w:hAnsiTheme="majorEastAsia"/>
                <w:sz w:val="22"/>
                <w:szCs w:val="22"/>
              </w:rPr>
            </w:pPr>
            <w:r w:rsidRPr="0037411E">
              <w:rPr>
                <w:rFonts w:asciiTheme="majorEastAsia" w:eastAsiaTheme="majorEastAsia" w:hAnsiTheme="majorEastAsia" w:hint="eastAsia"/>
                <w:spacing w:val="24"/>
                <w:sz w:val="22"/>
                <w:szCs w:val="22"/>
              </w:rPr>
              <w:t>備</w:t>
            </w:r>
            <w:r w:rsidRPr="0037411E">
              <w:rPr>
                <w:rFonts w:asciiTheme="majorEastAsia" w:eastAsiaTheme="majorEastAsia" w:hAnsiTheme="majorEastAsia"/>
                <w:spacing w:val="24"/>
                <w:sz w:val="22"/>
                <w:szCs w:val="22"/>
              </w:rPr>
              <w:t xml:space="preserve">  </w:t>
            </w:r>
            <w:r w:rsidRPr="0037411E">
              <w:rPr>
                <w:rFonts w:asciiTheme="majorEastAsia" w:eastAsiaTheme="majorEastAsia" w:hAnsiTheme="majorEastAsia" w:hint="eastAsia"/>
                <w:spacing w:val="24"/>
                <w:sz w:val="22"/>
                <w:szCs w:val="22"/>
              </w:rPr>
              <w:t>註：</w:t>
            </w:r>
            <w:r w:rsidRPr="0037411E">
              <w:rPr>
                <w:rFonts w:asciiTheme="majorEastAsia" w:eastAsiaTheme="majorEastAsia" w:hAnsiTheme="majorEastAsia" w:hint="eastAsia"/>
                <w:sz w:val="22"/>
                <w:szCs w:val="22"/>
              </w:rPr>
              <w:t>本查核項目稽核人員應每日瞭解是否發生，並於發生時進行查核同時作成查核報告，未發生者於每日查核報告敘明即可。</w:t>
            </w:r>
          </w:p>
        </w:tc>
      </w:tr>
    </w:tbl>
    <w:p w:rsidR="0037411E" w:rsidRPr="0037411E" w:rsidRDefault="0037411E" w:rsidP="00AA44DC">
      <w:pPr>
        <w:spacing w:beforeLines="100" w:line="360" w:lineRule="exact"/>
        <w:rPr>
          <w:rFonts w:asciiTheme="majorEastAsia" w:eastAsiaTheme="majorEastAsia" w:hAnsiTheme="majorEastAsia" w:cstheme="minorBidi"/>
          <w:sz w:val="22"/>
          <w:szCs w:val="22"/>
        </w:rPr>
      </w:pPr>
      <w:r>
        <w:rPr>
          <w:rFonts w:asciiTheme="majorEastAsia" w:eastAsiaTheme="majorEastAsia" w:hAnsiTheme="majorEastAsia"/>
          <w:spacing w:val="24"/>
          <w:sz w:val="22"/>
          <w:szCs w:val="22"/>
        </w:rPr>
        <w:t xml:space="preserve">                                                           </w:t>
      </w:r>
      <w:r w:rsidRPr="0037411E">
        <w:rPr>
          <w:rFonts w:asciiTheme="majorEastAsia" w:eastAsiaTheme="majorEastAsia" w:hAnsiTheme="majorEastAsia" w:hint="eastAsia"/>
          <w:spacing w:val="24"/>
          <w:sz w:val="22"/>
          <w:szCs w:val="22"/>
        </w:rPr>
        <w:t>稽核人員</w:t>
      </w:r>
      <w:r w:rsidRPr="0037411E">
        <w:rPr>
          <w:rFonts w:asciiTheme="majorEastAsia" w:eastAsiaTheme="majorEastAsia" w:hAnsiTheme="majorEastAsia"/>
          <w:spacing w:val="24"/>
          <w:sz w:val="22"/>
          <w:szCs w:val="22"/>
        </w:rPr>
        <w:t xml:space="preserve"> </w:t>
      </w:r>
      <w:r w:rsidRPr="0037411E">
        <w:rPr>
          <w:rFonts w:asciiTheme="majorEastAsia" w:eastAsiaTheme="majorEastAsia" w:hAnsiTheme="majorEastAsia" w:hint="eastAsia"/>
          <w:spacing w:val="24"/>
          <w:sz w:val="22"/>
          <w:szCs w:val="22"/>
          <w:u w:val="single"/>
        </w:rPr>
        <w:t xml:space="preserve">　　　　</w:t>
      </w:r>
      <w:r w:rsidRPr="0037411E">
        <w:rPr>
          <w:rFonts w:asciiTheme="majorEastAsia" w:eastAsiaTheme="majorEastAsia" w:hAnsiTheme="majorEastAsia"/>
          <w:spacing w:val="24"/>
          <w:sz w:val="22"/>
          <w:szCs w:val="22"/>
        </w:rPr>
        <w:t xml:space="preserve"> </w:t>
      </w:r>
      <w:r w:rsidRPr="0037411E">
        <w:rPr>
          <w:rFonts w:asciiTheme="majorEastAsia" w:eastAsiaTheme="majorEastAsia" w:hAnsiTheme="majorEastAsia" w:hint="eastAsia"/>
          <w:spacing w:val="24"/>
          <w:sz w:val="22"/>
          <w:szCs w:val="22"/>
        </w:rPr>
        <w:t>日</w:t>
      </w:r>
      <w:r w:rsidRPr="0037411E">
        <w:rPr>
          <w:rFonts w:asciiTheme="majorEastAsia" w:eastAsiaTheme="majorEastAsia" w:hAnsiTheme="majorEastAsia"/>
          <w:spacing w:val="24"/>
          <w:sz w:val="22"/>
          <w:szCs w:val="22"/>
        </w:rPr>
        <w:t xml:space="preserve"> </w:t>
      </w:r>
      <w:r w:rsidRPr="0037411E">
        <w:rPr>
          <w:rFonts w:asciiTheme="majorEastAsia" w:eastAsiaTheme="majorEastAsia" w:hAnsiTheme="majorEastAsia" w:hint="eastAsia"/>
          <w:spacing w:val="24"/>
          <w:sz w:val="22"/>
          <w:szCs w:val="22"/>
        </w:rPr>
        <w:t>期</w:t>
      </w:r>
      <w:r w:rsidRPr="0037411E">
        <w:rPr>
          <w:rFonts w:asciiTheme="majorEastAsia" w:eastAsiaTheme="majorEastAsia" w:hAnsiTheme="majorEastAsia"/>
          <w:spacing w:val="24"/>
          <w:sz w:val="22"/>
          <w:szCs w:val="22"/>
        </w:rPr>
        <w:t xml:space="preserve"> </w:t>
      </w:r>
      <w:r w:rsidRPr="0037411E">
        <w:rPr>
          <w:rFonts w:asciiTheme="majorEastAsia" w:eastAsiaTheme="majorEastAsia" w:hAnsiTheme="majorEastAsia" w:hint="eastAsia"/>
          <w:spacing w:val="24"/>
          <w:sz w:val="22"/>
          <w:szCs w:val="22"/>
          <w:u w:val="single"/>
        </w:rPr>
        <w:t xml:space="preserve">　　　　</w:t>
      </w:r>
    </w:p>
    <w:sectPr w:rsidR="0037411E" w:rsidRPr="0037411E" w:rsidSect="00D374AB">
      <w:pgSz w:w="16840" w:h="11907" w:orient="landscape" w:code="9"/>
      <w:pgMar w:top="1021" w:right="964" w:bottom="964" w:left="1021"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E43" w:rsidRDefault="00DE1E43">
      <w:pPr>
        <w:spacing w:line="240" w:lineRule="auto"/>
      </w:pPr>
    </w:p>
  </w:endnote>
  <w:endnote w:type="continuationSeparator" w:id="0">
    <w:p w:rsidR="00DE1E43" w:rsidRDefault="00DE1E43">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E43" w:rsidRDefault="00DE1E43">
      <w:pPr>
        <w:spacing w:line="240" w:lineRule="auto"/>
      </w:pPr>
    </w:p>
  </w:footnote>
  <w:footnote w:type="continuationSeparator" w:id="0">
    <w:p w:rsidR="00DE1E43" w:rsidRDefault="00DE1E43">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718B"/>
    <w:multiLevelType w:val="multilevel"/>
    <w:tmpl w:val="508CA08A"/>
    <w:lvl w:ilvl="0">
      <w:start w:val="1"/>
      <w:numFmt w:val="taiwaneseCountingThousand"/>
      <w:lvlText w:val="（%1）"/>
      <w:lvlJc w:val="left"/>
      <w:pPr>
        <w:tabs>
          <w:tab w:val="num" w:pos="2672"/>
        </w:tabs>
        <w:ind w:left="2672" w:hanging="840"/>
      </w:pPr>
      <w:rPr>
        <w:rFonts w:cs="Times New Roman" w:hint="eastAsia"/>
      </w:rPr>
    </w:lvl>
    <w:lvl w:ilvl="1">
      <w:start w:val="1"/>
      <w:numFmt w:val="ideographTraditional"/>
      <w:lvlText w:val="%2、"/>
      <w:lvlJc w:val="left"/>
      <w:pPr>
        <w:tabs>
          <w:tab w:val="num" w:pos="2792"/>
        </w:tabs>
        <w:ind w:left="2792" w:hanging="480"/>
      </w:pPr>
      <w:rPr>
        <w:rFonts w:cs="Times New Roman"/>
      </w:rPr>
    </w:lvl>
    <w:lvl w:ilvl="2">
      <w:start w:val="1"/>
      <w:numFmt w:val="lowerRoman"/>
      <w:lvlText w:val="%3."/>
      <w:lvlJc w:val="right"/>
      <w:pPr>
        <w:tabs>
          <w:tab w:val="num" w:pos="3272"/>
        </w:tabs>
        <w:ind w:left="3272" w:hanging="480"/>
      </w:pPr>
      <w:rPr>
        <w:rFonts w:cs="Times New Roman"/>
      </w:rPr>
    </w:lvl>
    <w:lvl w:ilvl="3">
      <w:start w:val="1"/>
      <w:numFmt w:val="decimal"/>
      <w:lvlText w:val="%4."/>
      <w:lvlJc w:val="left"/>
      <w:pPr>
        <w:tabs>
          <w:tab w:val="num" w:pos="3752"/>
        </w:tabs>
        <w:ind w:left="3752" w:hanging="480"/>
      </w:pPr>
      <w:rPr>
        <w:rFonts w:cs="Times New Roman"/>
      </w:rPr>
    </w:lvl>
    <w:lvl w:ilvl="4">
      <w:start w:val="1"/>
      <w:numFmt w:val="ideographTraditional"/>
      <w:lvlText w:val="%5、"/>
      <w:lvlJc w:val="left"/>
      <w:pPr>
        <w:tabs>
          <w:tab w:val="num" w:pos="4232"/>
        </w:tabs>
        <w:ind w:left="4232" w:hanging="480"/>
      </w:pPr>
      <w:rPr>
        <w:rFonts w:cs="Times New Roman"/>
      </w:rPr>
    </w:lvl>
    <w:lvl w:ilvl="5">
      <w:start w:val="1"/>
      <w:numFmt w:val="lowerRoman"/>
      <w:lvlText w:val="%6."/>
      <w:lvlJc w:val="right"/>
      <w:pPr>
        <w:tabs>
          <w:tab w:val="num" w:pos="4712"/>
        </w:tabs>
        <w:ind w:left="4712" w:hanging="480"/>
      </w:pPr>
      <w:rPr>
        <w:rFonts w:cs="Times New Roman"/>
      </w:rPr>
    </w:lvl>
    <w:lvl w:ilvl="6">
      <w:start w:val="1"/>
      <w:numFmt w:val="decimal"/>
      <w:lvlText w:val="%7."/>
      <w:lvlJc w:val="left"/>
      <w:pPr>
        <w:tabs>
          <w:tab w:val="num" w:pos="5192"/>
        </w:tabs>
        <w:ind w:left="5192" w:hanging="480"/>
      </w:pPr>
      <w:rPr>
        <w:rFonts w:cs="Times New Roman"/>
      </w:rPr>
    </w:lvl>
    <w:lvl w:ilvl="7">
      <w:start w:val="1"/>
      <w:numFmt w:val="ideographTraditional"/>
      <w:lvlText w:val="%8、"/>
      <w:lvlJc w:val="left"/>
      <w:pPr>
        <w:tabs>
          <w:tab w:val="num" w:pos="5672"/>
        </w:tabs>
        <w:ind w:left="5672" w:hanging="480"/>
      </w:pPr>
      <w:rPr>
        <w:rFonts w:cs="Times New Roman"/>
      </w:rPr>
    </w:lvl>
    <w:lvl w:ilvl="8">
      <w:start w:val="1"/>
      <w:numFmt w:val="lowerRoman"/>
      <w:lvlText w:val="%9."/>
      <w:lvlJc w:val="right"/>
      <w:pPr>
        <w:tabs>
          <w:tab w:val="num" w:pos="6152"/>
        </w:tabs>
        <w:ind w:left="6152" w:hanging="480"/>
      </w:pPr>
      <w:rPr>
        <w:rFonts w:cs="Times New Roman"/>
      </w:rPr>
    </w:lvl>
  </w:abstractNum>
  <w:abstractNum w:abstractNumId="1">
    <w:nsid w:val="10DB4ADC"/>
    <w:multiLevelType w:val="singleLevel"/>
    <w:tmpl w:val="17EC2A1C"/>
    <w:lvl w:ilvl="0">
      <w:start w:val="1"/>
      <w:numFmt w:val="taiwaneseCountingThousand"/>
      <w:lvlText w:val="（%1）"/>
      <w:lvlJc w:val="left"/>
      <w:pPr>
        <w:tabs>
          <w:tab w:val="num" w:pos="904"/>
        </w:tabs>
        <w:ind w:left="904" w:hanging="876"/>
      </w:pPr>
      <w:rPr>
        <w:rFonts w:cs="Times New Roman" w:hint="eastAsia"/>
      </w:rPr>
    </w:lvl>
  </w:abstractNum>
  <w:abstractNum w:abstractNumId="2">
    <w:nsid w:val="122D758D"/>
    <w:multiLevelType w:val="singleLevel"/>
    <w:tmpl w:val="D83E8314"/>
    <w:lvl w:ilvl="0">
      <w:start w:val="1"/>
      <w:numFmt w:val="decimal"/>
      <w:lvlText w:val="%1."/>
      <w:lvlJc w:val="left"/>
      <w:pPr>
        <w:tabs>
          <w:tab w:val="num" w:pos="1007"/>
        </w:tabs>
        <w:ind w:left="1007" w:hanging="195"/>
      </w:pPr>
      <w:rPr>
        <w:rFonts w:ascii="新細明體" w:eastAsia="新細明體" w:cs="Times New Roman" w:hint="eastAsia"/>
        <w:color w:val="FF0000"/>
        <w:u w:val="single"/>
      </w:rPr>
    </w:lvl>
  </w:abstractNum>
  <w:abstractNum w:abstractNumId="3">
    <w:nsid w:val="136E18A7"/>
    <w:multiLevelType w:val="singleLevel"/>
    <w:tmpl w:val="F2BEE7CE"/>
    <w:lvl w:ilvl="0">
      <w:start w:val="1"/>
      <w:numFmt w:val="decimal"/>
      <w:lvlText w:val="%1."/>
      <w:lvlJc w:val="left"/>
      <w:pPr>
        <w:tabs>
          <w:tab w:val="num" w:pos="747"/>
        </w:tabs>
        <w:ind w:left="747" w:hanging="195"/>
      </w:pPr>
      <w:rPr>
        <w:rFonts w:cs="Times New Roman" w:hint="eastAsia"/>
      </w:rPr>
    </w:lvl>
  </w:abstractNum>
  <w:abstractNum w:abstractNumId="4">
    <w:nsid w:val="16975A5D"/>
    <w:multiLevelType w:val="singleLevel"/>
    <w:tmpl w:val="F5D6A108"/>
    <w:lvl w:ilvl="0">
      <w:start w:val="1"/>
      <w:numFmt w:val="taiwaneseCountingThousand"/>
      <w:lvlText w:val="（%1）"/>
      <w:lvlJc w:val="left"/>
      <w:pPr>
        <w:tabs>
          <w:tab w:val="num" w:pos="808"/>
        </w:tabs>
        <w:ind w:left="808" w:hanging="780"/>
      </w:pPr>
      <w:rPr>
        <w:rFonts w:cs="Times New Roman" w:hint="eastAsia"/>
      </w:rPr>
    </w:lvl>
  </w:abstractNum>
  <w:abstractNum w:abstractNumId="5">
    <w:nsid w:val="22B5442D"/>
    <w:multiLevelType w:val="singleLevel"/>
    <w:tmpl w:val="89702BA4"/>
    <w:lvl w:ilvl="0">
      <w:start w:val="1"/>
      <w:numFmt w:val="decimal"/>
      <w:lvlText w:val="%1."/>
      <w:lvlJc w:val="left"/>
      <w:pPr>
        <w:tabs>
          <w:tab w:val="num" w:pos="1084"/>
        </w:tabs>
        <w:ind w:left="1084" w:hanging="384"/>
      </w:pPr>
      <w:rPr>
        <w:rFonts w:ascii="新細明體" w:eastAsia="新細明體" w:cs="Times New Roman" w:hint="eastAsia"/>
      </w:rPr>
    </w:lvl>
  </w:abstractNum>
  <w:abstractNum w:abstractNumId="6">
    <w:nsid w:val="2F02148F"/>
    <w:multiLevelType w:val="hybridMultilevel"/>
    <w:tmpl w:val="A15233F0"/>
    <w:lvl w:ilvl="0" w:tplc="4FE80F0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2EA67CF"/>
    <w:multiLevelType w:val="singleLevel"/>
    <w:tmpl w:val="60E831F0"/>
    <w:lvl w:ilvl="0">
      <w:start w:val="1"/>
      <w:numFmt w:val="decimal"/>
      <w:lvlText w:val="(%1)"/>
      <w:lvlJc w:val="left"/>
      <w:pPr>
        <w:tabs>
          <w:tab w:val="num" w:pos="1372"/>
        </w:tabs>
        <w:ind w:left="1372" w:hanging="504"/>
      </w:pPr>
      <w:rPr>
        <w:rFonts w:eastAsia="新細明體" w:cs="Times New Roman" w:hint="eastAsia"/>
        <w:color w:val="auto"/>
      </w:rPr>
    </w:lvl>
  </w:abstractNum>
  <w:abstractNum w:abstractNumId="8">
    <w:nsid w:val="3A41225B"/>
    <w:multiLevelType w:val="singleLevel"/>
    <w:tmpl w:val="5A4EFA4E"/>
    <w:lvl w:ilvl="0">
      <w:start w:val="1"/>
      <w:numFmt w:val="decimal"/>
      <w:lvlText w:val="%1."/>
      <w:lvlJc w:val="left"/>
      <w:pPr>
        <w:tabs>
          <w:tab w:val="num" w:pos="1108"/>
        </w:tabs>
        <w:ind w:left="1108" w:hanging="405"/>
      </w:pPr>
      <w:rPr>
        <w:rFonts w:cs="Times New Roman" w:hint="eastAsia"/>
      </w:rPr>
    </w:lvl>
  </w:abstractNum>
  <w:abstractNum w:abstractNumId="9">
    <w:nsid w:val="41CC78C5"/>
    <w:multiLevelType w:val="multilevel"/>
    <w:tmpl w:val="2E3AB764"/>
    <w:lvl w:ilvl="0">
      <w:start w:val="1"/>
      <w:numFmt w:val="taiwaneseCountingThousand"/>
      <w:suff w:val="space"/>
      <w:lvlText w:val="%1、"/>
      <w:lvlJc w:val="left"/>
      <w:pPr>
        <w:ind w:left="567" w:hanging="567"/>
      </w:pPr>
      <w:rPr>
        <w:rFonts w:cs="Times New Roman" w:hint="eastAsia"/>
      </w:rPr>
    </w:lvl>
    <w:lvl w:ilvl="1">
      <w:start w:val="1"/>
      <w:numFmt w:val="taiwaneseCountingThousand"/>
      <w:suff w:val="space"/>
      <w:lvlText w:val="(%2)"/>
      <w:lvlJc w:val="left"/>
      <w:pPr>
        <w:ind w:left="1123" w:hanging="556"/>
      </w:pPr>
      <w:rPr>
        <w:rFonts w:cs="Times New Roman" w:hint="eastAsia"/>
      </w:rPr>
    </w:lvl>
    <w:lvl w:ilvl="2">
      <w:start w:val="1"/>
      <w:numFmt w:val="decimal"/>
      <w:lvlText w:val="%3."/>
      <w:lvlJc w:val="left"/>
      <w:pPr>
        <w:tabs>
          <w:tab w:val="num" w:pos="1588"/>
        </w:tabs>
        <w:ind w:left="1588" w:hanging="454"/>
      </w:pPr>
      <w:rPr>
        <w:rFonts w:cs="Times New Roman" w:hint="eastAsia"/>
      </w:rPr>
    </w:lvl>
    <w:lvl w:ilvl="3">
      <w:start w:val="1"/>
      <w:numFmt w:val="decimal"/>
      <w:lvlText w:val="(%4) "/>
      <w:lvlJc w:val="left"/>
      <w:pPr>
        <w:tabs>
          <w:tab w:val="num" w:pos="2126"/>
        </w:tabs>
        <w:ind w:left="2126" w:hanging="595"/>
      </w:pPr>
      <w:rPr>
        <w:rFonts w:cs="Times New Roman" w:hint="eastAsia"/>
      </w:rPr>
    </w:lvl>
    <w:lvl w:ilvl="4">
      <w:start w:val="1"/>
      <w:numFmt w:val="upperLetter"/>
      <w:suff w:val="space"/>
      <w:lvlText w:val="%5."/>
      <w:lvlJc w:val="left"/>
      <w:pPr>
        <w:ind w:left="2041" w:firstLine="170"/>
      </w:pPr>
      <w:rPr>
        <w:rFonts w:cs="Times New Roman" w:hint="eastAsia"/>
      </w:rPr>
    </w:lvl>
    <w:lvl w:ilvl="5">
      <w:start w:val="1"/>
      <w:numFmt w:val="lowerLetter"/>
      <w:suff w:val="space"/>
      <w:lvlText w:val="%6."/>
      <w:lvlJc w:val="left"/>
      <w:pPr>
        <w:ind w:left="2892" w:hanging="28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0">
    <w:nsid w:val="52D33297"/>
    <w:multiLevelType w:val="singleLevel"/>
    <w:tmpl w:val="FAEE3386"/>
    <w:lvl w:ilvl="0">
      <w:start w:val="1"/>
      <w:numFmt w:val="decimal"/>
      <w:lvlText w:val="%1."/>
      <w:lvlJc w:val="left"/>
      <w:pPr>
        <w:tabs>
          <w:tab w:val="num" w:pos="877"/>
        </w:tabs>
        <w:ind w:left="877" w:hanging="195"/>
      </w:pPr>
      <w:rPr>
        <w:rFonts w:cs="Times New Roman" w:hint="eastAsia"/>
      </w:rPr>
    </w:lvl>
  </w:abstractNum>
  <w:abstractNum w:abstractNumId="11">
    <w:nsid w:val="5B1922AC"/>
    <w:multiLevelType w:val="singleLevel"/>
    <w:tmpl w:val="8DBCE3A8"/>
    <w:lvl w:ilvl="0">
      <w:start w:val="1"/>
      <w:numFmt w:val="taiwaneseCountingThousand"/>
      <w:lvlText w:val="（%1）"/>
      <w:lvlJc w:val="left"/>
      <w:pPr>
        <w:tabs>
          <w:tab w:val="num" w:pos="720"/>
        </w:tabs>
        <w:ind w:left="720" w:hanging="720"/>
      </w:pPr>
      <w:rPr>
        <w:rFonts w:cs="Times New Roman" w:hint="eastAsia"/>
      </w:rPr>
    </w:lvl>
  </w:abstractNum>
  <w:abstractNum w:abstractNumId="12">
    <w:nsid w:val="5F307CEC"/>
    <w:multiLevelType w:val="singleLevel"/>
    <w:tmpl w:val="F5D6A108"/>
    <w:lvl w:ilvl="0">
      <w:start w:val="1"/>
      <w:numFmt w:val="taiwaneseCountingThousand"/>
      <w:lvlText w:val="（%1）"/>
      <w:lvlJc w:val="left"/>
      <w:pPr>
        <w:tabs>
          <w:tab w:val="num" w:pos="808"/>
        </w:tabs>
        <w:ind w:left="808" w:hanging="780"/>
      </w:pPr>
      <w:rPr>
        <w:rFonts w:cs="Times New Roman" w:hint="eastAsia"/>
      </w:rPr>
    </w:lvl>
  </w:abstractNum>
  <w:abstractNum w:abstractNumId="13">
    <w:nsid w:val="649E48F8"/>
    <w:multiLevelType w:val="multilevel"/>
    <w:tmpl w:val="64882E9C"/>
    <w:lvl w:ilvl="0">
      <w:start w:val="1"/>
      <w:numFmt w:val="taiwaneseCountingThousand"/>
      <w:suff w:val="nothing"/>
      <w:lvlText w:val="%1、"/>
      <w:lvlJc w:val="left"/>
      <w:pPr>
        <w:ind w:left="425" w:hanging="425"/>
      </w:pPr>
      <w:rPr>
        <w:rFonts w:cs="Times New Roman" w:hint="eastAsia"/>
      </w:rPr>
    </w:lvl>
    <w:lvl w:ilvl="1">
      <w:start w:val="1"/>
      <w:numFmt w:val="taiwaneseCountingThousand"/>
      <w:suff w:val="nothing"/>
      <w:lvlText w:val="(%2)"/>
      <w:lvlJc w:val="left"/>
      <w:pPr>
        <w:ind w:left="737" w:hanging="453"/>
      </w:pPr>
      <w:rPr>
        <w:rFonts w:cs="Times New Roman" w:hint="eastAsia"/>
      </w:rPr>
    </w:lvl>
    <w:lvl w:ilvl="2">
      <w:start w:val="1"/>
      <w:numFmt w:val="taiwaneseCountingThousand"/>
      <w:suff w:val="nothing"/>
      <w:lvlText w:val="第%3項"/>
      <w:lvlJc w:val="left"/>
      <w:pPr>
        <w:ind w:left="1418" w:hanging="567"/>
      </w:pPr>
      <w:rPr>
        <w:rFonts w:cs="Times New Roman" w:hint="eastAsia"/>
      </w:rPr>
    </w:lvl>
    <w:lvl w:ilvl="3">
      <w:start w:val="1"/>
      <w:numFmt w:val="none"/>
      <w:suff w:val="nothing"/>
      <w:lvlText w:val=""/>
      <w:lvlJc w:val="left"/>
      <w:pPr>
        <w:ind w:left="1984" w:hanging="708"/>
      </w:pPr>
      <w:rPr>
        <w:rFonts w:cs="Times New Roman" w:hint="eastAsia"/>
      </w:rPr>
    </w:lvl>
    <w:lvl w:ilvl="4">
      <w:start w:val="1"/>
      <w:numFmt w:val="none"/>
      <w:suff w:val="nothing"/>
      <w:lvlText w:val=""/>
      <w:lvlJc w:val="left"/>
      <w:pPr>
        <w:ind w:left="2551" w:hanging="850"/>
      </w:pPr>
      <w:rPr>
        <w:rFonts w:cs="Times New Roman" w:hint="eastAsia"/>
      </w:rPr>
    </w:lvl>
    <w:lvl w:ilvl="5">
      <w:start w:val="1"/>
      <w:numFmt w:val="none"/>
      <w:suff w:val="nothing"/>
      <w:lvlText w:val=""/>
      <w:lvlJc w:val="left"/>
      <w:pPr>
        <w:ind w:left="3260" w:hanging="1134"/>
      </w:pPr>
      <w:rPr>
        <w:rFonts w:cs="Times New Roman" w:hint="eastAsia"/>
      </w:rPr>
    </w:lvl>
    <w:lvl w:ilvl="6">
      <w:start w:val="1"/>
      <w:numFmt w:val="none"/>
      <w:suff w:val="nothing"/>
      <w:lvlText w:val=""/>
      <w:lvlJc w:val="left"/>
      <w:pPr>
        <w:ind w:left="3827" w:hanging="1276"/>
      </w:pPr>
      <w:rPr>
        <w:rFonts w:cs="Times New Roman" w:hint="eastAsia"/>
      </w:rPr>
    </w:lvl>
    <w:lvl w:ilvl="7">
      <w:start w:val="1"/>
      <w:numFmt w:val="none"/>
      <w:suff w:val="nothing"/>
      <w:lvlText w:val=""/>
      <w:lvlJc w:val="left"/>
      <w:pPr>
        <w:ind w:left="4394" w:hanging="1418"/>
      </w:pPr>
      <w:rPr>
        <w:rFonts w:cs="Times New Roman" w:hint="eastAsia"/>
      </w:rPr>
    </w:lvl>
    <w:lvl w:ilvl="8">
      <w:start w:val="1"/>
      <w:numFmt w:val="none"/>
      <w:suff w:val="nothing"/>
      <w:lvlText w:val=""/>
      <w:lvlJc w:val="left"/>
      <w:pPr>
        <w:ind w:left="5102" w:hanging="1700"/>
      </w:pPr>
      <w:rPr>
        <w:rFonts w:cs="Times New Roman" w:hint="eastAsia"/>
      </w:rPr>
    </w:lvl>
  </w:abstractNum>
  <w:abstractNum w:abstractNumId="14">
    <w:nsid w:val="661C7F9F"/>
    <w:multiLevelType w:val="singleLevel"/>
    <w:tmpl w:val="9A8A353E"/>
    <w:lvl w:ilvl="0">
      <w:start w:val="1"/>
      <w:numFmt w:val="taiwaneseCountingThousand"/>
      <w:lvlText w:val="（%1）"/>
      <w:lvlJc w:val="left"/>
      <w:pPr>
        <w:tabs>
          <w:tab w:val="num" w:pos="880"/>
        </w:tabs>
        <w:ind w:left="880" w:hanging="852"/>
      </w:pPr>
      <w:rPr>
        <w:rFonts w:cs="Times New Roman" w:hint="eastAsia"/>
      </w:rPr>
    </w:lvl>
  </w:abstractNum>
  <w:abstractNum w:abstractNumId="15">
    <w:nsid w:val="697D3FA8"/>
    <w:multiLevelType w:val="multilevel"/>
    <w:tmpl w:val="2E3AB764"/>
    <w:lvl w:ilvl="0">
      <w:start w:val="1"/>
      <w:numFmt w:val="taiwaneseCountingThousand"/>
      <w:suff w:val="space"/>
      <w:lvlText w:val="%1、"/>
      <w:lvlJc w:val="left"/>
      <w:pPr>
        <w:ind w:left="567" w:hanging="567"/>
      </w:pPr>
      <w:rPr>
        <w:rFonts w:cs="Times New Roman" w:hint="eastAsia"/>
      </w:rPr>
    </w:lvl>
    <w:lvl w:ilvl="1">
      <w:start w:val="1"/>
      <w:numFmt w:val="taiwaneseCountingThousand"/>
      <w:suff w:val="space"/>
      <w:lvlText w:val="(%2)"/>
      <w:lvlJc w:val="left"/>
      <w:pPr>
        <w:ind w:left="1123" w:hanging="556"/>
      </w:pPr>
      <w:rPr>
        <w:rFonts w:cs="Times New Roman" w:hint="eastAsia"/>
      </w:rPr>
    </w:lvl>
    <w:lvl w:ilvl="2">
      <w:start w:val="1"/>
      <w:numFmt w:val="decimal"/>
      <w:lvlText w:val="%3."/>
      <w:lvlJc w:val="left"/>
      <w:pPr>
        <w:tabs>
          <w:tab w:val="num" w:pos="1588"/>
        </w:tabs>
        <w:ind w:left="1588" w:hanging="454"/>
      </w:pPr>
      <w:rPr>
        <w:rFonts w:cs="Times New Roman" w:hint="eastAsia"/>
      </w:rPr>
    </w:lvl>
    <w:lvl w:ilvl="3">
      <w:start w:val="1"/>
      <w:numFmt w:val="decimal"/>
      <w:lvlText w:val="(%4) "/>
      <w:lvlJc w:val="left"/>
      <w:pPr>
        <w:tabs>
          <w:tab w:val="num" w:pos="2126"/>
        </w:tabs>
        <w:ind w:left="2126" w:hanging="595"/>
      </w:pPr>
      <w:rPr>
        <w:rFonts w:cs="Times New Roman" w:hint="eastAsia"/>
      </w:rPr>
    </w:lvl>
    <w:lvl w:ilvl="4">
      <w:start w:val="1"/>
      <w:numFmt w:val="upperLetter"/>
      <w:suff w:val="space"/>
      <w:lvlText w:val="%5."/>
      <w:lvlJc w:val="left"/>
      <w:pPr>
        <w:ind w:left="2041" w:firstLine="170"/>
      </w:pPr>
      <w:rPr>
        <w:rFonts w:cs="Times New Roman" w:hint="eastAsia"/>
      </w:rPr>
    </w:lvl>
    <w:lvl w:ilvl="5">
      <w:start w:val="1"/>
      <w:numFmt w:val="lowerLetter"/>
      <w:suff w:val="space"/>
      <w:lvlText w:val="%6."/>
      <w:lvlJc w:val="left"/>
      <w:pPr>
        <w:ind w:left="2892" w:hanging="28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6">
    <w:nsid w:val="6A1E3F23"/>
    <w:multiLevelType w:val="singleLevel"/>
    <w:tmpl w:val="D64468C4"/>
    <w:lvl w:ilvl="0">
      <w:start w:val="1"/>
      <w:numFmt w:val="decimal"/>
      <w:lvlText w:val="(%1)"/>
      <w:lvlJc w:val="left"/>
      <w:pPr>
        <w:tabs>
          <w:tab w:val="num" w:pos="1372"/>
        </w:tabs>
        <w:ind w:left="1372" w:hanging="504"/>
      </w:pPr>
      <w:rPr>
        <w:rFonts w:eastAsia="新細明體" w:cs="Times New Roman" w:hint="eastAsia"/>
        <w:color w:val="auto"/>
      </w:rPr>
    </w:lvl>
  </w:abstractNum>
  <w:abstractNum w:abstractNumId="17">
    <w:nsid w:val="6D1B63E2"/>
    <w:multiLevelType w:val="multilevel"/>
    <w:tmpl w:val="288627EA"/>
    <w:lvl w:ilvl="0">
      <w:start w:val="1"/>
      <w:numFmt w:val="taiwaneseCountingThousand"/>
      <w:lvlText w:val="(%1)"/>
      <w:lvlJc w:val="left"/>
      <w:pPr>
        <w:tabs>
          <w:tab w:val="num" w:pos="920"/>
        </w:tabs>
        <w:ind w:left="920" w:hanging="444"/>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8">
    <w:nsid w:val="6E487ECB"/>
    <w:multiLevelType w:val="singleLevel"/>
    <w:tmpl w:val="F230B57A"/>
    <w:lvl w:ilvl="0">
      <w:start w:val="1"/>
      <w:numFmt w:val="taiwaneseCountingThousand"/>
      <w:lvlText w:val="（%1）"/>
      <w:lvlJc w:val="left"/>
      <w:pPr>
        <w:tabs>
          <w:tab w:val="num" w:pos="796"/>
        </w:tabs>
        <w:ind w:left="796" w:hanging="768"/>
      </w:pPr>
      <w:rPr>
        <w:rFonts w:cs="Times New Roman" w:hint="eastAsia"/>
        <w:color w:val="auto"/>
      </w:rPr>
    </w:lvl>
  </w:abstractNum>
  <w:abstractNum w:abstractNumId="19">
    <w:nsid w:val="72822C94"/>
    <w:multiLevelType w:val="singleLevel"/>
    <w:tmpl w:val="BAB2CAD2"/>
    <w:lvl w:ilvl="0">
      <w:start w:val="1"/>
      <w:numFmt w:val="taiwaneseCountingThousand"/>
      <w:lvlText w:val="%1、"/>
      <w:lvlJc w:val="left"/>
      <w:pPr>
        <w:tabs>
          <w:tab w:val="num" w:pos="604"/>
        </w:tabs>
        <w:ind w:left="604" w:hanging="576"/>
      </w:pPr>
      <w:rPr>
        <w:rFonts w:cs="Times New Roman" w:hint="eastAsia"/>
      </w:rPr>
    </w:lvl>
  </w:abstractNum>
  <w:abstractNum w:abstractNumId="20">
    <w:nsid w:val="760272F7"/>
    <w:multiLevelType w:val="singleLevel"/>
    <w:tmpl w:val="7EA040BA"/>
    <w:lvl w:ilvl="0">
      <w:start w:val="1"/>
      <w:numFmt w:val="taiwaneseCountingThousand"/>
      <w:lvlText w:val="（%1）"/>
      <w:lvlJc w:val="left"/>
      <w:pPr>
        <w:tabs>
          <w:tab w:val="num" w:pos="780"/>
        </w:tabs>
        <w:ind w:left="780" w:hanging="780"/>
      </w:pPr>
      <w:rPr>
        <w:rFonts w:cs="Times New Roman" w:hint="eastAsia"/>
      </w:rPr>
    </w:lvl>
  </w:abstractNum>
  <w:abstractNum w:abstractNumId="21">
    <w:nsid w:val="7E166BE2"/>
    <w:multiLevelType w:val="multilevel"/>
    <w:tmpl w:val="878A2996"/>
    <w:lvl w:ilvl="0">
      <w:start w:val="1"/>
      <w:numFmt w:val="decimal"/>
      <w:lvlText w:val="(%1)"/>
      <w:lvlJc w:val="left"/>
      <w:pPr>
        <w:tabs>
          <w:tab w:val="num" w:pos="937"/>
        </w:tabs>
        <w:ind w:left="937" w:hanging="360"/>
      </w:pPr>
      <w:rPr>
        <w:rFonts w:cs="Times New Roman" w:hint="eastAsia"/>
      </w:rPr>
    </w:lvl>
    <w:lvl w:ilvl="1">
      <w:start w:val="1"/>
      <w:numFmt w:val="ideographTraditional"/>
      <w:lvlText w:val="%2、"/>
      <w:lvlJc w:val="left"/>
      <w:pPr>
        <w:tabs>
          <w:tab w:val="num" w:pos="1537"/>
        </w:tabs>
        <w:ind w:left="1537" w:hanging="480"/>
      </w:pPr>
      <w:rPr>
        <w:rFonts w:cs="Times New Roman"/>
      </w:rPr>
    </w:lvl>
    <w:lvl w:ilvl="2">
      <w:start w:val="1"/>
      <w:numFmt w:val="lowerRoman"/>
      <w:lvlText w:val="%3."/>
      <w:lvlJc w:val="right"/>
      <w:pPr>
        <w:tabs>
          <w:tab w:val="num" w:pos="2017"/>
        </w:tabs>
        <w:ind w:left="2017" w:hanging="480"/>
      </w:pPr>
      <w:rPr>
        <w:rFonts w:cs="Times New Roman"/>
      </w:rPr>
    </w:lvl>
    <w:lvl w:ilvl="3">
      <w:start w:val="1"/>
      <w:numFmt w:val="decimal"/>
      <w:lvlText w:val="%4."/>
      <w:lvlJc w:val="left"/>
      <w:pPr>
        <w:tabs>
          <w:tab w:val="num" w:pos="2497"/>
        </w:tabs>
        <w:ind w:left="2497" w:hanging="480"/>
      </w:pPr>
      <w:rPr>
        <w:rFonts w:cs="Times New Roman"/>
      </w:rPr>
    </w:lvl>
    <w:lvl w:ilvl="4">
      <w:start w:val="1"/>
      <w:numFmt w:val="ideographTraditional"/>
      <w:lvlText w:val="%5、"/>
      <w:lvlJc w:val="left"/>
      <w:pPr>
        <w:tabs>
          <w:tab w:val="num" w:pos="2977"/>
        </w:tabs>
        <w:ind w:left="2977" w:hanging="480"/>
      </w:pPr>
      <w:rPr>
        <w:rFonts w:cs="Times New Roman"/>
      </w:rPr>
    </w:lvl>
    <w:lvl w:ilvl="5">
      <w:start w:val="1"/>
      <w:numFmt w:val="lowerRoman"/>
      <w:lvlText w:val="%6."/>
      <w:lvlJc w:val="right"/>
      <w:pPr>
        <w:tabs>
          <w:tab w:val="num" w:pos="3457"/>
        </w:tabs>
        <w:ind w:left="3457" w:hanging="480"/>
      </w:pPr>
      <w:rPr>
        <w:rFonts w:cs="Times New Roman"/>
      </w:rPr>
    </w:lvl>
    <w:lvl w:ilvl="6">
      <w:start w:val="1"/>
      <w:numFmt w:val="decimal"/>
      <w:lvlText w:val="%7."/>
      <w:lvlJc w:val="left"/>
      <w:pPr>
        <w:tabs>
          <w:tab w:val="num" w:pos="3937"/>
        </w:tabs>
        <w:ind w:left="3937" w:hanging="480"/>
      </w:pPr>
      <w:rPr>
        <w:rFonts w:cs="Times New Roman"/>
      </w:rPr>
    </w:lvl>
    <w:lvl w:ilvl="7">
      <w:start w:val="1"/>
      <w:numFmt w:val="ideographTraditional"/>
      <w:lvlText w:val="%8、"/>
      <w:lvlJc w:val="left"/>
      <w:pPr>
        <w:tabs>
          <w:tab w:val="num" w:pos="4417"/>
        </w:tabs>
        <w:ind w:left="4417" w:hanging="480"/>
      </w:pPr>
      <w:rPr>
        <w:rFonts w:cs="Times New Roman"/>
      </w:rPr>
    </w:lvl>
    <w:lvl w:ilvl="8">
      <w:start w:val="1"/>
      <w:numFmt w:val="lowerRoman"/>
      <w:lvlText w:val="%9."/>
      <w:lvlJc w:val="right"/>
      <w:pPr>
        <w:tabs>
          <w:tab w:val="num" w:pos="4897"/>
        </w:tabs>
        <w:ind w:left="4897" w:hanging="480"/>
      </w:pPr>
      <w:rPr>
        <w:rFonts w:cs="Times New Roman"/>
      </w:rPr>
    </w:lvl>
  </w:abstractNum>
  <w:num w:numId="1">
    <w:abstractNumId w:val="9"/>
  </w:num>
  <w:num w:numId="2">
    <w:abstractNumId w:val="8"/>
  </w:num>
  <w:num w:numId="3">
    <w:abstractNumId w:val="15"/>
  </w:num>
  <w:num w:numId="4">
    <w:abstractNumId w:val="0"/>
  </w:num>
  <w:num w:numId="5">
    <w:abstractNumId w:val="13"/>
  </w:num>
  <w:num w:numId="6">
    <w:abstractNumId w:val="2"/>
  </w:num>
  <w:num w:numId="7">
    <w:abstractNumId w:val="4"/>
  </w:num>
  <w:num w:numId="8">
    <w:abstractNumId w:val="14"/>
  </w:num>
  <w:num w:numId="9">
    <w:abstractNumId w:val="18"/>
  </w:num>
  <w:num w:numId="10">
    <w:abstractNumId w:val="5"/>
  </w:num>
  <w:num w:numId="11">
    <w:abstractNumId w:val="19"/>
  </w:num>
  <w:num w:numId="12">
    <w:abstractNumId w:val="7"/>
  </w:num>
  <w:num w:numId="13">
    <w:abstractNumId w:val="1"/>
  </w:num>
  <w:num w:numId="14">
    <w:abstractNumId w:val="16"/>
  </w:num>
  <w:num w:numId="15">
    <w:abstractNumId w:val="17"/>
  </w:num>
  <w:num w:numId="16">
    <w:abstractNumId w:val="21"/>
  </w:num>
  <w:num w:numId="17">
    <w:abstractNumId w:val="20"/>
  </w:num>
  <w:num w:numId="18">
    <w:abstractNumId w:val="10"/>
  </w:num>
  <w:num w:numId="19">
    <w:abstractNumId w:val="3"/>
  </w:num>
  <w:num w:numId="20">
    <w:abstractNumId w:val="12"/>
  </w:num>
  <w:num w:numId="21">
    <w:abstractNumId w:val="11"/>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80"/>
  <w:doNotHyphenateCaps/>
  <w:drawingGridHorizontalSpacing w:val="13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7579E"/>
    <w:rsid w:val="0007538F"/>
    <w:rsid w:val="00081D96"/>
    <w:rsid w:val="00122E61"/>
    <w:rsid w:val="001346C8"/>
    <w:rsid w:val="00171525"/>
    <w:rsid w:val="0018689D"/>
    <w:rsid w:val="0028404C"/>
    <w:rsid w:val="00287454"/>
    <w:rsid w:val="00305153"/>
    <w:rsid w:val="0037411E"/>
    <w:rsid w:val="0037579E"/>
    <w:rsid w:val="0039180E"/>
    <w:rsid w:val="00457A16"/>
    <w:rsid w:val="004908C5"/>
    <w:rsid w:val="00494F8A"/>
    <w:rsid w:val="004D0647"/>
    <w:rsid w:val="00541B30"/>
    <w:rsid w:val="0059125D"/>
    <w:rsid w:val="00677556"/>
    <w:rsid w:val="00726C02"/>
    <w:rsid w:val="007C74FF"/>
    <w:rsid w:val="007F215D"/>
    <w:rsid w:val="00802318"/>
    <w:rsid w:val="00822505"/>
    <w:rsid w:val="008431B3"/>
    <w:rsid w:val="008442FE"/>
    <w:rsid w:val="008F735A"/>
    <w:rsid w:val="00941B2C"/>
    <w:rsid w:val="00967EE3"/>
    <w:rsid w:val="009F1A6E"/>
    <w:rsid w:val="00A34EC0"/>
    <w:rsid w:val="00A70934"/>
    <w:rsid w:val="00A953D0"/>
    <w:rsid w:val="00A95A11"/>
    <w:rsid w:val="00AA44DC"/>
    <w:rsid w:val="00B16398"/>
    <w:rsid w:val="00B33A1B"/>
    <w:rsid w:val="00BA62B5"/>
    <w:rsid w:val="00C152A7"/>
    <w:rsid w:val="00D374AB"/>
    <w:rsid w:val="00DA17F5"/>
    <w:rsid w:val="00DE1E43"/>
    <w:rsid w:val="00EB63F9"/>
    <w:rsid w:val="00EC4348"/>
    <w:rsid w:val="00F07A69"/>
    <w:rsid w:val="00F160C3"/>
    <w:rsid w:val="00F402C1"/>
    <w:rsid w:val="00F9279B"/>
    <w:rsid w:val="00F94BEA"/>
    <w:rsid w:val="00FB17DB"/>
    <w:rsid w:val="00FE17B3"/>
    <w:rsid w:val="00FE1A2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374AB"/>
    <w:pPr>
      <w:widowControl w:val="0"/>
      <w:snapToGrid w:val="0"/>
      <w:spacing w:line="360" w:lineRule="atLeast"/>
      <w:jc w:val="both"/>
    </w:pPr>
    <w:rPr>
      <w:rFonts w:ascii="標楷體" w:eastAsia="標楷體" w:hAnsi="Times New Roman" w:cs="標楷體"/>
      <w:spacing w:val="10"/>
    </w:rPr>
  </w:style>
  <w:style w:type="paragraph" w:styleId="1">
    <w:name w:val="heading 1"/>
    <w:basedOn w:val="a"/>
    <w:next w:val="a"/>
    <w:link w:val="10"/>
    <w:uiPriority w:val="99"/>
    <w:qFormat/>
    <w:rsid w:val="00D374AB"/>
    <w:pPr>
      <w:spacing w:after="120"/>
      <w:jc w:val="center"/>
      <w:outlineLvl w:val="0"/>
    </w:pPr>
    <w:rPr>
      <w:rFonts w:hAnsi="Arial"/>
      <w:b/>
      <w:bCs/>
      <w:kern w:val="52"/>
      <w:sz w:val="36"/>
      <w:szCs w:val="36"/>
    </w:rPr>
  </w:style>
  <w:style w:type="paragraph" w:styleId="2">
    <w:name w:val="heading 2"/>
    <w:basedOn w:val="a"/>
    <w:next w:val="a"/>
    <w:link w:val="20"/>
    <w:uiPriority w:val="99"/>
    <w:qFormat/>
    <w:rsid w:val="00D374AB"/>
    <w:pPr>
      <w:keepNext/>
      <w:spacing w:line="720" w:lineRule="auto"/>
      <w:outlineLvl w:val="1"/>
    </w:pPr>
    <w:rPr>
      <w:rFonts w:ascii="Arial" w:hAnsi="Arial" w:cs="Arial"/>
      <w:b/>
      <w:bCs/>
      <w:sz w:val="48"/>
      <w:szCs w:val="48"/>
    </w:rPr>
  </w:style>
  <w:style w:type="paragraph" w:styleId="3">
    <w:name w:val="heading 3"/>
    <w:basedOn w:val="a"/>
    <w:next w:val="a"/>
    <w:link w:val="30"/>
    <w:uiPriority w:val="99"/>
    <w:qFormat/>
    <w:rsid w:val="00D374AB"/>
    <w:pPr>
      <w:keepNext/>
      <w:spacing w:line="720" w:lineRule="auto"/>
      <w:outlineLvl w:val="2"/>
    </w:pPr>
    <w:rPr>
      <w:rFonts w:ascii="Arial" w:hAnsi="Arial" w:cs="Arial"/>
      <w:b/>
      <w:bCs/>
      <w:sz w:val="36"/>
      <w:szCs w:val="36"/>
    </w:rPr>
  </w:style>
  <w:style w:type="paragraph" w:styleId="4">
    <w:name w:val="heading 4"/>
    <w:basedOn w:val="a"/>
    <w:next w:val="a0"/>
    <w:link w:val="40"/>
    <w:uiPriority w:val="99"/>
    <w:qFormat/>
    <w:rsid w:val="00D374AB"/>
    <w:pPr>
      <w:keepNext/>
      <w:adjustRightInd w:val="0"/>
      <w:snapToGrid/>
      <w:spacing w:line="720" w:lineRule="atLeast"/>
      <w:jc w:val="left"/>
      <w:textAlignment w:val="baseline"/>
      <w:outlineLvl w:val="3"/>
    </w:pPr>
    <w:rPr>
      <w:rFonts w:ascii="Arial" w:eastAsia="新細明體" w:hAnsi="Arial" w:cs="Arial"/>
      <w:spacing w:val="0"/>
      <w:kern w:val="0"/>
      <w:sz w:val="36"/>
      <w:szCs w:val="36"/>
    </w:rPr>
  </w:style>
  <w:style w:type="paragraph" w:styleId="5">
    <w:name w:val="heading 5"/>
    <w:basedOn w:val="a"/>
    <w:next w:val="a0"/>
    <w:link w:val="50"/>
    <w:uiPriority w:val="99"/>
    <w:qFormat/>
    <w:rsid w:val="00D374AB"/>
    <w:pPr>
      <w:keepNext/>
      <w:adjustRightInd w:val="0"/>
      <w:snapToGrid/>
      <w:spacing w:line="720" w:lineRule="atLeast"/>
      <w:jc w:val="left"/>
      <w:textAlignment w:val="baseline"/>
      <w:outlineLvl w:val="4"/>
    </w:pPr>
    <w:rPr>
      <w:rFonts w:ascii="Arial" w:eastAsia="新細明體" w:hAnsi="Arial" w:cs="Arial"/>
      <w:b/>
      <w:bCs/>
      <w:spacing w:val="0"/>
      <w:kern w:val="0"/>
      <w:sz w:val="36"/>
      <w:szCs w:val="36"/>
    </w:rPr>
  </w:style>
  <w:style w:type="paragraph" w:styleId="6">
    <w:name w:val="heading 6"/>
    <w:basedOn w:val="a"/>
    <w:next w:val="a0"/>
    <w:link w:val="60"/>
    <w:uiPriority w:val="99"/>
    <w:qFormat/>
    <w:rsid w:val="00D374AB"/>
    <w:pPr>
      <w:keepNext/>
      <w:adjustRightInd w:val="0"/>
      <w:snapToGrid/>
      <w:spacing w:line="720" w:lineRule="atLeast"/>
      <w:jc w:val="left"/>
      <w:textAlignment w:val="baseline"/>
      <w:outlineLvl w:val="5"/>
    </w:pPr>
    <w:rPr>
      <w:rFonts w:ascii="Arial" w:eastAsia="新細明體" w:hAnsi="Arial" w:cs="Arial"/>
      <w:spacing w:val="0"/>
      <w:kern w:val="0"/>
      <w:sz w:val="36"/>
      <w:szCs w:val="36"/>
    </w:rPr>
  </w:style>
  <w:style w:type="paragraph" w:styleId="7">
    <w:name w:val="heading 7"/>
    <w:basedOn w:val="a"/>
    <w:next w:val="a0"/>
    <w:link w:val="70"/>
    <w:uiPriority w:val="99"/>
    <w:qFormat/>
    <w:rsid w:val="00D374AB"/>
    <w:pPr>
      <w:keepNext/>
      <w:adjustRightInd w:val="0"/>
      <w:snapToGrid/>
      <w:spacing w:line="720" w:lineRule="atLeast"/>
      <w:jc w:val="left"/>
      <w:textAlignment w:val="baseline"/>
      <w:outlineLvl w:val="6"/>
    </w:pPr>
    <w:rPr>
      <w:rFonts w:ascii="Arial" w:eastAsia="新細明體" w:hAnsi="Arial" w:cs="Arial"/>
      <w:b/>
      <w:bCs/>
      <w:spacing w:val="0"/>
      <w:kern w:val="0"/>
      <w:sz w:val="36"/>
      <w:szCs w:val="36"/>
    </w:rPr>
  </w:style>
  <w:style w:type="paragraph" w:styleId="8">
    <w:name w:val="heading 8"/>
    <w:basedOn w:val="a"/>
    <w:next w:val="a0"/>
    <w:link w:val="80"/>
    <w:uiPriority w:val="99"/>
    <w:qFormat/>
    <w:rsid w:val="00D374AB"/>
    <w:pPr>
      <w:keepNext/>
      <w:adjustRightInd w:val="0"/>
      <w:snapToGrid/>
      <w:spacing w:line="720" w:lineRule="atLeast"/>
      <w:jc w:val="left"/>
      <w:textAlignment w:val="baseline"/>
      <w:outlineLvl w:val="7"/>
    </w:pPr>
    <w:rPr>
      <w:rFonts w:ascii="Arial" w:eastAsia="新細明體" w:hAnsi="Arial" w:cs="Arial"/>
      <w:spacing w:val="0"/>
      <w:kern w:val="0"/>
      <w:sz w:val="36"/>
      <w:szCs w:val="36"/>
    </w:rPr>
  </w:style>
  <w:style w:type="paragraph" w:styleId="9">
    <w:name w:val="heading 9"/>
    <w:basedOn w:val="a"/>
    <w:next w:val="a0"/>
    <w:link w:val="90"/>
    <w:uiPriority w:val="99"/>
    <w:qFormat/>
    <w:rsid w:val="00D374AB"/>
    <w:pPr>
      <w:keepNext/>
      <w:adjustRightInd w:val="0"/>
      <w:snapToGrid/>
      <w:spacing w:line="720" w:lineRule="atLeast"/>
      <w:jc w:val="left"/>
      <w:textAlignment w:val="baseline"/>
      <w:outlineLvl w:val="8"/>
    </w:pPr>
    <w:rPr>
      <w:rFonts w:ascii="Arial" w:eastAsia="新細明體" w:hAnsi="Arial" w:cs="Arial"/>
      <w:spacing w:val="0"/>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locked/>
    <w:rsid w:val="00D374AB"/>
    <w:rPr>
      <w:rFonts w:asciiTheme="majorHAnsi" w:eastAsiaTheme="majorEastAsia" w:hAnsiTheme="majorHAnsi" w:cstheme="majorBidi"/>
      <w:b/>
      <w:bCs/>
      <w:spacing w:val="10"/>
      <w:kern w:val="52"/>
      <w:sz w:val="52"/>
      <w:szCs w:val="52"/>
    </w:rPr>
  </w:style>
  <w:style w:type="character" w:customStyle="1" w:styleId="20">
    <w:name w:val="標題 2 字元"/>
    <w:basedOn w:val="a1"/>
    <w:link w:val="2"/>
    <w:uiPriority w:val="9"/>
    <w:semiHidden/>
    <w:locked/>
    <w:rsid w:val="00D374AB"/>
    <w:rPr>
      <w:rFonts w:asciiTheme="majorHAnsi" w:eastAsiaTheme="majorEastAsia" w:hAnsiTheme="majorHAnsi" w:cstheme="majorBidi"/>
      <w:b/>
      <w:bCs/>
      <w:spacing w:val="10"/>
      <w:sz w:val="48"/>
      <w:szCs w:val="48"/>
    </w:rPr>
  </w:style>
  <w:style w:type="character" w:customStyle="1" w:styleId="30">
    <w:name w:val="標題 3 字元"/>
    <w:basedOn w:val="a1"/>
    <w:link w:val="3"/>
    <w:uiPriority w:val="9"/>
    <w:semiHidden/>
    <w:locked/>
    <w:rsid w:val="00D374AB"/>
    <w:rPr>
      <w:rFonts w:asciiTheme="majorHAnsi" w:eastAsiaTheme="majorEastAsia" w:hAnsiTheme="majorHAnsi" w:cstheme="majorBidi"/>
      <w:b/>
      <w:bCs/>
      <w:spacing w:val="10"/>
      <w:sz w:val="36"/>
      <w:szCs w:val="36"/>
    </w:rPr>
  </w:style>
  <w:style w:type="character" w:customStyle="1" w:styleId="40">
    <w:name w:val="標題 4 字元"/>
    <w:basedOn w:val="a1"/>
    <w:link w:val="4"/>
    <w:uiPriority w:val="9"/>
    <w:semiHidden/>
    <w:locked/>
    <w:rsid w:val="00D374AB"/>
    <w:rPr>
      <w:rFonts w:asciiTheme="majorHAnsi" w:eastAsiaTheme="majorEastAsia" w:hAnsiTheme="majorHAnsi" w:cstheme="majorBidi"/>
      <w:spacing w:val="10"/>
      <w:sz w:val="36"/>
      <w:szCs w:val="36"/>
    </w:rPr>
  </w:style>
  <w:style w:type="character" w:customStyle="1" w:styleId="50">
    <w:name w:val="標題 5 字元"/>
    <w:basedOn w:val="a1"/>
    <w:link w:val="5"/>
    <w:uiPriority w:val="9"/>
    <w:semiHidden/>
    <w:locked/>
    <w:rsid w:val="00D374AB"/>
    <w:rPr>
      <w:rFonts w:asciiTheme="majorHAnsi" w:eastAsiaTheme="majorEastAsia" w:hAnsiTheme="majorHAnsi" w:cstheme="majorBidi"/>
      <w:b/>
      <w:bCs/>
      <w:spacing w:val="10"/>
      <w:sz w:val="36"/>
      <w:szCs w:val="36"/>
    </w:rPr>
  </w:style>
  <w:style w:type="character" w:customStyle="1" w:styleId="60">
    <w:name w:val="標題 6 字元"/>
    <w:basedOn w:val="a1"/>
    <w:link w:val="6"/>
    <w:uiPriority w:val="9"/>
    <w:semiHidden/>
    <w:locked/>
    <w:rsid w:val="00D374AB"/>
    <w:rPr>
      <w:rFonts w:asciiTheme="majorHAnsi" w:eastAsiaTheme="majorEastAsia" w:hAnsiTheme="majorHAnsi" w:cstheme="majorBidi"/>
      <w:spacing w:val="10"/>
      <w:sz w:val="36"/>
      <w:szCs w:val="36"/>
    </w:rPr>
  </w:style>
  <w:style w:type="character" w:customStyle="1" w:styleId="70">
    <w:name w:val="標題 7 字元"/>
    <w:basedOn w:val="a1"/>
    <w:link w:val="7"/>
    <w:uiPriority w:val="9"/>
    <w:semiHidden/>
    <w:locked/>
    <w:rsid w:val="00D374AB"/>
    <w:rPr>
      <w:rFonts w:asciiTheme="majorHAnsi" w:eastAsiaTheme="majorEastAsia" w:hAnsiTheme="majorHAnsi" w:cstheme="majorBidi"/>
      <w:b/>
      <w:bCs/>
      <w:spacing w:val="10"/>
      <w:sz w:val="36"/>
      <w:szCs w:val="36"/>
    </w:rPr>
  </w:style>
  <w:style w:type="character" w:customStyle="1" w:styleId="80">
    <w:name w:val="標題 8 字元"/>
    <w:basedOn w:val="a1"/>
    <w:link w:val="8"/>
    <w:uiPriority w:val="9"/>
    <w:semiHidden/>
    <w:locked/>
    <w:rsid w:val="00D374AB"/>
    <w:rPr>
      <w:rFonts w:asciiTheme="majorHAnsi" w:eastAsiaTheme="majorEastAsia" w:hAnsiTheme="majorHAnsi" w:cstheme="majorBidi"/>
      <w:spacing w:val="10"/>
      <w:sz w:val="36"/>
      <w:szCs w:val="36"/>
    </w:rPr>
  </w:style>
  <w:style w:type="character" w:customStyle="1" w:styleId="90">
    <w:name w:val="標題 9 字元"/>
    <w:basedOn w:val="a1"/>
    <w:link w:val="9"/>
    <w:uiPriority w:val="9"/>
    <w:semiHidden/>
    <w:locked/>
    <w:rsid w:val="00D374AB"/>
    <w:rPr>
      <w:rFonts w:asciiTheme="majorHAnsi" w:eastAsiaTheme="majorEastAsia" w:hAnsiTheme="majorHAnsi" w:cstheme="majorBidi"/>
      <w:spacing w:val="10"/>
      <w:sz w:val="36"/>
      <w:szCs w:val="36"/>
    </w:rPr>
  </w:style>
  <w:style w:type="paragraph" w:styleId="a0">
    <w:name w:val="Normal Indent"/>
    <w:basedOn w:val="a"/>
    <w:uiPriority w:val="99"/>
    <w:rsid w:val="00D374AB"/>
    <w:pPr>
      <w:ind w:left="480"/>
    </w:pPr>
  </w:style>
  <w:style w:type="paragraph" w:styleId="a4">
    <w:name w:val="Block Text"/>
    <w:basedOn w:val="a"/>
    <w:uiPriority w:val="99"/>
    <w:rsid w:val="00D374AB"/>
    <w:pPr>
      <w:ind w:left="758" w:right="28" w:hanging="730"/>
    </w:pPr>
    <w:rPr>
      <w:rFonts w:ascii="新細明體" w:eastAsia="新細明體" w:cs="新細明體"/>
      <w:spacing w:val="24"/>
    </w:rPr>
  </w:style>
  <w:style w:type="paragraph" w:styleId="21">
    <w:name w:val="Body Text 2"/>
    <w:basedOn w:val="a"/>
    <w:link w:val="22"/>
    <w:uiPriority w:val="99"/>
    <w:rsid w:val="00D374AB"/>
    <w:pPr>
      <w:spacing w:line="360" w:lineRule="exact"/>
    </w:pPr>
    <w:rPr>
      <w:rFonts w:ascii="新細明體" w:eastAsia="新細明體" w:cs="新細明體"/>
      <w:color w:val="0000FF"/>
      <w:u w:val="single"/>
    </w:rPr>
  </w:style>
  <w:style w:type="character" w:customStyle="1" w:styleId="22">
    <w:name w:val="本文 2 字元"/>
    <w:basedOn w:val="a1"/>
    <w:link w:val="21"/>
    <w:uiPriority w:val="99"/>
    <w:semiHidden/>
    <w:locked/>
    <w:rsid w:val="00D374AB"/>
    <w:rPr>
      <w:rFonts w:ascii="標楷體" w:eastAsia="標楷體" w:hAnsi="Times New Roman" w:cs="標楷體"/>
      <w:spacing w:val="10"/>
      <w:sz w:val="24"/>
      <w:szCs w:val="24"/>
    </w:rPr>
  </w:style>
  <w:style w:type="paragraph" w:styleId="a5">
    <w:name w:val="Body Text"/>
    <w:basedOn w:val="a"/>
    <w:link w:val="a6"/>
    <w:uiPriority w:val="99"/>
    <w:rsid w:val="00D374AB"/>
    <w:pPr>
      <w:ind w:right="28"/>
    </w:pPr>
    <w:rPr>
      <w:rFonts w:ascii="新細明體" w:eastAsia="新細明體" w:cs="新細明體"/>
    </w:rPr>
  </w:style>
  <w:style w:type="character" w:customStyle="1" w:styleId="a6">
    <w:name w:val="本文 字元"/>
    <w:basedOn w:val="a1"/>
    <w:link w:val="a5"/>
    <w:uiPriority w:val="99"/>
    <w:semiHidden/>
    <w:locked/>
    <w:rsid w:val="00D374AB"/>
    <w:rPr>
      <w:rFonts w:ascii="標楷體" w:eastAsia="標楷體" w:hAnsi="Times New Roman" w:cs="標楷體"/>
      <w:spacing w:val="10"/>
      <w:sz w:val="24"/>
      <w:szCs w:val="24"/>
    </w:rPr>
  </w:style>
  <w:style w:type="paragraph" w:styleId="HTML">
    <w:name w:val="HTML Preformatted"/>
    <w:basedOn w:val="a"/>
    <w:link w:val="HTML0"/>
    <w:uiPriority w:val="99"/>
    <w:rsid w:val="00D37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ascii="細明體" w:eastAsia="細明體" w:hAnsi="Courier New" w:cs="細明體"/>
      <w:color w:val="008000"/>
      <w:spacing w:val="0"/>
      <w:kern w:val="0"/>
      <w:sz w:val="20"/>
      <w:szCs w:val="20"/>
    </w:rPr>
  </w:style>
  <w:style w:type="character" w:customStyle="1" w:styleId="HTML0">
    <w:name w:val="HTML 預設格式 字元"/>
    <w:basedOn w:val="a1"/>
    <w:link w:val="HTML"/>
    <w:uiPriority w:val="99"/>
    <w:semiHidden/>
    <w:locked/>
    <w:rsid w:val="00D374AB"/>
    <w:rPr>
      <w:rFonts w:ascii="Courier New" w:eastAsia="標楷體" w:hAnsi="Courier New" w:cs="Courier New"/>
      <w:spacing w:val="10"/>
      <w:sz w:val="20"/>
      <w:szCs w:val="20"/>
    </w:rPr>
  </w:style>
  <w:style w:type="paragraph" w:styleId="a7">
    <w:name w:val="footer"/>
    <w:basedOn w:val="a"/>
    <w:link w:val="a8"/>
    <w:uiPriority w:val="99"/>
    <w:rsid w:val="00D374AB"/>
    <w:pPr>
      <w:tabs>
        <w:tab w:val="center" w:pos="4153"/>
        <w:tab w:val="right" w:pos="8306"/>
      </w:tabs>
    </w:pPr>
    <w:rPr>
      <w:sz w:val="20"/>
      <w:szCs w:val="20"/>
    </w:rPr>
  </w:style>
  <w:style w:type="character" w:customStyle="1" w:styleId="a8">
    <w:name w:val="頁尾 字元"/>
    <w:basedOn w:val="a1"/>
    <w:link w:val="a7"/>
    <w:uiPriority w:val="99"/>
    <w:semiHidden/>
    <w:locked/>
    <w:rsid w:val="00D374AB"/>
    <w:rPr>
      <w:rFonts w:ascii="標楷體" w:eastAsia="標楷體" w:hAnsi="Times New Roman" w:cs="標楷體"/>
      <w:spacing w:val="10"/>
      <w:sz w:val="20"/>
      <w:szCs w:val="20"/>
    </w:rPr>
  </w:style>
  <w:style w:type="character" w:styleId="a9">
    <w:name w:val="page number"/>
    <w:basedOn w:val="a1"/>
    <w:uiPriority w:val="99"/>
    <w:rsid w:val="00D374AB"/>
    <w:rPr>
      <w:rFonts w:cs="Times New Roman"/>
    </w:rPr>
  </w:style>
  <w:style w:type="paragraph" w:styleId="23">
    <w:name w:val="Body Text Indent 2"/>
    <w:basedOn w:val="a"/>
    <w:link w:val="24"/>
    <w:uiPriority w:val="99"/>
    <w:rsid w:val="00D374AB"/>
    <w:pPr>
      <w:spacing w:before="240" w:line="288" w:lineRule="auto"/>
      <w:ind w:left="1118" w:hanging="402"/>
    </w:pPr>
    <w:rPr>
      <w:rFonts w:hAnsi="標楷體"/>
      <w:spacing w:val="0"/>
    </w:rPr>
  </w:style>
  <w:style w:type="character" w:customStyle="1" w:styleId="24">
    <w:name w:val="本文縮排 2 字元"/>
    <w:basedOn w:val="a1"/>
    <w:link w:val="23"/>
    <w:uiPriority w:val="99"/>
    <w:semiHidden/>
    <w:locked/>
    <w:rsid w:val="00D374AB"/>
    <w:rPr>
      <w:rFonts w:ascii="標楷體" w:eastAsia="標楷體" w:hAnsi="Times New Roman" w:cs="標楷體"/>
      <w:spacing w:val="10"/>
      <w:sz w:val="24"/>
      <w:szCs w:val="24"/>
    </w:rPr>
  </w:style>
  <w:style w:type="paragraph" w:styleId="31">
    <w:name w:val="Body Text Indent 3"/>
    <w:basedOn w:val="a"/>
    <w:link w:val="32"/>
    <w:uiPriority w:val="99"/>
    <w:rsid w:val="00D374AB"/>
    <w:pPr>
      <w:spacing w:line="360" w:lineRule="exact"/>
      <w:ind w:left="862" w:hanging="862"/>
    </w:pPr>
    <w:rPr>
      <w:rFonts w:ascii="新細明體" w:eastAsia="新細明體" w:cs="新細明體"/>
      <w:u w:val="single"/>
    </w:rPr>
  </w:style>
  <w:style w:type="character" w:customStyle="1" w:styleId="32">
    <w:name w:val="本文縮排 3 字元"/>
    <w:basedOn w:val="a1"/>
    <w:link w:val="31"/>
    <w:uiPriority w:val="99"/>
    <w:semiHidden/>
    <w:locked/>
    <w:rsid w:val="00D374AB"/>
    <w:rPr>
      <w:rFonts w:ascii="標楷體" w:eastAsia="標楷體" w:hAnsi="Times New Roman" w:cs="標楷體"/>
      <w:spacing w:val="10"/>
      <w:sz w:val="16"/>
      <w:szCs w:val="16"/>
    </w:rPr>
  </w:style>
  <w:style w:type="paragraph" w:styleId="aa">
    <w:name w:val="header"/>
    <w:basedOn w:val="a"/>
    <w:link w:val="ab"/>
    <w:uiPriority w:val="99"/>
    <w:rsid w:val="00D374AB"/>
    <w:pPr>
      <w:tabs>
        <w:tab w:val="center" w:pos="4153"/>
        <w:tab w:val="right" w:pos="8306"/>
      </w:tabs>
    </w:pPr>
    <w:rPr>
      <w:sz w:val="20"/>
      <w:szCs w:val="20"/>
    </w:rPr>
  </w:style>
  <w:style w:type="character" w:customStyle="1" w:styleId="ab">
    <w:name w:val="頁首 字元"/>
    <w:basedOn w:val="a1"/>
    <w:link w:val="aa"/>
    <w:uiPriority w:val="99"/>
    <w:semiHidden/>
    <w:locked/>
    <w:rsid w:val="00D374AB"/>
    <w:rPr>
      <w:rFonts w:ascii="標楷體" w:eastAsia="標楷體" w:hAnsi="Times New Roman" w:cs="標楷體"/>
      <w:spacing w:val="10"/>
      <w:sz w:val="20"/>
      <w:szCs w:val="20"/>
    </w:rPr>
  </w:style>
  <w:style w:type="paragraph" w:customStyle="1" w:styleId="HTML1">
    <w:name w:val="HTML 預設格式1"/>
    <w:basedOn w:val="a"/>
    <w:rsid w:val="001868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ascii="Arial Unicode MS" w:eastAsia="Arial Unicode MS" w:hAnsi="Arial Unicode MS" w:cs="Times New Roman"/>
      <w:color w:val="008000"/>
      <w:spacing w:val="0"/>
      <w:kern w:val="0"/>
      <w:sz w:val="20"/>
      <w:szCs w:val="20"/>
    </w:rPr>
  </w:style>
  <w:style w:type="paragraph" w:styleId="ac">
    <w:name w:val="List Paragraph"/>
    <w:basedOn w:val="a"/>
    <w:uiPriority w:val="34"/>
    <w:qFormat/>
    <w:rsid w:val="004D0647"/>
    <w:pPr>
      <w:ind w:leftChars="200" w:left="480"/>
    </w:pPr>
  </w:style>
  <w:style w:type="paragraph" w:styleId="ad">
    <w:name w:val="Body Text Indent"/>
    <w:basedOn w:val="a"/>
    <w:link w:val="ae"/>
    <w:uiPriority w:val="99"/>
    <w:semiHidden/>
    <w:unhideWhenUsed/>
    <w:rsid w:val="0037411E"/>
    <w:pPr>
      <w:spacing w:after="120"/>
      <w:ind w:leftChars="200" w:left="480"/>
    </w:pPr>
  </w:style>
  <w:style w:type="character" w:customStyle="1" w:styleId="ae">
    <w:name w:val="本文縮排 字元"/>
    <w:basedOn w:val="a1"/>
    <w:link w:val="ad"/>
    <w:uiPriority w:val="99"/>
    <w:semiHidden/>
    <w:locked/>
    <w:rsid w:val="0037411E"/>
    <w:rPr>
      <w:rFonts w:ascii="標楷體" w:eastAsia="標楷體" w:hAnsi="Times New Roman" w:cs="標楷體"/>
      <w:spacing w:val="1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證券商內部控制制度標準規範─內部控制制度修訂對照表（97年度）</dc:title>
  <dc:creator>0753</dc:creator>
  <cp:lastModifiedBy>jenny</cp:lastModifiedBy>
  <cp:revision>3</cp:revision>
  <cp:lastPrinted>2010-03-31T01:41:00Z</cp:lastPrinted>
  <dcterms:created xsi:type="dcterms:W3CDTF">2010-05-11T01:19:00Z</dcterms:created>
  <dcterms:modified xsi:type="dcterms:W3CDTF">2010-05-11T01:20:00Z</dcterms:modified>
</cp:coreProperties>
</file>