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79E" w:rsidRDefault="0037579E">
      <w:pPr>
        <w:pStyle w:val="1"/>
        <w:spacing w:line="360" w:lineRule="exact"/>
        <w:rPr>
          <w:rFonts w:ascii="新細明體" w:eastAsia="新細明體" w:cstheme="minorBidi"/>
          <w:color w:val="000000"/>
        </w:rPr>
      </w:pPr>
      <w:r>
        <w:rPr>
          <w:rFonts w:ascii="新細明體" w:eastAsia="新細明體" w:cs="新細明體" w:hint="eastAsia"/>
          <w:color w:val="000000"/>
        </w:rPr>
        <w:t>證券商內部控制制度標準規範─內部控制制度修訂對照表</w:t>
      </w:r>
    </w:p>
    <w:tbl>
      <w:tblPr>
        <w:tblW w:w="149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68"/>
        <w:gridCol w:w="1440"/>
        <w:gridCol w:w="5425"/>
        <w:gridCol w:w="5425"/>
        <w:gridCol w:w="1820"/>
      </w:tblGrid>
      <w:tr w:rsidR="0037579E" w:rsidTr="00967EE3">
        <w:trPr>
          <w:trHeight w:val="500"/>
          <w:tblHeader/>
        </w:trPr>
        <w:tc>
          <w:tcPr>
            <w:tcW w:w="868" w:type="dxa"/>
            <w:tcBorders>
              <w:top w:val="single" w:sz="12" w:space="0" w:color="auto"/>
            </w:tcBorders>
            <w:vAlign w:val="center"/>
          </w:tcPr>
          <w:p w:rsidR="0037579E" w:rsidRDefault="0037579E">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編號</w:t>
            </w:r>
          </w:p>
        </w:tc>
        <w:tc>
          <w:tcPr>
            <w:tcW w:w="1440" w:type="dxa"/>
            <w:tcBorders>
              <w:top w:val="single" w:sz="12" w:space="0" w:color="auto"/>
            </w:tcBorders>
            <w:vAlign w:val="center"/>
          </w:tcPr>
          <w:p w:rsidR="0037579E" w:rsidRDefault="0037579E">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作業項目</w:t>
            </w:r>
          </w:p>
        </w:tc>
        <w:tc>
          <w:tcPr>
            <w:tcW w:w="5425" w:type="dxa"/>
            <w:tcBorders>
              <w:top w:val="single" w:sz="12" w:space="0" w:color="auto"/>
            </w:tcBorders>
            <w:vAlign w:val="center"/>
          </w:tcPr>
          <w:p w:rsidR="0037579E" w:rsidRDefault="0037579E">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修　訂　後　內　容</w:t>
            </w:r>
          </w:p>
        </w:tc>
        <w:tc>
          <w:tcPr>
            <w:tcW w:w="5425" w:type="dxa"/>
            <w:tcBorders>
              <w:top w:val="single" w:sz="12" w:space="0" w:color="auto"/>
            </w:tcBorders>
            <w:vAlign w:val="center"/>
          </w:tcPr>
          <w:p w:rsidR="0037579E" w:rsidRDefault="0037579E">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修　訂　前　內　容</w:t>
            </w:r>
          </w:p>
        </w:tc>
        <w:tc>
          <w:tcPr>
            <w:tcW w:w="1820" w:type="dxa"/>
            <w:tcBorders>
              <w:top w:val="single" w:sz="12" w:space="0" w:color="auto"/>
            </w:tcBorders>
            <w:vAlign w:val="center"/>
          </w:tcPr>
          <w:p w:rsidR="0037579E" w:rsidRDefault="0037579E">
            <w:pPr>
              <w:spacing w:line="360" w:lineRule="exact"/>
              <w:ind w:left="28" w:right="28"/>
              <w:jc w:val="center"/>
              <w:rPr>
                <w:rFonts w:ascii="新細明體" w:eastAsia="新細明體" w:cstheme="minorBidi"/>
                <w:color w:val="000000"/>
              </w:rPr>
            </w:pPr>
            <w:r>
              <w:rPr>
                <w:rFonts w:ascii="新細明體" w:eastAsia="新細明體" w:cs="新細明體" w:hint="eastAsia"/>
                <w:color w:val="000000"/>
              </w:rPr>
              <w:t>修訂說明</w:t>
            </w:r>
          </w:p>
        </w:tc>
      </w:tr>
      <w:tr w:rsidR="0037579E">
        <w:trPr>
          <w:trHeight w:val="8488"/>
        </w:trPr>
        <w:tc>
          <w:tcPr>
            <w:tcW w:w="868" w:type="dxa"/>
            <w:tcBorders>
              <w:bottom w:val="single" w:sz="12" w:space="0" w:color="auto"/>
            </w:tcBorders>
          </w:tcPr>
          <w:p w:rsidR="0037579E" w:rsidRDefault="0037579E">
            <w:pPr>
              <w:spacing w:line="360" w:lineRule="exact"/>
              <w:rPr>
                <w:rFonts w:ascii="新細明體" w:eastAsia="新細明體" w:hAnsi="新細明體" w:cs="新細明體"/>
                <w:color w:val="000000"/>
              </w:rPr>
            </w:pPr>
            <w:r>
              <w:rPr>
                <w:rFonts w:ascii="新細明體" w:eastAsia="新細明體" w:hAnsi="新細明體" w:cs="新細明體"/>
                <w:color w:val="000000"/>
              </w:rPr>
              <w:t>CA-</w:t>
            </w:r>
            <w:r w:rsidR="0018689D">
              <w:rPr>
                <w:rFonts w:ascii="新細明體" w:eastAsia="新細明體" w:hAnsi="新細明體" w:cs="新細明體"/>
                <w:color w:val="000000"/>
              </w:rPr>
              <w:t>18360</w:t>
            </w: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r>
              <w:rPr>
                <w:rFonts w:ascii="新細明體" w:eastAsia="新細明體" w:hAnsi="新細明體" w:cs="新細明體"/>
                <w:color w:val="000000"/>
              </w:rPr>
              <w:lastRenderedPageBreak/>
              <w:t>CA-1</w:t>
            </w:r>
            <w:r w:rsidR="00EC4348">
              <w:rPr>
                <w:rFonts w:ascii="新細明體" w:eastAsia="新細明體" w:hAnsi="新細明體" w:cs="新細明體"/>
                <w:color w:val="000000"/>
              </w:rPr>
              <w:t>8360</w:t>
            </w: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rPr>
                <w:rFonts w:ascii="新細明體" w:eastAsia="新細明體" w:hAnsi="新細明體" w:cs="新細明體"/>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rsidP="00967EE3">
            <w:pPr>
              <w:spacing w:line="360" w:lineRule="exact"/>
              <w:ind w:right="28"/>
              <w:rPr>
                <w:rFonts w:ascii="新細明體" w:eastAsia="新細明體" w:hAnsi="新細明體" w:cs="新細明體"/>
                <w:color w:val="000000"/>
              </w:rPr>
            </w:pPr>
          </w:p>
        </w:tc>
        <w:tc>
          <w:tcPr>
            <w:tcW w:w="1440" w:type="dxa"/>
            <w:tcBorders>
              <w:bottom w:val="single" w:sz="12" w:space="0" w:color="auto"/>
            </w:tcBorders>
          </w:tcPr>
          <w:p w:rsidR="0037579E" w:rsidRPr="0018689D" w:rsidRDefault="0018689D">
            <w:pPr>
              <w:spacing w:line="360" w:lineRule="exact"/>
              <w:rPr>
                <w:rFonts w:asciiTheme="minorEastAsia" w:eastAsiaTheme="minorEastAsia" w:hAnsiTheme="minorEastAsia" w:cstheme="minorBidi"/>
                <w:color w:val="000000"/>
              </w:rPr>
            </w:pPr>
            <w:r w:rsidRPr="0018689D">
              <w:rPr>
                <w:rFonts w:ascii="新細明體" w:eastAsia="新細明體" w:hAnsi="新細明體" w:hint="eastAsia"/>
              </w:rPr>
              <w:lastRenderedPageBreak/>
              <w:t>複委託契約、複受託證券商</w:t>
            </w:r>
            <w:r w:rsidR="00822505">
              <w:rPr>
                <w:rFonts w:asciiTheme="minorEastAsia" w:eastAsiaTheme="minorEastAsia" w:hAnsiTheme="minorEastAsia" w:hint="eastAsia"/>
              </w:rPr>
              <w:t>、</w:t>
            </w:r>
            <w:r w:rsidRPr="0018689D">
              <w:rPr>
                <w:rFonts w:ascii="新細明體" w:eastAsia="新細明體" w:hAnsi="新細明體" w:hint="eastAsia"/>
              </w:rPr>
              <w:t>保管機構</w:t>
            </w:r>
            <w:r w:rsidR="00822505" w:rsidRPr="0018689D">
              <w:rPr>
                <w:rFonts w:ascii="新細明體" w:eastAsia="新細明體" w:hAnsi="新細明體" w:hint="eastAsia"/>
              </w:rPr>
              <w:t>暨</w:t>
            </w:r>
            <w:r w:rsidR="00822505" w:rsidRPr="009F1A6E">
              <w:rPr>
                <w:rFonts w:ascii="新細明體" w:eastAsia="新細明體" w:hAnsi="新細明體" w:hint="eastAsia"/>
                <w:color w:val="FF0000"/>
                <w:spacing w:val="8"/>
                <w:u w:val="single"/>
              </w:rPr>
              <w:t>外國有價證券標的公司</w:t>
            </w:r>
            <w:r w:rsidRPr="0018689D">
              <w:rPr>
                <w:rFonts w:ascii="新細明體" w:eastAsia="新細明體" w:hAnsi="新細明體" w:hint="eastAsia"/>
              </w:rPr>
              <w:t>異常事項之處理作業</w:t>
            </w: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EC4348">
            <w:pPr>
              <w:spacing w:line="360" w:lineRule="exact"/>
              <w:rPr>
                <w:rFonts w:ascii="新細明體" w:eastAsia="新細明體" w:hAnsi="新細明體" w:cstheme="minorBidi"/>
                <w:color w:val="000000"/>
              </w:rPr>
            </w:pPr>
            <w:r w:rsidRPr="0018689D">
              <w:rPr>
                <w:rFonts w:ascii="新細明體" w:eastAsia="新細明體" w:hAnsi="新細明體" w:hint="eastAsia"/>
              </w:rPr>
              <w:lastRenderedPageBreak/>
              <w:t>複委託契約、複受託證券商</w:t>
            </w:r>
            <w:r>
              <w:rPr>
                <w:rFonts w:asciiTheme="minorEastAsia" w:eastAsiaTheme="minorEastAsia" w:hAnsiTheme="minorEastAsia" w:hint="eastAsia"/>
              </w:rPr>
              <w:t>、</w:t>
            </w:r>
            <w:r w:rsidRPr="0018689D">
              <w:rPr>
                <w:rFonts w:ascii="新細明體" w:eastAsia="新細明體" w:hAnsi="新細明體" w:hint="eastAsia"/>
              </w:rPr>
              <w:t>保管機構暨</w:t>
            </w:r>
            <w:r w:rsidRPr="009F1A6E">
              <w:rPr>
                <w:rFonts w:ascii="新細明體" w:eastAsia="新細明體" w:hAnsi="新細明體" w:hint="eastAsia"/>
                <w:color w:val="FF0000"/>
                <w:spacing w:val="8"/>
                <w:u w:val="single"/>
              </w:rPr>
              <w:t>外國有價證券標的公司</w:t>
            </w:r>
            <w:r w:rsidRPr="0018689D">
              <w:rPr>
                <w:rFonts w:ascii="新細明體" w:eastAsia="新細明體" w:hAnsi="新細明體" w:hint="eastAsia"/>
              </w:rPr>
              <w:t>異常事項之處理作業</w:t>
            </w: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pPr>
              <w:spacing w:line="360" w:lineRule="exact"/>
              <w:rPr>
                <w:rFonts w:ascii="新細明體" w:eastAsia="新細明體" w:hAnsi="新細明體" w:cstheme="minorBidi"/>
                <w:color w:val="000000"/>
              </w:rPr>
            </w:pPr>
          </w:p>
          <w:p w:rsidR="0037579E" w:rsidRDefault="0037579E" w:rsidP="00967EE3">
            <w:pPr>
              <w:spacing w:line="360" w:lineRule="exact"/>
              <w:ind w:right="28"/>
              <w:rPr>
                <w:rFonts w:ascii="新細明體" w:eastAsia="新細明體" w:hAnsi="新細明體" w:cstheme="minorBidi"/>
                <w:color w:val="000000"/>
              </w:rPr>
            </w:pPr>
          </w:p>
        </w:tc>
        <w:tc>
          <w:tcPr>
            <w:tcW w:w="5425" w:type="dxa"/>
            <w:tcBorders>
              <w:bottom w:val="single" w:sz="12" w:space="0" w:color="auto"/>
            </w:tcBorders>
          </w:tcPr>
          <w:p w:rsidR="0037579E" w:rsidRDefault="0037579E">
            <w:pPr>
              <w:spacing w:line="360" w:lineRule="exact"/>
              <w:rPr>
                <w:rFonts w:ascii="新細明體" w:eastAsia="新細明體" w:hAnsi="新細明體" w:cstheme="minorBidi"/>
                <w:color w:val="000000"/>
              </w:rPr>
            </w:pPr>
            <w:r>
              <w:rPr>
                <w:rFonts w:ascii="新細明體" w:eastAsia="新細明體" w:hAnsi="新細明體" w:cs="新細明體" w:hint="eastAsia"/>
                <w:color w:val="000000"/>
              </w:rPr>
              <w:lastRenderedPageBreak/>
              <w:t>一、作業程序：</w:t>
            </w:r>
          </w:p>
          <w:p w:rsidR="00F402C1" w:rsidRDefault="00F402C1" w:rsidP="00F402C1">
            <w:pPr>
              <w:pStyle w:val="HTML1"/>
              <w:spacing w:line="400" w:lineRule="atLeast"/>
              <w:ind w:left="634" w:hanging="634"/>
              <w:rPr>
                <w:rFonts w:ascii="新細明體" w:eastAsia="新細明體" w:hAnsi="標楷體"/>
                <w:color w:val="auto"/>
                <w:sz w:val="24"/>
              </w:rPr>
            </w:pPr>
            <w:r>
              <w:rPr>
                <w:rFonts w:ascii="新細明體" w:eastAsia="新細明體" w:hAnsi="新細明體" w:hint="eastAsia"/>
                <w:color w:val="auto"/>
                <w:sz w:val="24"/>
              </w:rPr>
              <w:t>………</w:t>
            </w:r>
          </w:p>
          <w:p w:rsidR="00F402C1" w:rsidRDefault="00F402C1" w:rsidP="00F402C1">
            <w:pPr>
              <w:pStyle w:val="HTML1"/>
              <w:spacing w:line="400" w:lineRule="atLeast"/>
              <w:ind w:left="634" w:hanging="634"/>
              <w:rPr>
                <w:rFonts w:ascii="新細明體" w:eastAsia="新細明體" w:hAnsi="標楷體"/>
                <w:color w:val="auto"/>
                <w:sz w:val="24"/>
              </w:rPr>
            </w:pPr>
            <w:r>
              <w:rPr>
                <w:rFonts w:ascii="新細明體" w:eastAsia="新細明體" w:hAnsi="標楷體" w:hint="eastAsia"/>
                <w:color w:val="auto"/>
                <w:sz w:val="24"/>
              </w:rPr>
              <w:t>（十）公司未能依第（九）條規定辦理了結及轉存事宜者，應即委任其他得辦理外國有價證券受託或複委託買賣業務之證券商，辦理有關款券之代收、代付、領回、匯撥或轉存之作業手續及其他聯繫協調事宜；代辦事務所需有關交易交割及保管之明細表冊紀錄憑據，應配合提供。</w:t>
            </w:r>
          </w:p>
          <w:p w:rsidR="00F402C1" w:rsidRDefault="00F402C1" w:rsidP="00F402C1">
            <w:pPr>
              <w:pStyle w:val="HTML1"/>
              <w:spacing w:line="400" w:lineRule="atLeast"/>
              <w:ind w:left="634" w:hanging="634"/>
              <w:rPr>
                <w:rFonts w:ascii="新細明體" w:eastAsia="新細明體" w:hAnsi="標楷體"/>
                <w:color w:val="auto"/>
                <w:sz w:val="24"/>
              </w:rPr>
            </w:pPr>
            <w:r>
              <w:rPr>
                <w:rFonts w:ascii="新細明體" w:eastAsia="新細明體" w:hAnsi="標楷體"/>
                <w:color w:val="auto"/>
                <w:sz w:val="24"/>
              </w:rPr>
              <w:t xml:space="preserve">     </w:t>
            </w:r>
            <w:r>
              <w:rPr>
                <w:rFonts w:ascii="新細明體" w:eastAsia="新細明體" w:hAnsi="標楷體" w:hint="eastAsia"/>
                <w:color w:val="auto"/>
                <w:sz w:val="24"/>
              </w:rPr>
              <w:t>公司已收取之待交割或待轉存款券，應撥入代辦證商券於金融機構及證券保管機構開立之款券保管專戶；尚未收取之款券，並由代辦證券商逕行收取存入專戶，以憑代辦前項事宜。</w:t>
            </w:r>
          </w:p>
          <w:p w:rsidR="00F402C1" w:rsidRDefault="00F402C1" w:rsidP="00F402C1">
            <w:pPr>
              <w:pStyle w:val="HTML1"/>
              <w:tabs>
                <w:tab w:val="clear" w:pos="916"/>
                <w:tab w:val="left" w:pos="634"/>
              </w:tabs>
              <w:spacing w:line="400" w:lineRule="atLeast"/>
              <w:ind w:left="634"/>
              <w:rPr>
                <w:rFonts w:ascii="新細明體" w:eastAsia="新細明體" w:hAnsi="標楷體"/>
                <w:color w:val="auto"/>
                <w:sz w:val="24"/>
              </w:rPr>
            </w:pPr>
            <w:r>
              <w:rPr>
                <w:rFonts w:ascii="新細明體" w:eastAsia="新細明體" w:hAnsi="標楷體" w:hint="eastAsia"/>
                <w:color w:val="auto"/>
                <w:sz w:val="24"/>
              </w:rPr>
              <w:t>公司對於前二項之委任及處置情形，應會同代辦證券商函報券商公會轉報主管機關備查，並分別通知有關之委託人、複受託證券商及保管機構。</w:t>
            </w:r>
          </w:p>
          <w:p w:rsidR="00F402C1" w:rsidRDefault="00F402C1" w:rsidP="00F402C1">
            <w:pPr>
              <w:spacing w:line="360" w:lineRule="exact"/>
              <w:ind w:left="631" w:right="28"/>
              <w:rPr>
                <w:rFonts w:ascii="新細明體" w:eastAsia="新細明體" w:hAnsi="新細明體" w:cstheme="minorBidi"/>
                <w:color w:val="000000"/>
              </w:rPr>
            </w:pPr>
            <w:r>
              <w:rPr>
                <w:rFonts w:ascii="新細明體" w:eastAsia="新細明體" w:hAnsi="標楷體" w:hint="eastAsia"/>
              </w:rPr>
              <w:t>前三項委任代辦之意旨及通知義務，應於受託契約、複委託契約及保管契約載明之。</w:t>
            </w:r>
          </w:p>
          <w:p w:rsidR="00822505" w:rsidRDefault="00822505">
            <w:pPr>
              <w:spacing w:line="360" w:lineRule="exact"/>
              <w:ind w:left="812" w:right="28" w:hanging="812"/>
              <w:rPr>
                <w:rFonts w:ascii="新細明體" w:eastAsia="新細明體" w:hAnsi="標楷體" w:cs="Times New Roman"/>
                <w:spacing w:val="0"/>
                <w:kern w:val="0"/>
                <w:szCs w:val="20"/>
              </w:rPr>
            </w:pPr>
          </w:p>
          <w:p w:rsidR="0037579E" w:rsidRDefault="0018689D">
            <w:pPr>
              <w:spacing w:line="360" w:lineRule="exact"/>
              <w:ind w:left="812" w:right="28" w:hanging="812"/>
              <w:rPr>
                <w:rFonts w:ascii="新細明體" w:eastAsia="新細明體" w:hAnsi="新細明體"/>
                <w:color w:val="FF0000"/>
                <w:spacing w:val="8"/>
                <w:u w:val="single"/>
              </w:rPr>
            </w:pPr>
            <w:r w:rsidRPr="009F1A6E">
              <w:rPr>
                <w:rFonts w:ascii="新細明體" w:eastAsia="新細明體" w:hAnsi="標楷體" w:cs="Times New Roman" w:hint="eastAsia"/>
                <w:color w:val="FF0000"/>
                <w:spacing w:val="0"/>
                <w:kern w:val="0"/>
                <w:szCs w:val="20"/>
              </w:rPr>
              <w:t>（十</w:t>
            </w:r>
            <w:r w:rsidR="00822505" w:rsidRPr="009F1A6E">
              <w:rPr>
                <w:rFonts w:ascii="新細明體" w:eastAsia="新細明體" w:hAnsi="標楷體" w:cs="Times New Roman" w:hint="eastAsia"/>
                <w:color w:val="FF0000"/>
                <w:spacing w:val="0"/>
                <w:kern w:val="0"/>
                <w:szCs w:val="20"/>
              </w:rPr>
              <w:t>一</w:t>
            </w:r>
            <w:r w:rsidRPr="009F1A6E">
              <w:rPr>
                <w:rFonts w:ascii="新細明體" w:eastAsia="新細明體" w:hAnsi="標楷體" w:cs="Times New Roman" w:hint="eastAsia"/>
                <w:color w:val="FF0000"/>
                <w:spacing w:val="0"/>
                <w:kern w:val="0"/>
                <w:szCs w:val="20"/>
              </w:rPr>
              <w:t>）</w:t>
            </w:r>
            <w:r w:rsidRPr="009F1A6E">
              <w:rPr>
                <w:rFonts w:ascii="新細明體" w:eastAsia="新細明體" w:hAnsi="標楷體" w:cs="Times New Roman" w:hint="eastAsia"/>
                <w:color w:val="FF0000"/>
                <w:spacing w:val="0"/>
                <w:kern w:val="0"/>
                <w:szCs w:val="20"/>
                <w:u w:val="single"/>
              </w:rPr>
              <w:t>公司</w:t>
            </w:r>
            <w:r w:rsidR="00822505" w:rsidRPr="009F1A6E">
              <w:rPr>
                <w:rFonts w:ascii="新細明體" w:eastAsia="新細明體" w:hAnsi="新細明體" w:hint="eastAsia"/>
                <w:color w:val="FF0000"/>
                <w:spacing w:val="8"/>
                <w:u w:val="single"/>
              </w:rPr>
              <w:t>從全球具一定公信力之財經專業媒體或複受託證券商得知外國有價證券之</w:t>
            </w:r>
            <w:r w:rsidR="00822505" w:rsidRPr="009F1A6E">
              <w:rPr>
                <w:rFonts w:ascii="新細明體" w:eastAsia="新細明體" w:hAnsi="新細明體" w:hint="eastAsia"/>
                <w:color w:val="FF0000"/>
                <w:spacing w:val="8"/>
                <w:u w:val="single"/>
              </w:rPr>
              <w:lastRenderedPageBreak/>
              <w:t>標的公司發生財務困難情事或複受託證券商本身發生財務困難有違約情事者，</w:t>
            </w:r>
            <w:r w:rsidR="00EC4348" w:rsidRPr="009F1A6E">
              <w:rPr>
                <w:rFonts w:ascii="新細明體" w:eastAsia="新細明體" w:hAnsi="新細明體" w:hint="eastAsia"/>
                <w:color w:val="FF0000"/>
                <w:spacing w:val="8"/>
                <w:u w:val="single"/>
              </w:rPr>
              <w:t>公司</w:t>
            </w:r>
            <w:r w:rsidR="00822505" w:rsidRPr="009F1A6E">
              <w:rPr>
                <w:rFonts w:ascii="新細明體" w:eastAsia="新細明體" w:hAnsi="新細明體" w:hint="eastAsia"/>
                <w:color w:val="FF0000"/>
                <w:spacing w:val="8"/>
                <w:u w:val="single"/>
              </w:rPr>
              <w:t>應於知悉確認後立即通報</w:t>
            </w:r>
            <w:r w:rsidR="00171525" w:rsidRPr="009F1A6E">
              <w:rPr>
                <w:rFonts w:ascii="新細明體" w:eastAsia="新細明體" w:hAnsi="新細明體" w:hint="eastAsia"/>
                <w:color w:val="FF0000"/>
                <w:spacing w:val="8"/>
                <w:u w:val="single"/>
              </w:rPr>
              <w:t>券商</w:t>
            </w:r>
            <w:r w:rsidR="00822505" w:rsidRPr="009F1A6E">
              <w:rPr>
                <w:rFonts w:ascii="新細明體" w:eastAsia="新細明體" w:hAnsi="新細明體" w:hint="eastAsia"/>
                <w:color w:val="FF0000"/>
                <w:spacing w:val="8"/>
                <w:u w:val="single"/>
              </w:rPr>
              <w:t>公會。</w:t>
            </w:r>
          </w:p>
          <w:p w:rsidR="00B16398" w:rsidRPr="00B16398" w:rsidRDefault="00B16398" w:rsidP="00B16398">
            <w:pPr>
              <w:spacing w:line="360" w:lineRule="exact"/>
              <w:ind w:left="812" w:right="28" w:hanging="1"/>
              <w:rPr>
                <w:rFonts w:ascii="新細明體" w:eastAsia="新細明體" w:hAnsi="新細明體" w:cstheme="minorBidi"/>
                <w:color w:val="FF0000"/>
                <w:spacing w:val="24"/>
                <w:u w:val="single"/>
              </w:rPr>
            </w:pPr>
            <w:r w:rsidRPr="00B16398">
              <w:rPr>
                <w:rFonts w:ascii="新細明體" w:eastAsia="新細明體" w:hAnsi="標楷體" w:cs="Times New Roman" w:hint="eastAsia"/>
                <w:color w:val="FF0000"/>
                <w:spacing w:val="0"/>
                <w:kern w:val="0"/>
                <w:szCs w:val="20"/>
                <w:u w:val="single"/>
              </w:rPr>
              <w:t>前項通報之外國有價證券不含境外基金。</w:t>
            </w:r>
          </w:p>
          <w:p w:rsidR="0037579E" w:rsidRDefault="0037579E">
            <w:pPr>
              <w:spacing w:line="360" w:lineRule="exact"/>
              <w:ind w:left="812" w:right="28" w:hanging="812"/>
              <w:rPr>
                <w:rFonts w:ascii="新細明體" w:eastAsia="新細明體" w:hAnsi="新細明體" w:cstheme="minorBidi"/>
                <w:color w:val="000000"/>
                <w:u w:val="single"/>
              </w:rPr>
            </w:pPr>
          </w:p>
          <w:p w:rsidR="00EC4348" w:rsidRDefault="00EC4348">
            <w:pPr>
              <w:spacing w:line="360" w:lineRule="exact"/>
              <w:ind w:left="812" w:right="28" w:hanging="812"/>
              <w:rPr>
                <w:rFonts w:ascii="新細明體" w:eastAsia="新細明體" w:hAnsi="新細明體" w:cstheme="minorBidi"/>
                <w:color w:val="000000"/>
                <w:u w:val="single"/>
              </w:rPr>
            </w:pPr>
          </w:p>
          <w:p w:rsidR="00EC4348" w:rsidRPr="00EC4348" w:rsidRDefault="00EC4348" w:rsidP="00EC4348">
            <w:pPr>
              <w:keepNext/>
              <w:adjustRightInd w:val="0"/>
              <w:snapToGrid/>
              <w:spacing w:line="400" w:lineRule="atLeast"/>
              <w:textAlignment w:val="baseline"/>
              <w:rPr>
                <w:rFonts w:ascii="新細明體" w:eastAsia="新細明體" w:hAnsi="標楷體" w:cs="Times New Roman"/>
                <w:spacing w:val="0"/>
                <w:kern w:val="0"/>
                <w:szCs w:val="20"/>
              </w:rPr>
            </w:pPr>
            <w:r w:rsidRPr="00EC4348">
              <w:rPr>
                <w:rFonts w:ascii="新細明體" w:eastAsia="新細明體" w:hAnsi="標楷體" w:cs="Times New Roman" w:hint="eastAsia"/>
                <w:spacing w:val="0"/>
                <w:kern w:val="0"/>
                <w:szCs w:val="20"/>
              </w:rPr>
              <w:t>二、控制重點</w:t>
            </w:r>
          </w:p>
          <w:p w:rsidR="00EC4348" w:rsidRPr="00EC4348" w:rsidRDefault="00EC4348" w:rsidP="00EC4348">
            <w:pPr>
              <w:keepNext/>
              <w:adjustRightInd w:val="0"/>
              <w:snapToGrid/>
              <w:spacing w:line="400" w:lineRule="atLeast"/>
              <w:ind w:left="667" w:hangingChars="278" w:hanging="667"/>
              <w:textAlignment w:val="baseline"/>
              <w:rPr>
                <w:rFonts w:ascii="新細明體" w:eastAsia="新細明體" w:hAnsi="標楷體" w:cs="Times New Roman"/>
                <w:spacing w:val="0"/>
                <w:kern w:val="0"/>
                <w:szCs w:val="20"/>
              </w:rPr>
            </w:pPr>
            <w:r w:rsidRPr="0018689D">
              <w:rPr>
                <w:rFonts w:ascii="新細明體" w:eastAsia="新細明體" w:hAnsi="標楷體" w:cs="Times New Roman" w:hint="eastAsia"/>
                <w:spacing w:val="0"/>
                <w:kern w:val="0"/>
                <w:szCs w:val="20"/>
              </w:rPr>
              <w:t>（</w:t>
            </w:r>
            <w:r>
              <w:rPr>
                <w:rFonts w:ascii="新細明體" w:eastAsia="新細明體" w:hAnsi="標楷體" w:cs="Times New Roman" w:hint="eastAsia"/>
                <w:spacing w:val="0"/>
                <w:kern w:val="0"/>
                <w:szCs w:val="20"/>
              </w:rPr>
              <w:t>一</w:t>
            </w:r>
            <w:r w:rsidRPr="0018689D">
              <w:rPr>
                <w:rFonts w:ascii="新細明體" w:eastAsia="新細明體" w:hAnsi="標楷體" w:cs="Times New Roman" w:hint="eastAsia"/>
                <w:spacing w:val="0"/>
                <w:kern w:val="0"/>
                <w:szCs w:val="20"/>
              </w:rPr>
              <w:t>）</w:t>
            </w:r>
            <w:r w:rsidRPr="00EC4348">
              <w:rPr>
                <w:rFonts w:ascii="新細明體" w:eastAsia="新細明體" w:hAnsi="標楷體" w:cs="Times New Roman" w:hint="eastAsia"/>
                <w:spacing w:val="0"/>
                <w:kern w:val="0"/>
                <w:szCs w:val="20"/>
              </w:rPr>
              <w:t>是否與複受託證券商簽訂複委託契約，完成開戶手續，並檢具證券商同業公會所定相關書件，送交公會同意備查後，始得對該複受託證券商為複委託，並應依報經備查之契約內容執行之。</w:t>
            </w:r>
          </w:p>
          <w:p w:rsidR="00EC4348" w:rsidRDefault="00EC4348" w:rsidP="00EC4348">
            <w:pPr>
              <w:keepNext/>
              <w:adjustRightInd w:val="0"/>
              <w:snapToGrid/>
              <w:spacing w:line="400" w:lineRule="atLeast"/>
              <w:ind w:left="667" w:hangingChars="278" w:hanging="667"/>
              <w:textAlignment w:val="baseline"/>
              <w:rPr>
                <w:rFonts w:ascii="新細明體" w:eastAsia="新細明體" w:hAnsi="標楷體" w:cs="Times New Roman"/>
                <w:spacing w:val="0"/>
                <w:kern w:val="0"/>
                <w:szCs w:val="20"/>
              </w:rPr>
            </w:pPr>
            <w:r w:rsidRPr="0018689D">
              <w:rPr>
                <w:rFonts w:ascii="新細明體" w:eastAsia="新細明體" w:hAnsi="標楷體" w:cs="Times New Roman" w:hint="eastAsia"/>
                <w:spacing w:val="0"/>
                <w:kern w:val="0"/>
                <w:szCs w:val="20"/>
              </w:rPr>
              <w:t>（</w:t>
            </w:r>
            <w:r>
              <w:rPr>
                <w:rFonts w:ascii="新細明體" w:eastAsia="新細明體" w:hAnsi="標楷體" w:cs="Times New Roman" w:hint="eastAsia"/>
                <w:spacing w:val="0"/>
                <w:kern w:val="0"/>
                <w:szCs w:val="20"/>
              </w:rPr>
              <w:t>二</w:t>
            </w:r>
            <w:r w:rsidRPr="0018689D">
              <w:rPr>
                <w:rFonts w:ascii="新細明體" w:eastAsia="新細明體" w:hAnsi="標楷體" w:cs="Times New Roman" w:hint="eastAsia"/>
                <w:spacing w:val="0"/>
                <w:kern w:val="0"/>
                <w:szCs w:val="20"/>
              </w:rPr>
              <w:t>）</w:t>
            </w:r>
            <w:r w:rsidRPr="00EC4348">
              <w:rPr>
                <w:rFonts w:ascii="新細明體" w:eastAsia="新細明體" w:hAnsi="標楷體" w:cs="Times New Roman" w:hint="eastAsia"/>
                <w:spacing w:val="0"/>
                <w:kern w:val="0"/>
                <w:szCs w:val="20"/>
              </w:rPr>
              <w:t>複受託券商、複委託契約或保管機構、保管契約有違約、停止受託買賣及其他不能續行受託買賣之情事時，是否依相關規定辦理。</w:t>
            </w:r>
          </w:p>
          <w:p w:rsidR="00EC4348" w:rsidRPr="00FE1A22" w:rsidRDefault="00EC4348" w:rsidP="00EC4348">
            <w:pPr>
              <w:keepNext/>
              <w:adjustRightInd w:val="0"/>
              <w:snapToGrid/>
              <w:spacing w:line="400" w:lineRule="atLeast"/>
              <w:ind w:left="667" w:hangingChars="278" w:hanging="667"/>
              <w:textAlignment w:val="baseline"/>
              <w:rPr>
                <w:rFonts w:ascii="新細明體" w:eastAsia="新細明體" w:hAnsi="新細明體"/>
                <w:color w:val="FF0000"/>
                <w:spacing w:val="8"/>
                <w:u w:val="single"/>
              </w:rPr>
            </w:pPr>
            <w:r w:rsidRPr="00FE1A22">
              <w:rPr>
                <w:rFonts w:ascii="新細明體" w:eastAsia="新細明體" w:hAnsi="標楷體" w:cs="Times New Roman" w:hint="eastAsia"/>
                <w:color w:val="FF0000"/>
                <w:spacing w:val="0"/>
                <w:kern w:val="0"/>
                <w:szCs w:val="20"/>
                <w:u w:val="single"/>
              </w:rPr>
              <w:t>（三）</w:t>
            </w:r>
            <w:r w:rsidR="007F215D" w:rsidRPr="00FE1A22">
              <w:rPr>
                <w:rFonts w:ascii="新細明體" w:eastAsia="新細明體" w:hAnsi="標楷體" w:cs="Times New Roman" w:hint="eastAsia"/>
                <w:color w:val="FF0000"/>
                <w:spacing w:val="0"/>
                <w:kern w:val="0"/>
                <w:szCs w:val="20"/>
                <w:u w:val="single"/>
              </w:rPr>
              <w:t>當</w:t>
            </w:r>
            <w:r w:rsidR="001346C8" w:rsidRPr="00FE1A22">
              <w:rPr>
                <w:rFonts w:ascii="新細明體" w:eastAsia="新細明體" w:hAnsi="標楷體" w:cs="Times New Roman" w:hint="eastAsia"/>
                <w:color w:val="FF0000"/>
                <w:spacing w:val="0"/>
                <w:kern w:val="0"/>
                <w:szCs w:val="20"/>
                <w:u w:val="single"/>
              </w:rPr>
              <w:t>全球具一定公信力之財經專業媒體</w:t>
            </w:r>
            <w:r w:rsidR="007F215D" w:rsidRPr="00FE1A22">
              <w:rPr>
                <w:rFonts w:ascii="新細明體" w:eastAsia="新細明體" w:hAnsi="標楷體" w:cs="Times New Roman" w:hint="eastAsia"/>
                <w:color w:val="FF0000"/>
                <w:spacing w:val="0"/>
                <w:kern w:val="0"/>
                <w:szCs w:val="20"/>
                <w:u w:val="single"/>
              </w:rPr>
              <w:t>報導</w:t>
            </w:r>
            <w:r w:rsidR="001346C8" w:rsidRPr="00FE1A22">
              <w:rPr>
                <w:rFonts w:ascii="新細明體" w:eastAsia="新細明體" w:hAnsi="標楷體" w:cs="Times New Roman" w:hint="eastAsia"/>
                <w:color w:val="FF0000"/>
                <w:spacing w:val="0"/>
                <w:kern w:val="0"/>
                <w:szCs w:val="20"/>
                <w:u w:val="single"/>
              </w:rPr>
              <w:t>或</w:t>
            </w:r>
            <w:r w:rsidR="007F215D" w:rsidRPr="00FE1A22">
              <w:rPr>
                <w:rFonts w:ascii="新細明體" w:eastAsia="新細明體" w:hAnsi="標楷體" w:cs="Times New Roman" w:hint="eastAsia"/>
                <w:color w:val="FF0000"/>
                <w:spacing w:val="0"/>
                <w:kern w:val="0"/>
                <w:szCs w:val="20"/>
                <w:u w:val="single"/>
              </w:rPr>
              <w:t>從</w:t>
            </w:r>
            <w:r w:rsidR="001346C8" w:rsidRPr="00FE1A22">
              <w:rPr>
                <w:rFonts w:ascii="新細明體" w:eastAsia="新細明體" w:hAnsi="標楷體" w:cs="Times New Roman" w:hint="eastAsia"/>
                <w:color w:val="FF0000"/>
                <w:spacing w:val="0"/>
                <w:kern w:val="0"/>
                <w:szCs w:val="20"/>
                <w:u w:val="single"/>
              </w:rPr>
              <w:t>複受託證券商得知外國有價證券之標的公司發生財務困難情事或複受託證券商本身發生財務困難有違約情事者，</w:t>
            </w:r>
            <w:r w:rsidR="008442FE" w:rsidRPr="00FE1A22">
              <w:rPr>
                <w:rFonts w:ascii="新細明體" w:eastAsia="新細明體" w:hAnsi="標楷體" w:cs="Times New Roman" w:hint="eastAsia"/>
                <w:color w:val="FF0000"/>
                <w:spacing w:val="0"/>
                <w:kern w:val="0"/>
                <w:szCs w:val="20"/>
                <w:u w:val="single"/>
              </w:rPr>
              <w:t>應</w:t>
            </w:r>
            <w:r w:rsidR="00C152A7" w:rsidRPr="00FE1A22">
              <w:rPr>
                <w:rFonts w:ascii="新細明體" w:eastAsia="新細明體" w:hAnsi="標楷體" w:cs="Times New Roman" w:hint="eastAsia"/>
                <w:color w:val="FF0000"/>
                <w:spacing w:val="0"/>
                <w:kern w:val="0"/>
                <w:szCs w:val="20"/>
                <w:u w:val="single"/>
              </w:rPr>
              <w:t>於知悉確認後</w:t>
            </w:r>
            <w:r w:rsidR="001346C8" w:rsidRPr="00FE1A22">
              <w:rPr>
                <w:rFonts w:ascii="新細明體" w:eastAsia="新細明體" w:hAnsi="標楷體" w:cs="Times New Roman" w:hint="eastAsia"/>
                <w:color w:val="FF0000"/>
                <w:spacing w:val="0"/>
                <w:kern w:val="0"/>
                <w:szCs w:val="20"/>
                <w:u w:val="single"/>
              </w:rPr>
              <w:t>立即通報</w:t>
            </w:r>
            <w:r w:rsidR="00171525" w:rsidRPr="00FE1A22">
              <w:rPr>
                <w:rFonts w:ascii="新細明體" w:eastAsia="新細明體" w:hAnsi="標楷體" w:cs="Times New Roman" w:hint="eastAsia"/>
                <w:color w:val="FF0000"/>
                <w:spacing w:val="0"/>
                <w:kern w:val="0"/>
                <w:szCs w:val="20"/>
                <w:u w:val="single"/>
              </w:rPr>
              <w:t>券商</w:t>
            </w:r>
            <w:r w:rsidR="001346C8" w:rsidRPr="00FE1A22">
              <w:rPr>
                <w:rFonts w:ascii="新細明體" w:eastAsia="新細明體" w:hAnsi="標楷體" w:cs="Times New Roman" w:hint="eastAsia"/>
                <w:color w:val="FF0000"/>
                <w:spacing w:val="0"/>
                <w:kern w:val="0"/>
                <w:szCs w:val="20"/>
                <w:u w:val="single"/>
              </w:rPr>
              <w:t>公會。</w:t>
            </w:r>
          </w:p>
          <w:p w:rsidR="00B16398" w:rsidRPr="00B16398" w:rsidRDefault="00B16398" w:rsidP="00B16398">
            <w:pPr>
              <w:spacing w:line="360" w:lineRule="exact"/>
              <w:ind w:left="812" w:right="28" w:hanging="143"/>
              <w:rPr>
                <w:rFonts w:ascii="新細明體" w:eastAsia="新細明體" w:hAnsi="新細明體" w:cstheme="minorBidi"/>
                <w:color w:val="FF0000"/>
                <w:spacing w:val="24"/>
                <w:u w:val="single"/>
              </w:rPr>
            </w:pPr>
            <w:r w:rsidRPr="00B16398">
              <w:rPr>
                <w:rFonts w:ascii="新細明體" w:eastAsia="新細明體" w:hAnsi="標楷體" w:cs="Times New Roman" w:hint="eastAsia"/>
                <w:color w:val="FF0000"/>
                <w:spacing w:val="0"/>
                <w:kern w:val="0"/>
                <w:szCs w:val="20"/>
                <w:u w:val="single"/>
              </w:rPr>
              <w:t>前項通報之外國有價證券不含境外基金。</w:t>
            </w:r>
          </w:p>
          <w:p w:rsidR="004D0647" w:rsidRPr="00B16398" w:rsidRDefault="004D0647" w:rsidP="004D0647">
            <w:pPr>
              <w:keepNext/>
              <w:adjustRightInd w:val="0"/>
              <w:snapToGrid/>
              <w:spacing w:line="400" w:lineRule="atLeast"/>
              <w:ind w:left="667" w:hangingChars="278" w:hanging="667"/>
              <w:textAlignment w:val="baseline"/>
              <w:rPr>
                <w:rFonts w:ascii="新細明體" w:eastAsia="新細明體" w:hAnsi="標楷體" w:cs="Times New Roman"/>
                <w:spacing w:val="0"/>
                <w:kern w:val="0"/>
                <w:szCs w:val="20"/>
              </w:rPr>
            </w:pPr>
          </w:p>
          <w:p w:rsidR="004D0647" w:rsidRPr="00FE1A22" w:rsidRDefault="004D0647" w:rsidP="004D0647">
            <w:pPr>
              <w:spacing w:line="400" w:lineRule="atLeast"/>
              <w:ind w:left="463" w:hanging="463"/>
              <w:rPr>
                <w:rFonts w:ascii="新細明體" w:eastAsia="新細明體" w:hAnsi="新細明體" w:cstheme="minorBidi"/>
                <w:color w:val="FF0000"/>
                <w:u w:val="single"/>
              </w:rPr>
            </w:pPr>
          </w:p>
        </w:tc>
        <w:tc>
          <w:tcPr>
            <w:tcW w:w="5425" w:type="dxa"/>
            <w:tcBorders>
              <w:bottom w:val="single" w:sz="12" w:space="0" w:color="auto"/>
            </w:tcBorders>
          </w:tcPr>
          <w:p w:rsidR="0018689D" w:rsidRPr="0018689D" w:rsidRDefault="0018689D" w:rsidP="0018689D">
            <w:pPr>
              <w:keepNext/>
              <w:spacing w:line="400" w:lineRule="atLeast"/>
              <w:rPr>
                <w:rFonts w:ascii="新細明體" w:eastAsia="新細明體" w:hAnsi="新細明體"/>
              </w:rPr>
            </w:pPr>
            <w:r w:rsidRPr="0018689D">
              <w:rPr>
                <w:rFonts w:ascii="新細明體" w:eastAsia="新細明體" w:hAnsi="新細明體" w:hint="eastAsia"/>
              </w:rPr>
              <w:lastRenderedPageBreak/>
              <w:t>一、作業程序</w:t>
            </w:r>
          </w:p>
          <w:p w:rsidR="0018689D" w:rsidRDefault="0018689D" w:rsidP="0018689D">
            <w:pPr>
              <w:pStyle w:val="HTML1"/>
              <w:spacing w:line="400" w:lineRule="atLeast"/>
              <w:ind w:left="634" w:hanging="634"/>
              <w:rPr>
                <w:rFonts w:ascii="新細明體" w:eastAsia="新細明體" w:hAnsi="標楷體"/>
                <w:color w:val="auto"/>
                <w:sz w:val="24"/>
              </w:rPr>
            </w:pPr>
            <w:r>
              <w:rPr>
                <w:rFonts w:ascii="新細明體" w:eastAsia="新細明體" w:hAnsi="新細明體" w:hint="eastAsia"/>
                <w:color w:val="auto"/>
                <w:sz w:val="24"/>
              </w:rPr>
              <w:t>………</w:t>
            </w:r>
          </w:p>
          <w:p w:rsidR="0018689D" w:rsidRDefault="0018689D" w:rsidP="0018689D">
            <w:pPr>
              <w:pStyle w:val="HTML1"/>
              <w:spacing w:line="400" w:lineRule="atLeast"/>
              <w:ind w:left="634" w:hanging="634"/>
              <w:rPr>
                <w:rFonts w:ascii="新細明體" w:eastAsia="新細明體" w:hAnsi="標楷體"/>
                <w:color w:val="auto"/>
                <w:sz w:val="24"/>
              </w:rPr>
            </w:pPr>
            <w:r>
              <w:rPr>
                <w:rFonts w:ascii="新細明體" w:eastAsia="新細明體" w:hAnsi="標楷體" w:hint="eastAsia"/>
                <w:color w:val="auto"/>
                <w:sz w:val="24"/>
              </w:rPr>
              <w:t>（十）公司未能依第（九）條規定辦理了結及轉存事宜者，應即委任其他得辦理外國有價證券受託或複委託買賣業務之證券商，辦理有關款券之代收、代付、領回、匯撥或轉存之作業手續及其他聯繫協調事宜；代辦事務所需有關交易交割及保管之明細表冊紀錄憑據，應配合提供。</w:t>
            </w:r>
          </w:p>
          <w:p w:rsidR="0018689D" w:rsidRDefault="0018689D" w:rsidP="0018689D">
            <w:pPr>
              <w:pStyle w:val="HTML1"/>
              <w:spacing w:line="400" w:lineRule="atLeast"/>
              <w:ind w:left="634" w:hanging="634"/>
              <w:rPr>
                <w:rFonts w:ascii="新細明體" w:eastAsia="新細明體" w:hAnsi="標楷體"/>
                <w:color w:val="auto"/>
                <w:sz w:val="24"/>
              </w:rPr>
            </w:pPr>
            <w:r>
              <w:rPr>
                <w:rFonts w:ascii="新細明體" w:eastAsia="新細明體" w:hAnsi="標楷體"/>
                <w:color w:val="auto"/>
                <w:sz w:val="24"/>
              </w:rPr>
              <w:t xml:space="preserve">     </w:t>
            </w:r>
            <w:r>
              <w:rPr>
                <w:rFonts w:ascii="新細明體" w:eastAsia="新細明體" w:hAnsi="標楷體" w:hint="eastAsia"/>
                <w:color w:val="auto"/>
                <w:sz w:val="24"/>
              </w:rPr>
              <w:t>公司已收取之待交割或待轉存款券，應撥入代辦證商券於金融機構及證券保管機構開立之款券保管專戶；尚未收取之款券，並由代辦證券商逕行收取存入專戶，以憑代辦前項事宜。</w:t>
            </w:r>
          </w:p>
          <w:p w:rsidR="0018689D" w:rsidRDefault="0018689D" w:rsidP="0018689D">
            <w:pPr>
              <w:pStyle w:val="HTML1"/>
              <w:tabs>
                <w:tab w:val="clear" w:pos="916"/>
                <w:tab w:val="left" w:pos="634"/>
              </w:tabs>
              <w:spacing w:line="400" w:lineRule="atLeast"/>
              <w:ind w:left="634"/>
              <w:rPr>
                <w:rFonts w:ascii="新細明體" w:eastAsia="新細明體" w:hAnsi="標楷體"/>
                <w:color w:val="auto"/>
                <w:sz w:val="24"/>
              </w:rPr>
            </w:pPr>
            <w:r>
              <w:rPr>
                <w:rFonts w:ascii="新細明體" w:eastAsia="新細明體" w:hAnsi="標楷體" w:hint="eastAsia"/>
                <w:color w:val="auto"/>
                <w:sz w:val="24"/>
              </w:rPr>
              <w:t>公司對於前二項之委任及處置情形，應會同代辦證券商函報券商公會轉報主管機關備查，並分別通知有關之委託人、複受託證券商及保管機構。</w:t>
            </w:r>
          </w:p>
          <w:p w:rsidR="0037579E" w:rsidRDefault="0018689D" w:rsidP="0018689D">
            <w:pPr>
              <w:spacing w:line="360" w:lineRule="exact"/>
              <w:ind w:left="631" w:right="28"/>
              <w:rPr>
                <w:rFonts w:ascii="新細明體" w:eastAsia="新細明體" w:hAnsi="新細明體" w:cstheme="minorBidi"/>
                <w:color w:val="000000"/>
              </w:rPr>
            </w:pPr>
            <w:r>
              <w:rPr>
                <w:rFonts w:ascii="新細明體" w:eastAsia="新細明體" w:hAnsi="標楷體" w:hint="eastAsia"/>
              </w:rPr>
              <w:t>前三項委任代辦之意旨及通知義務，應於受託契約、複委託契約及保管契約載明之。</w:t>
            </w:r>
          </w:p>
          <w:p w:rsidR="0037579E" w:rsidRDefault="0037579E">
            <w:pPr>
              <w:spacing w:line="360" w:lineRule="exact"/>
              <w:ind w:left="782" w:right="28" w:hanging="754"/>
              <w:rPr>
                <w:rFonts w:ascii="新細明體" w:eastAsia="新細明體" w:hAnsi="新細明體" w:cstheme="minorBidi"/>
                <w:color w:val="000000"/>
              </w:rPr>
            </w:pPr>
          </w:p>
          <w:p w:rsidR="0037579E" w:rsidRPr="00967EE3" w:rsidRDefault="00967EE3">
            <w:pPr>
              <w:spacing w:line="360" w:lineRule="exact"/>
              <w:ind w:left="782" w:right="28" w:hanging="754"/>
              <w:rPr>
                <w:rFonts w:ascii="新細明體" w:eastAsia="新細明體" w:hAnsi="新細明體" w:cstheme="minorBidi"/>
                <w:color w:val="FF0000"/>
              </w:rPr>
            </w:pPr>
            <w:r>
              <w:rPr>
                <w:rFonts w:ascii="新細明體" w:eastAsia="新細明體" w:hAnsi="新細明體" w:cstheme="minorBidi" w:hint="eastAsia"/>
                <w:color w:val="FF0000"/>
              </w:rPr>
              <w:t>（</w:t>
            </w:r>
            <w:r w:rsidRPr="00967EE3">
              <w:rPr>
                <w:rFonts w:ascii="新細明體" w:eastAsia="新細明體" w:hAnsi="新細明體" w:cstheme="minorBidi" w:hint="eastAsia"/>
                <w:color w:val="FF0000"/>
              </w:rPr>
              <w:t>新增</w:t>
            </w:r>
            <w:r>
              <w:rPr>
                <w:rFonts w:ascii="新細明體" w:eastAsia="新細明體" w:hAnsi="新細明體" w:cstheme="minorBidi" w:hint="eastAsia"/>
                <w:color w:val="FF0000"/>
              </w:rPr>
              <w:t>）</w:t>
            </w:r>
          </w:p>
          <w:p w:rsidR="0037579E" w:rsidRDefault="0037579E">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7C74FF" w:rsidRDefault="007C74FF" w:rsidP="00967EE3">
            <w:pPr>
              <w:spacing w:line="360" w:lineRule="exact"/>
              <w:ind w:left="782" w:right="28" w:hanging="754"/>
              <w:rPr>
                <w:rFonts w:ascii="新細明體" w:eastAsia="新細明體" w:hAnsi="新細明體" w:cstheme="minorBidi"/>
                <w:color w:val="FF0000"/>
              </w:rPr>
            </w:pPr>
          </w:p>
          <w:p w:rsidR="00967EE3" w:rsidRPr="00967EE3" w:rsidRDefault="00967EE3" w:rsidP="00967EE3">
            <w:pPr>
              <w:spacing w:line="360" w:lineRule="exact"/>
              <w:ind w:left="782" w:right="28" w:hanging="754"/>
              <w:rPr>
                <w:rFonts w:ascii="新細明體" w:eastAsia="新細明體" w:hAnsi="新細明體" w:cstheme="minorBidi"/>
                <w:color w:val="FF0000"/>
              </w:rPr>
            </w:pPr>
            <w:r>
              <w:rPr>
                <w:rFonts w:ascii="新細明體" w:eastAsia="新細明體" w:hAnsi="新細明體" w:cstheme="minorBidi" w:hint="eastAsia"/>
                <w:color w:val="FF0000"/>
              </w:rPr>
              <w:t>（</w:t>
            </w:r>
            <w:r w:rsidRPr="00967EE3">
              <w:rPr>
                <w:rFonts w:ascii="新細明體" w:eastAsia="新細明體" w:hAnsi="新細明體" w:cstheme="minorBidi" w:hint="eastAsia"/>
                <w:color w:val="FF0000"/>
              </w:rPr>
              <w:t>新增</w:t>
            </w:r>
            <w:r>
              <w:rPr>
                <w:rFonts w:ascii="新細明體" w:eastAsia="新細明體" w:hAnsi="新細明體" w:cstheme="minorBidi" w:hint="eastAsia"/>
                <w:color w:val="FF0000"/>
              </w:rPr>
              <w:t>）</w:t>
            </w: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967EE3" w:rsidRDefault="00967EE3">
            <w:pPr>
              <w:spacing w:line="360" w:lineRule="exact"/>
              <w:ind w:left="782" w:right="28" w:hanging="754"/>
              <w:rPr>
                <w:rFonts w:ascii="新細明體" w:eastAsia="新細明體" w:hAnsi="新細明體" w:cstheme="minorBidi"/>
                <w:color w:val="000000"/>
              </w:rPr>
            </w:pPr>
          </w:p>
          <w:p w:rsidR="004D0647" w:rsidRDefault="004D0647">
            <w:pPr>
              <w:spacing w:line="360" w:lineRule="exact"/>
              <w:ind w:left="782" w:right="28" w:hanging="754"/>
              <w:rPr>
                <w:rFonts w:ascii="新細明體" w:eastAsia="新細明體" w:hAnsi="新細明體" w:cstheme="minorBidi"/>
                <w:color w:val="000000"/>
              </w:rPr>
            </w:pPr>
          </w:p>
          <w:p w:rsidR="004D0647" w:rsidRDefault="004D0647" w:rsidP="00B95394">
            <w:pPr>
              <w:spacing w:line="360" w:lineRule="exact"/>
              <w:ind w:left="782" w:right="28" w:hanging="754"/>
              <w:rPr>
                <w:rFonts w:ascii="新細明體" w:eastAsia="新細明體" w:hAnsi="新細明體" w:cstheme="minorBidi" w:hint="eastAsia"/>
                <w:color w:val="000000"/>
              </w:rPr>
            </w:pPr>
          </w:p>
          <w:p w:rsidR="00B95394" w:rsidRDefault="00B95394" w:rsidP="00B95394">
            <w:pPr>
              <w:spacing w:line="360" w:lineRule="exact"/>
              <w:ind w:left="782" w:right="28" w:hanging="754"/>
              <w:rPr>
                <w:rFonts w:ascii="新細明體" w:eastAsia="新細明體" w:hAnsi="新細明體" w:cstheme="minorBidi"/>
                <w:color w:val="000000"/>
              </w:rPr>
            </w:pPr>
          </w:p>
        </w:tc>
        <w:tc>
          <w:tcPr>
            <w:tcW w:w="1820" w:type="dxa"/>
            <w:tcBorders>
              <w:bottom w:val="single" w:sz="12" w:space="0" w:color="auto"/>
            </w:tcBorders>
          </w:tcPr>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9F1A6E" w:rsidRDefault="009F1A6E" w:rsidP="00EC4348">
            <w:pPr>
              <w:spacing w:line="360" w:lineRule="exact"/>
              <w:ind w:left="28" w:right="28"/>
              <w:rPr>
                <w:rFonts w:asciiTheme="minorEastAsia" w:eastAsiaTheme="minorEastAsia" w:hAnsiTheme="minorEastAsia"/>
                <w:u w:val="single"/>
              </w:rPr>
            </w:pPr>
          </w:p>
          <w:p w:rsidR="0037579E" w:rsidRPr="00F9279B" w:rsidRDefault="009F1A6E" w:rsidP="00EC4348">
            <w:pPr>
              <w:spacing w:line="360" w:lineRule="exact"/>
              <w:ind w:left="28" w:right="28"/>
              <w:rPr>
                <w:rFonts w:ascii="新細明體" w:eastAsia="新細明體" w:hAnsi="新細明體" w:cstheme="minorBidi"/>
                <w:color w:val="000000" w:themeColor="text1"/>
              </w:rPr>
            </w:pPr>
            <w:r w:rsidRPr="00F9279B">
              <w:rPr>
                <w:rFonts w:asciiTheme="minorEastAsia" w:eastAsiaTheme="minorEastAsia" w:hAnsiTheme="minorEastAsia" w:hint="eastAsia"/>
                <w:color w:val="000000" w:themeColor="text1"/>
              </w:rPr>
              <w:t>依</w:t>
            </w:r>
            <w:r w:rsidR="00EC4348" w:rsidRPr="00F9279B">
              <w:rPr>
                <w:rFonts w:asciiTheme="minorEastAsia" w:eastAsiaTheme="minorEastAsia" w:hAnsiTheme="minorEastAsia" w:hint="eastAsia"/>
                <w:color w:val="000000" w:themeColor="text1"/>
              </w:rPr>
              <w:t>券商公會證券商受託買賣</w:t>
            </w:r>
            <w:r w:rsidR="00EC4348" w:rsidRPr="00F9279B">
              <w:rPr>
                <w:rFonts w:asciiTheme="minorEastAsia" w:eastAsiaTheme="minorEastAsia" w:hAnsiTheme="minorEastAsia" w:hint="eastAsia"/>
                <w:color w:val="000000" w:themeColor="text1"/>
              </w:rPr>
              <w:lastRenderedPageBreak/>
              <w:t>外國有價證券管理辦法第</w:t>
            </w:r>
            <w:r w:rsidR="00EC4348" w:rsidRPr="00F9279B">
              <w:rPr>
                <w:rFonts w:asciiTheme="minorEastAsia" w:eastAsiaTheme="minorEastAsia" w:hAnsiTheme="minorEastAsia"/>
                <w:color w:val="000000" w:themeColor="text1"/>
              </w:rPr>
              <w:t>20</w:t>
            </w:r>
            <w:r w:rsidR="00EC4348" w:rsidRPr="00F9279B">
              <w:rPr>
                <w:rFonts w:asciiTheme="minorEastAsia" w:eastAsiaTheme="minorEastAsia" w:hAnsiTheme="minorEastAsia" w:hint="eastAsia"/>
                <w:color w:val="000000" w:themeColor="text1"/>
              </w:rPr>
              <w:t>條之</w:t>
            </w:r>
            <w:r w:rsidR="00EC4348" w:rsidRPr="00F9279B">
              <w:rPr>
                <w:rFonts w:asciiTheme="minorEastAsia" w:eastAsiaTheme="minorEastAsia" w:hAnsiTheme="minorEastAsia"/>
                <w:color w:val="000000" w:themeColor="text1"/>
              </w:rPr>
              <w:t>1</w:t>
            </w:r>
            <w:r w:rsidRPr="00F9279B">
              <w:rPr>
                <w:rFonts w:asciiTheme="minorEastAsia" w:eastAsiaTheme="minorEastAsia" w:hAnsiTheme="minorEastAsia" w:hint="eastAsia"/>
                <w:color w:val="000000" w:themeColor="text1"/>
              </w:rPr>
              <w:t>規定新增</w:t>
            </w: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37579E" w:rsidRDefault="0037579E">
            <w:pPr>
              <w:spacing w:line="360" w:lineRule="exact"/>
              <w:ind w:left="28" w:right="28"/>
              <w:rPr>
                <w:rFonts w:ascii="新細明體" w:eastAsia="新細明體" w:hAnsi="新細明體" w:cstheme="minorBidi"/>
                <w:color w:val="000000"/>
              </w:rPr>
            </w:pPr>
          </w:p>
          <w:p w:rsidR="009F1A6E" w:rsidRDefault="009F1A6E">
            <w:pPr>
              <w:spacing w:line="360" w:lineRule="exact"/>
              <w:ind w:left="28" w:right="28"/>
              <w:rPr>
                <w:rFonts w:ascii="新細明體" w:eastAsia="新細明體" w:hAnsi="新細明體" w:cstheme="minorBidi"/>
                <w:color w:val="000000"/>
              </w:rPr>
            </w:pPr>
          </w:p>
          <w:p w:rsidR="009F1A6E" w:rsidRDefault="009F1A6E">
            <w:pPr>
              <w:spacing w:line="360" w:lineRule="exact"/>
              <w:ind w:left="28" w:right="28"/>
              <w:rPr>
                <w:rFonts w:ascii="新細明體" w:eastAsia="新細明體" w:hAnsi="新細明體" w:cstheme="minorBidi"/>
                <w:color w:val="000000"/>
              </w:rPr>
            </w:pPr>
          </w:p>
          <w:p w:rsidR="007C74FF" w:rsidRDefault="007C74FF">
            <w:pPr>
              <w:spacing w:line="360" w:lineRule="exact"/>
              <w:ind w:left="28" w:right="28"/>
              <w:rPr>
                <w:rFonts w:asciiTheme="minorEastAsia" w:eastAsiaTheme="minorEastAsia" w:hAnsiTheme="minorEastAsia"/>
                <w:color w:val="000000" w:themeColor="text1"/>
              </w:rPr>
            </w:pPr>
          </w:p>
          <w:p w:rsidR="009F1A6E" w:rsidRDefault="009F1A6E">
            <w:pPr>
              <w:spacing w:line="360" w:lineRule="exact"/>
              <w:ind w:left="28" w:right="28"/>
              <w:rPr>
                <w:rFonts w:ascii="新細明體" w:eastAsia="新細明體" w:hAnsi="新細明體" w:cstheme="minorBidi"/>
                <w:color w:val="000000"/>
              </w:rPr>
            </w:pPr>
          </w:p>
          <w:p w:rsidR="009F1A6E" w:rsidRDefault="009F1A6E">
            <w:pPr>
              <w:spacing w:line="360" w:lineRule="exact"/>
              <w:ind w:left="28" w:right="28"/>
              <w:rPr>
                <w:rFonts w:ascii="新細明體" w:eastAsia="新細明體" w:hAnsi="新細明體" w:cstheme="minorBidi"/>
                <w:color w:val="000000"/>
              </w:rPr>
            </w:pPr>
          </w:p>
          <w:p w:rsidR="009F1A6E" w:rsidRDefault="009F1A6E" w:rsidP="00B95394">
            <w:pPr>
              <w:spacing w:line="360" w:lineRule="exact"/>
              <w:ind w:left="28" w:right="28"/>
              <w:rPr>
                <w:rFonts w:ascii="新細明體" w:eastAsia="新細明體" w:hAnsi="新細明體" w:cstheme="minorBidi"/>
                <w:color w:val="000000"/>
              </w:rPr>
            </w:pPr>
          </w:p>
        </w:tc>
      </w:tr>
    </w:tbl>
    <w:p w:rsidR="007C74FF" w:rsidRDefault="007C74FF">
      <w:pPr>
        <w:widowControl/>
        <w:snapToGrid/>
        <w:spacing w:line="240" w:lineRule="auto"/>
        <w:jc w:val="left"/>
        <w:rPr>
          <w:rFonts w:ascii="新細明體" w:eastAsia="新細明體" w:hAnsi="Arial" w:cs="新細明體"/>
          <w:b/>
          <w:bCs/>
          <w:color w:val="000000"/>
          <w:kern w:val="52"/>
          <w:sz w:val="36"/>
          <w:szCs w:val="36"/>
        </w:rPr>
      </w:pPr>
      <w:r>
        <w:rPr>
          <w:rFonts w:ascii="新細明體" w:eastAsia="新細明體" w:cs="新細明體"/>
          <w:color w:val="000000"/>
        </w:rPr>
        <w:lastRenderedPageBreak/>
        <w:br w:type="page"/>
      </w:r>
    </w:p>
    <w:sectPr w:rsidR="007C74FF" w:rsidSect="00D374AB">
      <w:pgSz w:w="16840" w:h="11907" w:orient="landscape" w:code="9"/>
      <w:pgMar w:top="1021" w:right="964" w:bottom="964" w:left="1021" w:header="851" w:footer="8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53E" w:rsidRDefault="0019553E">
      <w:pPr>
        <w:spacing w:line="240" w:lineRule="auto"/>
      </w:pPr>
    </w:p>
  </w:endnote>
  <w:endnote w:type="continuationSeparator" w:id="0">
    <w:p w:rsidR="0019553E" w:rsidRDefault="0019553E">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53E" w:rsidRDefault="0019553E">
      <w:pPr>
        <w:spacing w:line="240" w:lineRule="auto"/>
      </w:pPr>
    </w:p>
  </w:footnote>
  <w:footnote w:type="continuationSeparator" w:id="0">
    <w:p w:rsidR="0019553E" w:rsidRDefault="0019553E">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A718B"/>
    <w:multiLevelType w:val="multilevel"/>
    <w:tmpl w:val="508CA08A"/>
    <w:lvl w:ilvl="0">
      <w:start w:val="1"/>
      <w:numFmt w:val="taiwaneseCountingThousand"/>
      <w:lvlText w:val="（%1）"/>
      <w:lvlJc w:val="left"/>
      <w:pPr>
        <w:tabs>
          <w:tab w:val="num" w:pos="2672"/>
        </w:tabs>
        <w:ind w:left="2672" w:hanging="840"/>
      </w:pPr>
      <w:rPr>
        <w:rFonts w:cs="Times New Roman" w:hint="eastAsia"/>
      </w:rPr>
    </w:lvl>
    <w:lvl w:ilvl="1">
      <w:start w:val="1"/>
      <w:numFmt w:val="ideographTraditional"/>
      <w:lvlText w:val="%2、"/>
      <w:lvlJc w:val="left"/>
      <w:pPr>
        <w:tabs>
          <w:tab w:val="num" w:pos="2792"/>
        </w:tabs>
        <w:ind w:left="2792" w:hanging="480"/>
      </w:pPr>
      <w:rPr>
        <w:rFonts w:cs="Times New Roman"/>
      </w:rPr>
    </w:lvl>
    <w:lvl w:ilvl="2">
      <w:start w:val="1"/>
      <w:numFmt w:val="lowerRoman"/>
      <w:lvlText w:val="%3."/>
      <w:lvlJc w:val="right"/>
      <w:pPr>
        <w:tabs>
          <w:tab w:val="num" w:pos="3272"/>
        </w:tabs>
        <w:ind w:left="3272" w:hanging="480"/>
      </w:pPr>
      <w:rPr>
        <w:rFonts w:cs="Times New Roman"/>
      </w:rPr>
    </w:lvl>
    <w:lvl w:ilvl="3">
      <w:start w:val="1"/>
      <w:numFmt w:val="decimal"/>
      <w:lvlText w:val="%4."/>
      <w:lvlJc w:val="left"/>
      <w:pPr>
        <w:tabs>
          <w:tab w:val="num" w:pos="3752"/>
        </w:tabs>
        <w:ind w:left="3752" w:hanging="480"/>
      </w:pPr>
      <w:rPr>
        <w:rFonts w:cs="Times New Roman"/>
      </w:rPr>
    </w:lvl>
    <w:lvl w:ilvl="4">
      <w:start w:val="1"/>
      <w:numFmt w:val="ideographTraditional"/>
      <w:lvlText w:val="%5、"/>
      <w:lvlJc w:val="left"/>
      <w:pPr>
        <w:tabs>
          <w:tab w:val="num" w:pos="4232"/>
        </w:tabs>
        <w:ind w:left="4232" w:hanging="480"/>
      </w:pPr>
      <w:rPr>
        <w:rFonts w:cs="Times New Roman"/>
      </w:rPr>
    </w:lvl>
    <w:lvl w:ilvl="5">
      <w:start w:val="1"/>
      <w:numFmt w:val="lowerRoman"/>
      <w:lvlText w:val="%6."/>
      <w:lvlJc w:val="right"/>
      <w:pPr>
        <w:tabs>
          <w:tab w:val="num" w:pos="4712"/>
        </w:tabs>
        <w:ind w:left="4712" w:hanging="480"/>
      </w:pPr>
      <w:rPr>
        <w:rFonts w:cs="Times New Roman"/>
      </w:rPr>
    </w:lvl>
    <w:lvl w:ilvl="6">
      <w:start w:val="1"/>
      <w:numFmt w:val="decimal"/>
      <w:lvlText w:val="%7."/>
      <w:lvlJc w:val="left"/>
      <w:pPr>
        <w:tabs>
          <w:tab w:val="num" w:pos="5192"/>
        </w:tabs>
        <w:ind w:left="5192" w:hanging="480"/>
      </w:pPr>
      <w:rPr>
        <w:rFonts w:cs="Times New Roman"/>
      </w:rPr>
    </w:lvl>
    <w:lvl w:ilvl="7">
      <w:start w:val="1"/>
      <w:numFmt w:val="ideographTraditional"/>
      <w:lvlText w:val="%8、"/>
      <w:lvlJc w:val="left"/>
      <w:pPr>
        <w:tabs>
          <w:tab w:val="num" w:pos="5672"/>
        </w:tabs>
        <w:ind w:left="5672" w:hanging="480"/>
      </w:pPr>
      <w:rPr>
        <w:rFonts w:cs="Times New Roman"/>
      </w:rPr>
    </w:lvl>
    <w:lvl w:ilvl="8">
      <w:start w:val="1"/>
      <w:numFmt w:val="lowerRoman"/>
      <w:lvlText w:val="%9."/>
      <w:lvlJc w:val="right"/>
      <w:pPr>
        <w:tabs>
          <w:tab w:val="num" w:pos="6152"/>
        </w:tabs>
        <w:ind w:left="6152" w:hanging="480"/>
      </w:pPr>
      <w:rPr>
        <w:rFonts w:cs="Times New Roman"/>
      </w:rPr>
    </w:lvl>
  </w:abstractNum>
  <w:abstractNum w:abstractNumId="1">
    <w:nsid w:val="10DB4ADC"/>
    <w:multiLevelType w:val="singleLevel"/>
    <w:tmpl w:val="17EC2A1C"/>
    <w:lvl w:ilvl="0">
      <w:start w:val="1"/>
      <w:numFmt w:val="taiwaneseCountingThousand"/>
      <w:lvlText w:val="（%1）"/>
      <w:lvlJc w:val="left"/>
      <w:pPr>
        <w:tabs>
          <w:tab w:val="num" w:pos="904"/>
        </w:tabs>
        <w:ind w:left="904" w:hanging="876"/>
      </w:pPr>
      <w:rPr>
        <w:rFonts w:cs="Times New Roman" w:hint="eastAsia"/>
      </w:rPr>
    </w:lvl>
  </w:abstractNum>
  <w:abstractNum w:abstractNumId="2">
    <w:nsid w:val="122D758D"/>
    <w:multiLevelType w:val="singleLevel"/>
    <w:tmpl w:val="D83E8314"/>
    <w:lvl w:ilvl="0">
      <w:start w:val="1"/>
      <w:numFmt w:val="decimal"/>
      <w:lvlText w:val="%1."/>
      <w:lvlJc w:val="left"/>
      <w:pPr>
        <w:tabs>
          <w:tab w:val="num" w:pos="1007"/>
        </w:tabs>
        <w:ind w:left="1007" w:hanging="195"/>
      </w:pPr>
      <w:rPr>
        <w:rFonts w:ascii="新細明體" w:eastAsia="新細明體" w:cs="Times New Roman" w:hint="eastAsia"/>
        <w:color w:val="FF0000"/>
        <w:u w:val="single"/>
      </w:rPr>
    </w:lvl>
  </w:abstractNum>
  <w:abstractNum w:abstractNumId="3">
    <w:nsid w:val="136E18A7"/>
    <w:multiLevelType w:val="singleLevel"/>
    <w:tmpl w:val="F2BEE7CE"/>
    <w:lvl w:ilvl="0">
      <w:start w:val="1"/>
      <w:numFmt w:val="decimal"/>
      <w:lvlText w:val="%1."/>
      <w:lvlJc w:val="left"/>
      <w:pPr>
        <w:tabs>
          <w:tab w:val="num" w:pos="747"/>
        </w:tabs>
        <w:ind w:left="747" w:hanging="195"/>
      </w:pPr>
      <w:rPr>
        <w:rFonts w:cs="Times New Roman" w:hint="eastAsia"/>
      </w:rPr>
    </w:lvl>
  </w:abstractNum>
  <w:abstractNum w:abstractNumId="4">
    <w:nsid w:val="16975A5D"/>
    <w:multiLevelType w:val="singleLevel"/>
    <w:tmpl w:val="F5D6A108"/>
    <w:lvl w:ilvl="0">
      <w:start w:val="1"/>
      <w:numFmt w:val="taiwaneseCountingThousand"/>
      <w:lvlText w:val="（%1）"/>
      <w:lvlJc w:val="left"/>
      <w:pPr>
        <w:tabs>
          <w:tab w:val="num" w:pos="808"/>
        </w:tabs>
        <w:ind w:left="808" w:hanging="780"/>
      </w:pPr>
      <w:rPr>
        <w:rFonts w:cs="Times New Roman" w:hint="eastAsia"/>
      </w:rPr>
    </w:lvl>
  </w:abstractNum>
  <w:abstractNum w:abstractNumId="5">
    <w:nsid w:val="22B5442D"/>
    <w:multiLevelType w:val="singleLevel"/>
    <w:tmpl w:val="89702BA4"/>
    <w:lvl w:ilvl="0">
      <w:start w:val="1"/>
      <w:numFmt w:val="decimal"/>
      <w:lvlText w:val="%1."/>
      <w:lvlJc w:val="left"/>
      <w:pPr>
        <w:tabs>
          <w:tab w:val="num" w:pos="1084"/>
        </w:tabs>
        <w:ind w:left="1084" w:hanging="384"/>
      </w:pPr>
      <w:rPr>
        <w:rFonts w:ascii="新細明體" w:eastAsia="新細明體" w:cs="Times New Roman" w:hint="eastAsia"/>
      </w:rPr>
    </w:lvl>
  </w:abstractNum>
  <w:abstractNum w:abstractNumId="6">
    <w:nsid w:val="2F02148F"/>
    <w:multiLevelType w:val="hybridMultilevel"/>
    <w:tmpl w:val="A15233F0"/>
    <w:lvl w:ilvl="0" w:tplc="4FE80F06">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32EA67CF"/>
    <w:multiLevelType w:val="singleLevel"/>
    <w:tmpl w:val="60E831F0"/>
    <w:lvl w:ilvl="0">
      <w:start w:val="1"/>
      <w:numFmt w:val="decimal"/>
      <w:lvlText w:val="(%1)"/>
      <w:lvlJc w:val="left"/>
      <w:pPr>
        <w:tabs>
          <w:tab w:val="num" w:pos="1372"/>
        </w:tabs>
        <w:ind w:left="1372" w:hanging="504"/>
      </w:pPr>
      <w:rPr>
        <w:rFonts w:eastAsia="新細明體" w:cs="Times New Roman" w:hint="eastAsia"/>
        <w:color w:val="auto"/>
      </w:rPr>
    </w:lvl>
  </w:abstractNum>
  <w:abstractNum w:abstractNumId="8">
    <w:nsid w:val="3A41225B"/>
    <w:multiLevelType w:val="singleLevel"/>
    <w:tmpl w:val="5A4EFA4E"/>
    <w:lvl w:ilvl="0">
      <w:start w:val="1"/>
      <w:numFmt w:val="decimal"/>
      <w:lvlText w:val="%1."/>
      <w:lvlJc w:val="left"/>
      <w:pPr>
        <w:tabs>
          <w:tab w:val="num" w:pos="1108"/>
        </w:tabs>
        <w:ind w:left="1108" w:hanging="405"/>
      </w:pPr>
      <w:rPr>
        <w:rFonts w:cs="Times New Roman" w:hint="eastAsia"/>
      </w:rPr>
    </w:lvl>
  </w:abstractNum>
  <w:abstractNum w:abstractNumId="9">
    <w:nsid w:val="41CC78C5"/>
    <w:multiLevelType w:val="multilevel"/>
    <w:tmpl w:val="2E3AB764"/>
    <w:lvl w:ilvl="0">
      <w:start w:val="1"/>
      <w:numFmt w:val="taiwaneseCountingThousand"/>
      <w:suff w:val="space"/>
      <w:lvlText w:val="%1、"/>
      <w:lvlJc w:val="left"/>
      <w:pPr>
        <w:ind w:left="567" w:hanging="567"/>
      </w:pPr>
      <w:rPr>
        <w:rFonts w:cs="Times New Roman" w:hint="eastAsia"/>
      </w:rPr>
    </w:lvl>
    <w:lvl w:ilvl="1">
      <w:start w:val="1"/>
      <w:numFmt w:val="taiwaneseCountingThousand"/>
      <w:suff w:val="space"/>
      <w:lvlText w:val="(%2)"/>
      <w:lvlJc w:val="left"/>
      <w:pPr>
        <w:ind w:left="1123" w:hanging="556"/>
      </w:pPr>
      <w:rPr>
        <w:rFonts w:cs="Times New Roman" w:hint="eastAsia"/>
      </w:rPr>
    </w:lvl>
    <w:lvl w:ilvl="2">
      <w:start w:val="1"/>
      <w:numFmt w:val="decimal"/>
      <w:lvlText w:val="%3."/>
      <w:lvlJc w:val="left"/>
      <w:pPr>
        <w:tabs>
          <w:tab w:val="num" w:pos="1588"/>
        </w:tabs>
        <w:ind w:left="1588" w:hanging="454"/>
      </w:pPr>
      <w:rPr>
        <w:rFonts w:cs="Times New Roman" w:hint="eastAsia"/>
      </w:rPr>
    </w:lvl>
    <w:lvl w:ilvl="3">
      <w:start w:val="1"/>
      <w:numFmt w:val="decimal"/>
      <w:lvlText w:val="(%4) "/>
      <w:lvlJc w:val="left"/>
      <w:pPr>
        <w:tabs>
          <w:tab w:val="num" w:pos="2126"/>
        </w:tabs>
        <w:ind w:left="2126" w:hanging="595"/>
      </w:pPr>
      <w:rPr>
        <w:rFonts w:cs="Times New Roman" w:hint="eastAsia"/>
      </w:rPr>
    </w:lvl>
    <w:lvl w:ilvl="4">
      <w:start w:val="1"/>
      <w:numFmt w:val="upperLetter"/>
      <w:suff w:val="space"/>
      <w:lvlText w:val="%5."/>
      <w:lvlJc w:val="left"/>
      <w:pPr>
        <w:ind w:left="2041" w:firstLine="170"/>
      </w:pPr>
      <w:rPr>
        <w:rFonts w:cs="Times New Roman" w:hint="eastAsia"/>
      </w:rPr>
    </w:lvl>
    <w:lvl w:ilvl="5">
      <w:start w:val="1"/>
      <w:numFmt w:val="lowerLetter"/>
      <w:suff w:val="space"/>
      <w:lvlText w:val="%6."/>
      <w:lvlJc w:val="left"/>
      <w:pPr>
        <w:ind w:left="2892" w:hanging="28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0">
    <w:nsid w:val="52D33297"/>
    <w:multiLevelType w:val="singleLevel"/>
    <w:tmpl w:val="FAEE3386"/>
    <w:lvl w:ilvl="0">
      <w:start w:val="1"/>
      <w:numFmt w:val="decimal"/>
      <w:lvlText w:val="%1."/>
      <w:lvlJc w:val="left"/>
      <w:pPr>
        <w:tabs>
          <w:tab w:val="num" w:pos="877"/>
        </w:tabs>
        <w:ind w:left="877" w:hanging="195"/>
      </w:pPr>
      <w:rPr>
        <w:rFonts w:cs="Times New Roman" w:hint="eastAsia"/>
      </w:rPr>
    </w:lvl>
  </w:abstractNum>
  <w:abstractNum w:abstractNumId="11">
    <w:nsid w:val="5B1922AC"/>
    <w:multiLevelType w:val="singleLevel"/>
    <w:tmpl w:val="8DBCE3A8"/>
    <w:lvl w:ilvl="0">
      <w:start w:val="1"/>
      <w:numFmt w:val="taiwaneseCountingThousand"/>
      <w:lvlText w:val="（%1）"/>
      <w:lvlJc w:val="left"/>
      <w:pPr>
        <w:tabs>
          <w:tab w:val="num" w:pos="720"/>
        </w:tabs>
        <w:ind w:left="720" w:hanging="720"/>
      </w:pPr>
      <w:rPr>
        <w:rFonts w:cs="Times New Roman" w:hint="eastAsia"/>
      </w:rPr>
    </w:lvl>
  </w:abstractNum>
  <w:abstractNum w:abstractNumId="12">
    <w:nsid w:val="5F307CEC"/>
    <w:multiLevelType w:val="singleLevel"/>
    <w:tmpl w:val="F5D6A108"/>
    <w:lvl w:ilvl="0">
      <w:start w:val="1"/>
      <w:numFmt w:val="taiwaneseCountingThousand"/>
      <w:lvlText w:val="（%1）"/>
      <w:lvlJc w:val="left"/>
      <w:pPr>
        <w:tabs>
          <w:tab w:val="num" w:pos="808"/>
        </w:tabs>
        <w:ind w:left="808" w:hanging="780"/>
      </w:pPr>
      <w:rPr>
        <w:rFonts w:cs="Times New Roman" w:hint="eastAsia"/>
      </w:rPr>
    </w:lvl>
  </w:abstractNum>
  <w:abstractNum w:abstractNumId="13">
    <w:nsid w:val="649E48F8"/>
    <w:multiLevelType w:val="multilevel"/>
    <w:tmpl w:val="64882E9C"/>
    <w:lvl w:ilvl="0">
      <w:start w:val="1"/>
      <w:numFmt w:val="taiwaneseCountingThousand"/>
      <w:suff w:val="nothing"/>
      <w:lvlText w:val="%1、"/>
      <w:lvlJc w:val="left"/>
      <w:pPr>
        <w:ind w:left="425" w:hanging="425"/>
      </w:pPr>
      <w:rPr>
        <w:rFonts w:cs="Times New Roman" w:hint="eastAsia"/>
      </w:rPr>
    </w:lvl>
    <w:lvl w:ilvl="1">
      <w:start w:val="1"/>
      <w:numFmt w:val="taiwaneseCountingThousand"/>
      <w:suff w:val="nothing"/>
      <w:lvlText w:val="(%2)"/>
      <w:lvlJc w:val="left"/>
      <w:pPr>
        <w:ind w:left="737" w:hanging="453"/>
      </w:pPr>
      <w:rPr>
        <w:rFonts w:cs="Times New Roman" w:hint="eastAsia"/>
      </w:rPr>
    </w:lvl>
    <w:lvl w:ilvl="2">
      <w:start w:val="1"/>
      <w:numFmt w:val="taiwaneseCountingThousand"/>
      <w:suff w:val="nothing"/>
      <w:lvlText w:val="第%3項"/>
      <w:lvlJc w:val="left"/>
      <w:pPr>
        <w:ind w:left="1418" w:hanging="567"/>
      </w:pPr>
      <w:rPr>
        <w:rFonts w:cs="Times New Roman" w:hint="eastAsia"/>
      </w:rPr>
    </w:lvl>
    <w:lvl w:ilvl="3">
      <w:start w:val="1"/>
      <w:numFmt w:val="none"/>
      <w:suff w:val="nothing"/>
      <w:lvlText w:val=""/>
      <w:lvlJc w:val="left"/>
      <w:pPr>
        <w:ind w:left="1984" w:hanging="708"/>
      </w:pPr>
      <w:rPr>
        <w:rFonts w:cs="Times New Roman" w:hint="eastAsia"/>
      </w:rPr>
    </w:lvl>
    <w:lvl w:ilvl="4">
      <w:start w:val="1"/>
      <w:numFmt w:val="none"/>
      <w:suff w:val="nothing"/>
      <w:lvlText w:val=""/>
      <w:lvlJc w:val="left"/>
      <w:pPr>
        <w:ind w:left="2551" w:hanging="850"/>
      </w:pPr>
      <w:rPr>
        <w:rFonts w:cs="Times New Roman" w:hint="eastAsia"/>
      </w:rPr>
    </w:lvl>
    <w:lvl w:ilvl="5">
      <w:start w:val="1"/>
      <w:numFmt w:val="none"/>
      <w:suff w:val="nothing"/>
      <w:lvlText w:val=""/>
      <w:lvlJc w:val="left"/>
      <w:pPr>
        <w:ind w:left="3260" w:hanging="1134"/>
      </w:pPr>
      <w:rPr>
        <w:rFonts w:cs="Times New Roman" w:hint="eastAsia"/>
      </w:rPr>
    </w:lvl>
    <w:lvl w:ilvl="6">
      <w:start w:val="1"/>
      <w:numFmt w:val="none"/>
      <w:suff w:val="nothing"/>
      <w:lvlText w:val=""/>
      <w:lvlJc w:val="left"/>
      <w:pPr>
        <w:ind w:left="3827" w:hanging="1276"/>
      </w:pPr>
      <w:rPr>
        <w:rFonts w:cs="Times New Roman" w:hint="eastAsia"/>
      </w:rPr>
    </w:lvl>
    <w:lvl w:ilvl="7">
      <w:start w:val="1"/>
      <w:numFmt w:val="none"/>
      <w:suff w:val="nothing"/>
      <w:lvlText w:val=""/>
      <w:lvlJc w:val="left"/>
      <w:pPr>
        <w:ind w:left="4394" w:hanging="1418"/>
      </w:pPr>
      <w:rPr>
        <w:rFonts w:cs="Times New Roman" w:hint="eastAsia"/>
      </w:rPr>
    </w:lvl>
    <w:lvl w:ilvl="8">
      <w:start w:val="1"/>
      <w:numFmt w:val="none"/>
      <w:suff w:val="nothing"/>
      <w:lvlText w:val=""/>
      <w:lvlJc w:val="left"/>
      <w:pPr>
        <w:ind w:left="5102" w:hanging="1700"/>
      </w:pPr>
      <w:rPr>
        <w:rFonts w:cs="Times New Roman" w:hint="eastAsia"/>
      </w:rPr>
    </w:lvl>
  </w:abstractNum>
  <w:abstractNum w:abstractNumId="14">
    <w:nsid w:val="661C7F9F"/>
    <w:multiLevelType w:val="singleLevel"/>
    <w:tmpl w:val="9A8A353E"/>
    <w:lvl w:ilvl="0">
      <w:start w:val="1"/>
      <w:numFmt w:val="taiwaneseCountingThousand"/>
      <w:lvlText w:val="（%1）"/>
      <w:lvlJc w:val="left"/>
      <w:pPr>
        <w:tabs>
          <w:tab w:val="num" w:pos="880"/>
        </w:tabs>
        <w:ind w:left="880" w:hanging="852"/>
      </w:pPr>
      <w:rPr>
        <w:rFonts w:cs="Times New Roman" w:hint="eastAsia"/>
      </w:rPr>
    </w:lvl>
  </w:abstractNum>
  <w:abstractNum w:abstractNumId="15">
    <w:nsid w:val="697D3FA8"/>
    <w:multiLevelType w:val="multilevel"/>
    <w:tmpl w:val="2E3AB764"/>
    <w:lvl w:ilvl="0">
      <w:start w:val="1"/>
      <w:numFmt w:val="taiwaneseCountingThousand"/>
      <w:suff w:val="space"/>
      <w:lvlText w:val="%1、"/>
      <w:lvlJc w:val="left"/>
      <w:pPr>
        <w:ind w:left="567" w:hanging="567"/>
      </w:pPr>
      <w:rPr>
        <w:rFonts w:cs="Times New Roman" w:hint="eastAsia"/>
      </w:rPr>
    </w:lvl>
    <w:lvl w:ilvl="1">
      <w:start w:val="1"/>
      <w:numFmt w:val="taiwaneseCountingThousand"/>
      <w:suff w:val="space"/>
      <w:lvlText w:val="(%2)"/>
      <w:lvlJc w:val="left"/>
      <w:pPr>
        <w:ind w:left="1123" w:hanging="556"/>
      </w:pPr>
      <w:rPr>
        <w:rFonts w:cs="Times New Roman" w:hint="eastAsia"/>
      </w:rPr>
    </w:lvl>
    <w:lvl w:ilvl="2">
      <w:start w:val="1"/>
      <w:numFmt w:val="decimal"/>
      <w:lvlText w:val="%3."/>
      <w:lvlJc w:val="left"/>
      <w:pPr>
        <w:tabs>
          <w:tab w:val="num" w:pos="1588"/>
        </w:tabs>
        <w:ind w:left="1588" w:hanging="454"/>
      </w:pPr>
      <w:rPr>
        <w:rFonts w:cs="Times New Roman" w:hint="eastAsia"/>
      </w:rPr>
    </w:lvl>
    <w:lvl w:ilvl="3">
      <w:start w:val="1"/>
      <w:numFmt w:val="decimal"/>
      <w:lvlText w:val="(%4) "/>
      <w:lvlJc w:val="left"/>
      <w:pPr>
        <w:tabs>
          <w:tab w:val="num" w:pos="2126"/>
        </w:tabs>
        <w:ind w:left="2126" w:hanging="595"/>
      </w:pPr>
      <w:rPr>
        <w:rFonts w:cs="Times New Roman" w:hint="eastAsia"/>
      </w:rPr>
    </w:lvl>
    <w:lvl w:ilvl="4">
      <w:start w:val="1"/>
      <w:numFmt w:val="upperLetter"/>
      <w:suff w:val="space"/>
      <w:lvlText w:val="%5."/>
      <w:lvlJc w:val="left"/>
      <w:pPr>
        <w:ind w:left="2041" w:firstLine="170"/>
      </w:pPr>
      <w:rPr>
        <w:rFonts w:cs="Times New Roman" w:hint="eastAsia"/>
      </w:rPr>
    </w:lvl>
    <w:lvl w:ilvl="5">
      <w:start w:val="1"/>
      <w:numFmt w:val="lowerLetter"/>
      <w:suff w:val="space"/>
      <w:lvlText w:val="%6."/>
      <w:lvlJc w:val="left"/>
      <w:pPr>
        <w:ind w:left="2892" w:hanging="284"/>
      </w:pPr>
      <w:rPr>
        <w:rFonts w:cs="Times New Roman" w:hint="eastAsia"/>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16">
    <w:nsid w:val="6A1E3F23"/>
    <w:multiLevelType w:val="singleLevel"/>
    <w:tmpl w:val="D64468C4"/>
    <w:lvl w:ilvl="0">
      <w:start w:val="1"/>
      <w:numFmt w:val="decimal"/>
      <w:lvlText w:val="(%1)"/>
      <w:lvlJc w:val="left"/>
      <w:pPr>
        <w:tabs>
          <w:tab w:val="num" w:pos="1372"/>
        </w:tabs>
        <w:ind w:left="1372" w:hanging="504"/>
      </w:pPr>
      <w:rPr>
        <w:rFonts w:eastAsia="新細明體" w:cs="Times New Roman" w:hint="eastAsia"/>
        <w:color w:val="auto"/>
      </w:rPr>
    </w:lvl>
  </w:abstractNum>
  <w:abstractNum w:abstractNumId="17">
    <w:nsid w:val="6D1B63E2"/>
    <w:multiLevelType w:val="multilevel"/>
    <w:tmpl w:val="288627EA"/>
    <w:lvl w:ilvl="0">
      <w:start w:val="1"/>
      <w:numFmt w:val="taiwaneseCountingThousand"/>
      <w:lvlText w:val="(%1)"/>
      <w:lvlJc w:val="left"/>
      <w:pPr>
        <w:tabs>
          <w:tab w:val="num" w:pos="920"/>
        </w:tabs>
        <w:ind w:left="920" w:hanging="444"/>
      </w:pPr>
      <w:rPr>
        <w:rFonts w:cs="Times New Roman" w:hint="eastAsia"/>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8">
    <w:nsid w:val="6E487ECB"/>
    <w:multiLevelType w:val="singleLevel"/>
    <w:tmpl w:val="F230B57A"/>
    <w:lvl w:ilvl="0">
      <w:start w:val="1"/>
      <w:numFmt w:val="taiwaneseCountingThousand"/>
      <w:lvlText w:val="（%1）"/>
      <w:lvlJc w:val="left"/>
      <w:pPr>
        <w:tabs>
          <w:tab w:val="num" w:pos="796"/>
        </w:tabs>
        <w:ind w:left="796" w:hanging="768"/>
      </w:pPr>
      <w:rPr>
        <w:rFonts w:cs="Times New Roman" w:hint="eastAsia"/>
        <w:color w:val="auto"/>
      </w:rPr>
    </w:lvl>
  </w:abstractNum>
  <w:abstractNum w:abstractNumId="19">
    <w:nsid w:val="72822C94"/>
    <w:multiLevelType w:val="singleLevel"/>
    <w:tmpl w:val="BAB2CAD2"/>
    <w:lvl w:ilvl="0">
      <w:start w:val="1"/>
      <w:numFmt w:val="taiwaneseCountingThousand"/>
      <w:lvlText w:val="%1、"/>
      <w:lvlJc w:val="left"/>
      <w:pPr>
        <w:tabs>
          <w:tab w:val="num" w:pos="604"/>
        </w:tabs>
        <w:ind w:left="604" w:hanging="576"/>
      </w:pPr>
      <w:rPr>
        <w:rFonts w:cs="Times New Roman" w:hint="eastAsia"/>
      </w:rPr>
    </w:lvl>
  </w:abstractNum>
  <w:abstractNum w:abstractNumId="20">
    <w:nsid w:val="760272F7"/>
    <w:multiLevelType w:val="singleLevel"/>
    <w:tmpl w:val="7EA040BA"/>
    <w:lvl w:ilvl="0">
      <w:start w:val="1"/>
      <w:numFmt w:val="taiwaneseCountingThousand"/>
      <w:lvlText w:val="（%1）"/>
      <w:lvlJc w:val="left"/>
      <w:pPr>
        <w:tabs>
          <w:tab w:val="num" w:pos="780"/>
        </w:tabs>
        <w:ind w:left="780" w:hanging="780"/>
      </w:pPr>
      <w:rPr>
        <w:rFonts w:cs="Times New Roman" w:hint="eastAsia"/>
      </w:rPr>
    </w:lvl>
  </w:abstractNum>
  <w:abstractNum w:abstractNumId="21">
    <w:nsid w:val="7E166BE2"/>
    <w:multiLevelType w:val="multilevel"/>
    <w:tmpl w:val="878A2996"/>
    <w:lvl w:ilvl="0">
      <w:start w:val="1"/>
      <w:numFmt w:val="decimal"/>
      <w:lvlText w:val="(%1)"/>
      <w:lvlJc w:val="left"/>
      <w:pPr>
        <w:tabs>
          <w:tab w:val="num" w:pos="937"/>
        </w:tabs>
        <w:ind w:left="937" w:hanging="360"/>
      </w:pPr>
      <w:rPr>
        <w:rFonts w:cs="Times New Roman" w:hint="eastAsia"/>
      </w:rPr>
    </w:lvl>
    <w:lvl w:ilvl="1">
      <w:start w:val="1"/>
      <w:numFmt w:val="ideographTraditional"/>
      <w:lvlText w:val="%2、"/>
      <w:lvlJc w:val="left"/>
      <w:pPr>
        <w:tabs>
          <w:tab w:val="num" w:pos="1537"/>
        </w:tabs>
        <w:ind w:left="1537" w:hanging="480"/>
      </w:pPr>
      <w:rPr>
        <w:rFonts w:cs="Times New Roman"/>
      </w:rPr>
    </w:lvl>
    <w:lvl w:ilvl="2">
      <w:start w:val="1"/>
      <w:numFmt w:val="lowerRoman"/>
      <w:lvlText w:val="%3."/>
      <w:lvlJc w:val="right"/>
      <w:pPr>
        <w:tabs>
          <w:tab w:val="num" w:pos="2017"/>
        </w:tabs>
        <w:ind w:left="2017" w:hanging="480"/>
      </w:pPr>
      <w:rPr>
        <w:rFonts w:cs="Times New Roman"/>
      </w:rPr>
    </w:lvl>
    <w:lvl w:ilvl="3">
      <w:start w:val="1"/>
      <w:numFmt w:val="decimal"/>
      <w:lvlText w:val="%4."/>
      <w:lvlJc w:val="left"/>
      <w:pPr>
        <w:tabs>
          <w:tab w:val="num" w:pos="2497"/>
        </w:tabs>
        <w:ind w:left="2497" w:hanging="480"/>
      </w:pPr>
      <w:rPr>
        <w:rFonts w:cs="Times New Roman"/>
      </w:rPr>
    </w:lvl>
    <w:lvl w:ilvl="4">
      <w:start w:val="1"/>
      <w:numFmt w:val="ideographTraditional"/>
      <w:lvlText w:val="%5、"/>
      <w:lvlJc w:val="left"/>
      <w:pPr>
        <w:tabs>
          <w:tab w:val="num" w:pos="2977"/>
        </w:tabs>
        <w:ind w:left="2977" w:hanging="480"/>
      </w:pPr>
      <w:rPr>
        <w:rFonts w:cs="Times New Roman"/>
      </w:rPr>
    </w:lvl>
    <w:lvl w:ilvl="5">
      <w:start w:val="1"/>
      <w:numFmt w:val="lowerRoman"/>
      <w:lvlText w:val="%6."/>
      <w:lvlJc w:val="right"/>
      <w:pPr>
        <w:tabs>
          <w:tab w:val="num" w:pos="3457"/>
        </w:tabs>
        <w:ind w:left="3457" w:hanging="480"/>
      </w:pPr>
      <w:rPr>
        <w:rFonts w:cs="Times New Roman"/>
      </w:rPr>
    </w:lvl>
    <w:lvl w:ilvl="6">
      <w:start w:val="1"/>
      <w:numFmt w:val="decimal"/>
      <w:lvlText w:val="%7."/>
      <w:lvlJc w:val="left"/>
      <w:pPr>
        <w:tabs>
          <w:tab w:val="num" w:pos="3937"/>
        </w:tabs>
        <w:ind w:left="3937" w:hanging="480"/>
      </w:pPr>
      <w:rPr>
        <w:rFonts w:cs="Times New Roman"/>
      </w:rPr>
    </w:lvl>
    <w:lvl w:ilvl="7">
      <w:start w:val="1"/>
      <w:numFmt w:val="ideographTraditional"/>
      <w:lvlText w:val="%8、"/>
      <w:lvlJc w:val="left"/>
      <w:pPr>
        <w:tabs>
          <w:tab w:val="num" w:pos="4417"/>
        </w:tabs>
        <w:ind w:left="4417" w:hanging="480"/>
      </w:pPr>
      <w:rPr>
        <w:rFonts w:cs="Times New Roman"/>
      </w:rPr>
    </w:lvl>
    <w:lvl w:ilvl="8">
      <w:start w:val="1"/>
      <w:numFmt w:val="lowerRoman"/>
      <w:lvlText w:val="%9."/>
      <w:lvlJc w:val="right"/>
      <w:pPr>
        <w:tabs>
          <w:tab w:val="num" w:pos="4897"/>
        </w:tabs>
        <w:ind w:left="4897" w:hanging="480"/>
      </w:pPr>
      <w:rPr>
        <w:rFonts w:cs="Times New Roman"/>
      </w:rPr>
    </w:lvl>
  </w:abstractNum>
  <w:num w:numId="1">
    <w:abstractNumId w:val="9"/>
  </w:num>
  <w:num w:numId="2">
    <w:abstractNumId w:val="8"/>
  </w:num>
  <w:num w:numId="3">
    <w:abstractNumId w:val="15"/>
  </w:num>
  <w:num w:numId="4">
    <w:abstractNumId w:val="0"/>
  </w:num>
  <w:num w:numId="5">
    <w:abstractNumId w:val="13"/>
  </w:num>
  <w:num w:numId="6">
    <w:abstractNumId w:val="2"/>
  </w:num>
  <w:num w:numId="7">
    <w:abstractNumId w:val="4"/>
  </w:num>
  <w:num w:numId="8">
    <w:abstractNumId w:val="14"/>
  </w:num>
  <w:num w:numId="9">
    <w:abstractNumId w:val="18"/>
  </w:num>
  <w:num w:numId="10">
    <w:abstractNumId w:val="5"/>
  </w:num>
  <w:num w:numId="11">
    <w:abstractNumId w:val="19"/>
  </w:num>
  <w:num w:numId="12">
    <w:abstractNumId w:val="7"/>
  </w:num>
  <w:num w:numId="13">
    <w:abstractNumId w:val="1"/>
  </w:num>
  <w:num w:numId="14">
    <w:abstractNumId w:val="16"/>
  </w:num>
  <w:num w:numId="15">
    <w:abstractNumId w:val="17"/>
  </w:num>
  <w:num w:numId="16">
    <w:abstractNumId w:val="21"/>
  </w:num>
  <w:num w:numId="17">
    <w:abstractNumId w:val="20"/>
  </w:num>
  <w:num w:numId="18">
    <w:abstractNumId w:val="10"/>
  </w:num>
  <w:num w:numId="19">
    <w:abstractNumId w:val="3"/>
  </w:num>
  <w:num w:numId="20">
    <w:abstractNumId w:val="12"/>
  </w:num>
  <w:num w:numId="21">
    <w:abstractNumId w:val="11"/>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80"/>
  <w:doNotHyphenateCaps/>
  <w:drawingGridHorizontalSpacing w:val="13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37579E"/>
    <w:rsid w:val="0007538F"/>
    <w:rsid w:val="00081D96"/>
    <w:rsid w:val="00122E61"/>
    <w:rsid w:val="001346C8"/>
    <w:rsid w:val="00171525"/>
    <w:rsid w:val="0018689D"/>
    <w:rsid w:val="0019553E"/>
    <w:rsid w:val="0028404C"/>
    <w:rsid w:val="00287454"/>
    <w:rsid w:val="00305153"/>
    <w:rsid w:val="0037411E"/>
    <w:rsid w:val="0037579E"/>
    <w:rsid w:val="0039180E"/>
    <w:rsid w:val="00457A16"/>
    <w:rsid w:val="004908C5"/>
    <w:rsid w:val="00494F8A"/>
    <w:rsid w:val="004D0647"/>
    <w:rsid w:val="004E2E9A"/>
    <w:rsid w:val="00541B30"/>
    <w:rsid w:val="0059125D"/>
    <w:rsid w:val="006659C5"/>
    <w:rsid w:val="00677556"/>
    <w:rsid w:val="00726C02"/>
    <w:rsid w:val="007C74FF"/>
    <w:rsid w:val="007F215D"/>
    <w:rsid w:val="00802318"/>
    <w:rsid w:val="00822505"/>
    <w:rsid w:val="008431B3"/>
    <w:rsid w:val="008442FE"/>
    <w:rsid w:val="008F735A"/>
    <w:rsid w:val="00941B2C"/>
    <w:rsid w:val="00967EE3"/>
    <w:rsid w:val="009F1A6E"/>
    <w:rsid w:val="00A70934"/>
    <w:rsid w:val="00A95A11"/>
    <w:rsid w:val="00AA44DC"/>
    <w:rsid w:val="00B16398"/>
    <w:rsid w:val="00B2473A"/>
    <w:rsid w:val="00B33A1B"/>
    <w:rsid w:val="00B95394"/>
    <w:rsid w:val="00BA62B5"/>
    <w:rsid w:val="00C152A7"/>
    <w:rsid w:val="00D374AB"/>
    <w:rsid w:val="00DA17F5"/>
    <w:rsid w:val="00EB63F9"/>
    <w:rsid w:val="00EC4348"/>
    <w:rsid w:val="00F07A69"/>
    <w:rsid w:val="00F160C3"/>
    <w:rsid w:val="00F402C1"/>
    <w:rsid w:val="00F9279B"/>
    <w:rsid w:val="00F94BEA"/>
    <w:rsid w:val="00FE17B3"/>
    <w:rsid w:val="00FE1A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4"/>
        <w:szCs w:val="24"/>
        <w:lang w:val="en-US" w:eastAsia="zh-TW"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374AB"/>
    <w:pPr>
      <w:widowControl w:val="0"/>
      <w:snapToGrid w:val="0"/>
      <w:spacing w:line="360" w:lineRule="atLeast"/>
      <w:jc w:val="both"/>
    </w:pPr>
    <w:rPr>
      <w:rFonts w:ascii="標楷體" w:eastAsia="標楷體" w:hAnsi="Times New Roman" w:cs="標楷體"/>
      <w:spacing w:val="10"/>
    </w:rPr>
  </w:style>
  <w:style w:type="paragraph" w:styleId="1">
    <w:name w:val="heading 1"/>
    <w:basedOn w:val="a"/>
    <w:next w:val="a"/>
    <w:link w:val="10"/>
    <w:uiPriority w:val="99"/>
    <w:qFormat/>
    <w:rsid w:val="00D374AB"/>
    <w:pPr>
      <w:spacing w:after="120"/>
      <w:jc w:val="center"/>
      <w:outlineLvl w:val="0"/>
    </w:pPr>
    <w:rPr>
      <w:rFonts w:hAnsi="Arial"/>
      <w:b/>
      <w:bCs/>
      <w:kern w:val="52"/>
      <w:sz w:val="36"/>
      <w:szCs w:val="36"/>
    </w:rPr>
  </w:style>
  <w:style w:type="paragraph" w:styleId="2">
    <w:name w:val="heading 2"/>
    <w:basedOn w:val="a"/>
    <w:next w:val="a"/>
    <w:link w:val="20"/>
    <w:uiPriority w:val="99"/>
    <w:qFormat/>
    <w:rsid w:val="00D374AB"/>
    <w:pPr>
      <w:keepNext/>
      <w:spacing w:line="720" w:lineRule="auto"/>
      <w:outlineLvl w:val="1"/>
    </w:pPr>
    <w:rPr>
      <w:rFonts w:ascii="Arial" w:hAnsi="Arial" w:cs="Arial"/>
      <w:b/>
      <w:bCs/>
      <w:sz w:val="48"/>
      <w:szCs w:val="48"/>
    </w:rPr>
  </w:style>
  <w:style w:type="paragraph" w:styleId="3">
    <w:name w:val="heading 3"/>
    <w:basedOn w:val="a"/>
    <w:next w:val="a"/>
    <w:link w:val="30"/>
    <w:uiPriority w:val="99"/>
    <w:qFormat/>
    <w:rsid w:val="00D374AB"/>
    <w:pPr>
      <w:keepNext/>
      <w:spacing w:line="720" w:lineRule="auto"/>
      <w:outlineLvl w:val="2"/>
    </w:pPr>
    <w:rPr>
      <w:rFonts w:ascii="Arial" w:hAnsi="Arial" w:cs="Arial"/>
      <w:b/>
      <w:bCs/>
      <w:sz w:val="36"/>
      <w:szCs w:val="36"/>
    </w:rPr>
  </w:style>
  <w:style w:type="paragraph" w:styleId="4">
    <w:name w:val="heading 4"/>
    <w:basedOn w:val="a"/>
    <w:next w:val="a0"/>
    <w:link w:val="40"/>
    <w:uiPriority w:val="99"/>
    <w:qFormat/>
    <w:rsid w:val="00D374AB"/>
    <w:pPr>
      <w:keepNext/>
      <w:adjustRightInd w:val="0"/>
      <w:snapToGrid/>
      <w:spacing w:line="720" w:lineRule="atLeast"/>
      <w:jc w:val="left"/>
      <w:textAlignment w:val="baseline"/>
      <w:outlineLvl w:val="3"/>
    </w:pPr>
    <w:rPr>
      <w:rFonts w:ascii="Arial" w:eastAsia="新細明體" w:hAnsi="Arial" w:cs="Arial"/>
      <w:spacing w:val="0"/>
      <w:kern w:val="0"/>
      <w:sz w:val="36"/>
      <w:szCs w:val="36"/>
    </w:rPr>
  </w:style>
  <w:style w:type="paragraph" w:styleId="5">
    <w:name w:val="heading 5"/>
    <w:basedOn w:val="a"/>
    <w:next w:val="a0"/>
    <w:link w:val="50"/>
    <w:uiPriority w:val="99"/>
    <w:qFormat/>
    <w:rsid w:val="00D374AB"/>
    <w:pPr>
      <w:keepNext/>
      <w:adjustRightInd w:val="0"/>
      <w:snapToGrid/>
      <w:spacing w:line="720" w:lineRule="atLeast"/>
      <w:jc w:val="left"/>
      <w:textAlignment w:val="baseline"/>
      <w:outlineLvl w:val="4"/>
    </w:pPr>
    <w:rPr>
      <w:rFonts w:ascii="Arial" w:eastAsia="新細明體" w:hAnsi="Arial" w:cs="Arial"/>
      <w:b/>
      <w:bCs/>
      <w:spacing w:val="0"/>
      <w:kern w:val="0"/>
      <w:sz w:val="36"/>
      <w:szCs w:val="36"/>
    </w:rPr>
  </w:style>
  <w:style w:type="paragraph" w:styleId="6">
    <w:name w:val="heading 6"/>
    <w:basedOn w:val="a"/>
    <w:next w:val="a0"/>
    <w:link w:val="60"/>
    <w:uiPriority w:val="99"/>
    <w:qFormat/>
    <w:rsid w:val="00D374AB"/>
    <w:pPr>
      <w:keepNext/>
      <w:adjustRightInd w:val="0"/>
      <w:snapToGrid/>
      <w:spacing w:line="720" w:lineRule="atLeast"/>
      <w:jc w:val="left"/>
      <w:textAlignment w:val="baseline"/>
      <w:outlineLvl w:val="5"/>
    </w:pPr>
    <w:rPr>
      <w:rFonts w:ascii="Arial" w:eastAsia="新細明體" w:hAnsi="Arial" w:cs="Arial"/>
      <w:spacing w:val="0"/>
      <w:kern w:val="0"/>
      <w:sz w:val="36"/>
      <w:szCs w:val="36"/>
    </w:rPr>
  </w:style>
  <w:style w:type="paragraph" w:styleId="7">
    <w:name w:val="heading 7"/>
    <w:basedOn w:val="a"/>
    <w:next w:val="a0"/>
    <w:link w:val="70"/>
    <w:uiPriority w:val="99"/>
    <w:qFormat/>
    <w:rsid w:val="00D374AB"/>
    <w:pPr>
      <w:keepNext/>
      <w:adjustRightInd w:val="0"/>
      <w:snapToGrid/>
      <w:spacing w:line="720" w:lineRule="atLeast"/>
      <w:jc w:val="left"/>
      <w:textAlignment w:val="baseline"/>
      <w:outlineLvl w:val="6"/>
    </w:pPr>
    <w:rPr>
      <w:rFonts w:ascii="Arial" w:eastAsia="新細明體" w:hAnsi="Arial" w:cs="Arial"/>
      <w:b/>
      <w:bCs/>
      <w:spacing w:val="0"/>
      <w:kern w:val="0"/>
      <w:sz w:val="36"/>
      <w:szCs w:val="36"/>
    </w:rPr>
  </w:style>
  <w:style w:type="paragraph" w:styleId="8">
    <w:name w:val="heading 8"/>
    <w:basedOn w:val="a"/>
    <w:next w:val="a0"/>
    <w:link w:val="80"/>
    <w:uiPriority w:val="99"/>
    <w:qFormat/>
    <w:rsid w:val="00D374AB"/>
    <w:pPr>
      <w:keepNext/>
      <w:adjustRightInd w:val="0"/>
      <w:snapToGrid/>
      <w:spacing w:line="720" w:lineRule="atLeast"/>
      <w:jc w:val="left"/>
      <w:textAlignment w:val="baseline"/>
      <w:outlineLvl w:val="7"/>
    </w:pPr>
    <w:rPr>
      <w:rFonts w:ascii="Arial" w:eastAsia="新細明體" w:hAnsi="Arial" w:cs="Arial"/>
      <w:spacing w:val="0"/>
      <w:kern w:val="0"/>
      <w:sz w:val="36"/>
      <w:szCs w:val="36"/>
    </w:rPr>
  </w:style>
  <w:style w:type="paragraph" w:styleId="9">
    <w:name w:val="heading 9"/>
    <w:basedOn w:val="a"/>
    <w:next w:val="a0"/>
    <w:link w:val="90"/>
    <w:uiPriority w:val="99"/>
    <w:qFormat/>
    <w:rsid w:val="00D374AB"/>
    <w:pPr>
      <w:keepNext/>
      <w:adjustRightInd w:val="0"/>
      <w:snapToGrid/>
      <w:spacing w:line="720" w:lineRule="atLeast"/>
      <w:jc w:val="left"/>
      <w:textAlignment w:val="baseline"/>
      <w:outlineLvl w:val="8"/>
    </w:pPr>
    <w:rPr>
      <w:rFonts w:ascii="Arial" w:eastAsia="新細明體" w:hAnsi="Arial" w:cs="Arial"/>
      <w:spacing w:val="0"/>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
    <w:locked/>
    <w:rsid w:val="00D374AB"/>
    <w:rPr>
      <w:rFonts w:asciiTheme="majorHAnsi" w:eastAsiaTheme="majorEastAsia" w:hAnsiTheme="majorHAnsi" w:cstheme="majorBidi"/>
      <w:b/>
      <w:bCs/>
      <w:spacing w:val="10"/>
      <w:kern w:val="52"/>
      <w:sz w:val="52"/>
      <w:szCs w:val="52"/>
    </w:rPr>
  </w:style>
  <w:style w:type="character" w:customStyle="1" w:styleId="20">
    <w:name w:val="標題 2 字元"/>
    <w:basedOn w:val="a1"/>
    <w:link w:val="2"/>
    <w:uiPriority w:val="9"/>
    <w:semiHidden/>
    <w:locked/>
    <w:rsid w:val="00D374AB"/>
    <w:rPr>
      <w:rFonts w:asciiTheme="majorHAnsi" w:eastAsiaTheme="majorEastAsia" w:hAnsiTheme="majorHAnsi" w:cstheme="majorBidi"/>
      <w:b/>
      <w:bCs/>
      <w:spacing w:val="10"/>
      <w:sz w:val="48"/>
      <w:szCs w:val="48"/>
    </w:rPr>
  </w:style>
  <w:style w:type="character" w:customStyle="1" w:styleId="30">
    <w:name w:val="標題 3 字元"/>
    <w:basedOn w:val="a1"/>
    <w:link w:val="3"/>
    <w:uiPriority w:val="9"/>
    <w:semiHidden/>
    <w:locked/>
    <w:rsid w:val="00D374AB"/>
    <w:rPr>
      <w:rFonts w:asciiTheme="majorHAnsi" w:eastAsiaTheme="majorEastAsia" w:hAnsiTheme="majorHAnsi" w:cstheme="majorBidi"/>
      <w:b/>
      <w:bCs/>
      <w:spacing w:val="10"/>
      <w:sz w:val="36"/>
      <w:szCs w:val="36"/>
    </w:rPr>
  </w:style>
  <w:style w:type="character" w:customStyle="1" w:styleId="40">
    <w:name w:val="標題 4 字元"/>
    <w:basedOn w:val="a1"/>
    <w:link w:val="4"/>
    <w:uiPriority w:val="9"/>
    <w:semiHidden/>
    <w:locked/>
    <w:rsid w:val="00D374AB"/>
    <w:rPr>
      <w:rFonts w:asciiTheme="majorHAnsi" w:eastAsiaTheme="majorEastAsia" w:hAnsiTheme="majorHAnsi" w:cstheme="majorBidi"/>
      <w:spacing w:val="10"/>
      <w:sz w:val="36"/>
      <w:szCs w:val="36"/>
    </w:rPr>
  </w:style>
  <w:style w:type="character" w:customStyle="1" w:styleId="50">
    <w:name w:val="標題 5 字元"/>
    <w:basedOn w:val="a1"/>
    <w:link w:val="5"/>
    <w:uiPriority w:val="9"/>
    <w:semiHidden/>
    <w:locked/>
    <w:rsid w:val="00D374AB"/>
    <w:rPr>
      <w:rFonts w:asciiTheme="majorHAnsi" w:eastAsiaTheme="majorEastAsia" w:hAnsiTheme="majorHAnsi" w:cstheme="majorBidi"/>
      <w:b/>
      <w:bCs/>
      <w:spacing w:val="10"/>
      <w:sz w:val="36"/>
      <w:szCs w:val="36"/>
    </w:rPr>
  </w:style>
  <w:style w:type="character" w:customStyle="1" w:styleId="60">
    <w:name w:val="標題 6 字元"/>
    <w:basedOn w:val="a1"/>
    <w:link w:val="6"/>
    <w:uiPriority w:val="9"/>
    <w:semiHidden/>
    <w:locked/>
    <w:rsid w:val="00D374AB"/>
    <w:rPr>
      <w:rFonts w:asciiTheme="majorHAnsi" w:eastAsiaTheme="majorEastAsia" w:hAnsiTheme="majorHAnsi" w:cstheme="majorBidi"/>
      <w:spacing w:val="10"/>
      <w:sz w:val="36"/>
      <w:szCs w:val="36"/>
    </w:rPr>
  </w:style>
  <w:style w:type="character" w:customStyle="1" w:styleId="70">
    <w:name w:val="標題 7 字元"/>
    <w:basedOn w:val="a1"/>
    <w:link w:val="7"/>
    <w:uiPriority w:val="9"/>
    <w:semiHidden/>
    <w:locked/>
    <w:rsid w:val="00D374AB"/>
    <w:rPr>
      <w:rFonts w:asciiTheme="majorHAnsi" w:eastAsiaTheme="majorEastAsia" w:hAnsiTheme="majorHAnsi" w:cstheme="majorBidi"/>
      <w:b/>
      <w:bCs/>
      <w:spacing w:val="10"/>
      <w:sz w:val="36"/>
      <w:szCs w:val="36"/>
    </w:rPr>
  </w:style>
  <w:style w:type="character" w:customStyle="1" w:styleId="80">
    <w:name w:val="標題 8 字元"/>
    <w:basedOn w:val="a1"/>
    <w:link w:val="8"/>
    <w:uiPriority w:val="9"/>
    <w:semiHidden/>
    <w:locked/>
    <w:rsid w:val="00D374AB"/>
    <w:rPr>
      <w:rFonts w:asciiTheme="majorHAnsi" w:eastAsiaTheme="majorEastAsia" w:hAnsiTheme="majorHAnsi" w:cstheme="majorBidi"/>
      <w:spacing w:val="10"/>
      <w:sz w:val="36"/>
      <w:szCs w:val="36"/>
    </w:rPr>
  </w:style>
  <w:style w:type="character" w:customStyle="1" w:styleId="90">
    <w:name w:val="標題 9 字元"/>
    <w:basedOn w:val="a1"/>
    <w:link w:val="9"/>
    <w:uiPriority w:val="9"/>
    <w:semiHidden/>
    <w:locked/>
    <w:rsid w:val="00D374AB"/>
    <w:rPr>
      <w:rFonts w:asciiTheme="majorHAnsi" w:eastAsiaTheme="majorEastAsia" w:hAnsiTheme="majorHAnsi" w:cstheme="majorBidi"/>
      <w:spacing w:val="10"/>
      <w:sz w:val="36"/>
      <w:szCs w:val="36"/>
    </w:rPr>
  </w:style>
  <w:style w:type="paragraph" w:styleId="a0">
    <w:name w:val="Normal Indent"/>
    <w:basedOn w:val="a"/>
    <w:uiPriority w:val="99"/>
    <w:rsid w:val="00D374AB"/>
    <w:pPr>
      <w:ind w:left="480"/>
    </w:pPr>
  </w:style>
  <w:style w:type="paragraph" w:styleId="a4">
    <w:name w:val="Block Text"/>
    <w:basedOn w:val="a"/>
    <w:uiPriority w:val="99"/>
    <w:rsid w:val="00D374AB"/>
    <w:pPr>
      <w:ind w:left="758" w:right="28" w:hanging="730"/>
    </w:pPr>
    <w:rPr>
      <w:rFonts w:ascii="新細明體" w:eastAsia="新細明體" w:cs="新細明體"/>
      <w:spacing w:val="24"/>
    </w:rPr>
  </w:style>
  <w:style w:type="paragraph" w:styleId="21">
    <w:name w:val="Body Text 2"/>
    <w:basedOn w:val="a"/>
    <w:link w:val="22"/>
    <w:uiPriority w:val="99"/>
    <w:rsid w:val="00D374AB"/>
    <w:pPr>
      <w:spacing w:line="360" w:lineRule="exact"/>
    </w:pPr>
    <w:rPr>
      <w:rFonts w:ascii="新細明體" w:eastAsia="新細明體" w:cs="新細明體"/>
      <w:color w:val="0000FF"/>
      <w:u w:val="single"/>
    </w:rPr>
  </w:style>
  <w:style w:type="character" w:customStyle="1" w:styleId="22">
    <w:name w:val="本文 2 字元"/>
    <w:basedOn w:val="a1"/>
    <w:link w:val="21"/>
    <w:uiPriority w:val="99"/>
    <w:semiHidden/>
    <w:locked/>
    <w:rsid w:val="00D374AB"/>
    <w:rPr>
      <w:rFonts w:ascii="標楷體" w:eastAsia="標楷體" w:hAnsi="Times New Roman" w:cs="標楷體"/>
      <w:spacing w:val="10"/>
      <w:sz w:val="24"/>
      <w:szCs w:val="24"/>
    </w:rPr>
  </w:style>
  <w:style w:type="paragraph" w:styleId="a5">
    <w:name w:val="Body Text"/>
    <w:basedOn w:val="a"/>
    <w:link w:val="a6"/>
    <w:uiPriority w:val="99"/>
    <w:rsid w:val="00D374AB"/>
    <w:pPr>
      <w:ind w:right="28"/>
    </w:pPr>
    <w:rPr>
      <w:rFonts w:ascii="新細明體" w:eastAsia="新細明體" w:cs="新細明體"/>
    </w:rPr>
  </w:style>
  <w:style w:type="character" w:customStyle="1" w:styleId="a6">
    <w:name w:val="本文 字元"/>
    <w:basedOn w:val="a1"/>
    <w:link w:val="a5"/>
    <w:uiPriority w:val="99"/>
    <w:semiHidden/>
    <w:locked/>
    <w:rsid w:val="00D374AB"/>
    <w:rPr>
      <w:rFonts w:ascii="標楷體" w:eastAsia="標楷體" w:hAnsi="Times New Roman" w:cs="標楷體"/>
      <w:spacing w:val="10"/>
      <w:sz w:val="24"/>
      <w:szCs w:val="24"/>
    </w:rPr>
  </w:style>
  <w:style w:type="paragraph" w:styleId="HTML">
    <w:name w:val="HTML Preformatted"/>
    <w:basedOn w:val="a"/>
    <w:link w:val="HTML0"/>
    <w:uiPriority w:val="99"/>
    <w:rsid w:val="00D374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Courier New" w:cs="細明體"/>
      <w:color w:val="008000"/>
      <w:spacing w:val="0"/>
      <w:kern w:val="0"/>
      <w:sz w:val="20"/>
      <w:szCs w:val="20"/>
    </w:rPr>
  </w:style>
  <w:style w:type="character" w:customStyle="1" w:styleId="HTML0">
    <w:name w:val="HTML 預設格式 字元"/>
    <w:basedOn w:val="a1"/>
    <w:link w:val="HTML"/>
    <w:uiPriority w:val="99"/>
    <w:semiHidden/>
    <w:locked/>
    <w:rsid w:val="00D374AB"/>
    <w:rPr>
      <w:rFonts w:ascii="Courier New" w:eastAsia="標楷體" w:hAnsi="Courier New" w:cs="Courier New"/>
      <w:spacing w:val="10"/>
      <w:sz w:val="20"/>
      <w:szCs w:val="20"/>
    </w:rPr>
  </w:style>
  <w:style w:type="paragraph" w:styleId="a7">
    <w:name w:val="footer"/>
    <w:basedOn w:val="a"/>
    <w:link w:val="a8"/>
    <w:uiPriority w:val="99"/>
    <w:rsid w:val="00D374AB"/>
    <w:pPr>
      <w:tabs>
        <w:tab w:val="center" w:pos="4153"/>
        <w:tab w:val="right" w:pos="8306"/>
      </w:tabs>
    </w:pPr>
    <w:rPr>
      <w:sz w:val="20"/>
      <w:szCs w:val="20"/>
    </w:rPr>
  </w:style>
  <w:style w:type="character" w:customStyle="1" w:styleId="a8">
    <w:name w:val="頁尾 字元"/>
    <w:basedOn w:val="a1"/>
    <w:link w:val="a7"/>
    <w:uiPriority w:val="99"/>
    <w:semiHidden/>
    <w:locked/>
    <w:rsid w:val="00D374AB"/>
    <w:rPr>
      <w:rFonts w:ascii="標楷體" w:eastAsia="標楷體" w:hAnsi="Times New Roman" w:cs="標楷體"/>
      <w:spacing w:val="10"/>
      <w:sz w:val="20"/>
      <w:szCs w:val="20"/>
    </w:rPr>
  </w:style>
  <w:style w:type="character" w:styleId="a9">
    <w:name w:val="page number"/>
    <w:basedOn w:val="a1"/>
    <w:uiPriority w:val="99"/>
    <w:rsid w:val="00D374AB"/>
    <w:rPr>
      <w:rFonts w:cs="Times New Roman"/>
    </w:rPr>
  </w:style>
  <w:style w:type="paragraph" w:styleId="23">
    <w:name w:val="Body Text Indent 2"/>
    <w:basedOn w:val="a"/>
    <w:link w:val="24"/>
    <w:uiPriority w:val="99"/>
    <w:rsid w:val="00D374AB"/>
    <w:pPr>
      <w:spacing w:before="240" w:line="288" w:lineRule="auto"/>
      <w:ind w:left="1118" w:hanging="402"/>
    </w:pPr>
    <w:rPr>
      <w:rFonts w:hAnsi="標楷體"/>
      <w:spacing w:val="0"/>
    </w:rPr>
  </w:style>
  <w:style w:type="character" w:customStyle="1" w:styleId="24">
    <w:name w:val="本文縮排 2 字元"/>
    <w:basedOn w:val="a1"/>
    <w:link w:val="23"/>
    <w:uiPriority w:val="99"/>
    <w:semiHidden/>
    <w:locked/>
    <w:rsid w:val="00D374AB"/>
    <w:rPr>
      <w:rFonts w:ascii="標楷體" w:eastAsia="標楷體" w:hAnsi="Times New Roman" w:cs="標楷體"/>
      <w:spacing w:val="10"/>
      <w:sz w:val="24"/>
      <w:szCs w:val="24"/>
    </w:rPr>
  </w:style>
  <w:style w:type="paragraph" w:styleId="31">
    <w:name w:val="Body Text Indent 3"/>
    <w:basedOn w:val="a"/>
    <w:link w:val="32"/>
    <w:uiPriority w:val="99"/>
    <w:rsid w:val="00D374AB"/>
    <w:pPr>
      <w:spacing w:line="360" w:lineRule="exact"/>
      <w:ind w:left="862" w:hanging="862"/>
    </w:pPr>
    <w:rPr>
      <w:rFonts w:ascii="新細明體" w:eastAsia="新細明體" w:cs="新細明體"/>
      <w:u w:val="single"/>
    </w:rPr>
  </w:style>
  <w:style w:type="character" w:customStyle="1" w:styleId="32">
    <w:name w:val="本文縮排 3 字元"/>
    <w:basedOn w:val="a1"/>
    <w:link w:val="31"/>
    <w:uiPriority w:val="99"/>
    <w:semiHidden/>
    <w:locked/>
    <w:rsid w:val="00D374AB"/>
    <w:rPr>
      <w:rFonts w:ascii="標楷體" w:eastAsia="標楷體" w:hAnsi="Times New Roman" w:cs="標楷體"/>
      <w:spacing w:val="10"/>
      <w:sz w:val="16"/>
      <w:szCs w:val="16"/>
    </w:rPr>
  </w:style>
  <w:style w:type="paragraph" w:styleId="aa">
    <w:name w:val="header"/>
    <w:basedOn w:val="a"/>
    <w:link w:val="ab"/>
    <w:uiPriority w:val="99"/>
    <w:rsid w:val="00D374AB"/>
    <w:pPr>
      <w:tabs>
        <w:tab w:val="center" w:pos="4153"/>
        <w:tab w:val="right" w:pos="8306"/>
      </w:tabs>
    </w:pPr>
    <w:rPr>
      <w:sz w:val="20"/>
      <w:szCs w:val="20"/>
    </w:rPr>
  </w:style>
  <w:style w:type="character" w:customStyle="1" w:styleId="ab">
    <w:name w:val="頁首 字元"/>
    <w:basedOn w:val="a1"/>
    <w:link w:val="aa"/>
    <w:uiPriority w:val="99"/>
    <w:semiHidden/>
    <w:locked/>
    <w:rsid w:val="00D374AB"/>
    <w:rPr>
      <w:rFonts w:ascii="標楷體" w:eastAsia="標楷體" w:hAnsi="Times New Roman" w:cs="標楷體"/>
      <w:spacing w:val="10"/>
      <w:sz w:val="20"/>
      <w:szCs w:val="20"/>
    </w:rPr>
  </w:style>
  <w:style w:type="paragraph" w:customStyle="1" w:styleId="HTML1">
    <w:name w:val="HTML 預設格式1"/>
    <w:basedOn w:val="a"/>
    <w:rsid w:val="001868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Arial Unicode MS" w:eastAsia="Arial Unicode MS" w:hAnsi="Arial Unicode MS" w:cs="Times New Roman"/>
      <w:color w:val="008000"/>
      <w:spacing w:val="0"/>
      <w:kern w:val="0"/>
      <w:sz w:val="20"/>
      <w:szCs w:val="20"/>
    </w:rPr>
  </w:style>
  <w:style w:type="paragraph" w:styleId="ac">
    <w:name w:val="List Paragraph"/>
    <w:basedOn w:val="a"/>
    <w:uiPriority w:val="34"/>
    <w:qFormat/>
    <w:rsid w:val="004D0647"/>
    <w:pPr>
      <w:ind w:leftChars="200" w:left="480"/>
    </w:pPr>
  </w:style>
  <w:style w:type="paragraph" w:styleId="ad">
    <w:name w:val="Body Text Indent"/>
    <w:basedOn w:val="a"/>
    <w:link w:val="ae"/>
    <w:uiPriority w:val="99"/>
    <w:semiHidden/>
    <w:unhideWhenUsed/>
    <w:rsid w:val="0037411E"/>
    <w:pPr>
      <w:spacing w:after="120"/>
      <w:ind w:leftChars="200" w:left="480"/>
    </w:pPr>
  </w:style>
  <w:style w:type="character" w:customStyle="1" w:styleId="ae">
    <w:name w:val="本文縮排 字元"/>
    <w:basedOn w:val="a1"/>
    <w:link w:val="ad"/>
    <w:uiPriority w:val="99"/>
    <w:semiHidden/>
    <w:locked/>
    <w:rsid w:val="0037411E"/>
    <w:rPr>
      <w:rFonts w:ascii="標楷體" w:eastAsia="標楷體" w:hAnsi="Times New Roman" w:cs="標楷體"/>
      <w:spacing w:val="1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證券商內部控制制度標準規範─內部控制制度修訂對照表（97年度）</dc:title>
  <dc:creator>0753</dc:creator>
  <cp:lastModifiedBy>jenny</cp:lastModifiedBy>
  <cp:revision>4</cp:revision>
  <cp:lastPrinted>2010-03-31T01:41:00Z</cp:lastPrinted>
  <dcterms:created xsi:type="dcterms:W3CDTF">2010-05-11T01:19:00Z</dcterms:created>
  <dcterms:modified xsi:type="dcterms:W3CDTF">2010-05-11T01:26:00Z</dcterms:modified>
</cp:coreProperties>
</file>