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39D2" w14:textId="19150296" w:rsidR="003F2BFE" w:rsidRPr="004D32CE" w:rsidRDefault="00352019" w:rsidP="009C551B">
      <w:pPr>
        <w:spacing w:line="400" w:lineRule="exact"/>
        <w:ind w:left="480" w:firstLine="480"/>
        <w:jc w:val="center"/>
        <w:rPr>
          <w:rFonts w:ascii="微軟正黑體" w:eastAsia="微軟正黑體" w:hAnsi="微軟正黑體" w:cs="新細明體"/>
          <w:bCs/>
          <w:color w:val="000000" w:themeColor="text1"/>
          <w:spacing w:val="10"/>
          <w:szCs w:val="24"/>
        </w:rPr>
      </w:pPr>
      <w:r w:rsidRPr="00245041">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682F802D" wp14:editId="37AF7F7B">
                <wp:simplePos x="0" y="0"/>
                <wp:positionH relativeFrom="column">
                  <wp:posOffset>0</wp:posOffset>
                </wp:positionH>
                <wp:positionV relativeFrom="paragraph">
                  <wp:posOffset>165100</wp:posOffset>
                </wp:positionV>
                <wp:extent cx="2172335" cy="3302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3020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802D" id="Rectangle 2" o:spid="_x0000_s1026" style="position:absolute;left:0;text-align:left;margin-left:0;margin-top:13pt;width:171.05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" o:allowincell="f" filled="f" strokecolor="white" strokeweight="4pt">
                <v:textbox inset="1pt,1pt,1pt,1pt">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v:textbox>
              </v:rect>
            </w:pict>
          </mc:Fallback>
        </mc:AlternateContent>
      </w:r>
      <w:r w:rsidR="003F2BFE" w:rsidRPr="00245041">
        <w:rPr>
          <w:rFonts w:ascii="微軟正黑體" w:eastAsia="微軟正黑體" w:hAnsi="微軟正黑體" w:hint="eastAsia"/>
          <w:spacing w:val="10"/>
        </w:rPr>
        <w:t xml:space="preserve">         　　　</w:t>
      </w:r>
      <w:r w:rsidR="003F2BFE" w:rsidRPr="004D32CE">
        <w:rPr>
          <w:rFonts w:ascii="微軟正黑體" w:eastAsia="微軟正黑體" w:hAnsi="微軟正黑體" w:hint="eastAsia"/>
          <w:color w:val="000000" w:themeColor="text1"/>
          <w:spacing w:val="10"/>
        </w:rPr>
        <w:t xml:space="preserve">　　                       證券股份有限公司                      </w:t>
      </w:r>
      <w:r w:rsidR="00467637" w:rsidRPr="004D32CE">
        <w:rPr>
          <w:rFonts w:ascii="微軟正黑體" w:eastAsia="微軟正黑體" w:hAnsi="微軟正黑體" w:cs="新細明體" w:hint="eastAsia"/>
          <w:bCs/>
          <w:color w:val="000000" w:themeColor="text1"/>
          <w:szCs w:val="24"/>
        </w:rPr>
        <w:t>（</w:t>
      </w:r>
      <w:r w:rsidR="00467637" w:rsidRPr="004D32CE">
        <w:rPr>
          <w:rFonts w:ascii="微軟正黑體" w:eastAsia="微軟正黑體" w:hAnsi="微軟正黑體" w:cs="新細明體"/>
          <w:bCs/>
          <w:color w:val="000000" w:themeColor="text1"/>
          <w:szCs w:val="24"/>
        </w:rPr>
        <w:t>1</w:t>
      </w:r>
      <w:r w:rsidR="001802C9">
        <w:rPr>
          <w:rFonts w:ascii="微軟正黑體" w:eastAsia="微軟正黑體" w:hAnsi="微軟正黑體" w:cs="新細明體" w:hint="eastAsia"/>
          <w:bCs/>
          <w:color w:val="000000" w:themeColor="text1"/>
          <w:szCs w:val="24"/>
        </w:rPr>
        <w:t>11</w:t>
      </w:r>
      <w:r w:rsidR="00467637" w:rsidRPr="004D32CE">
        <w:rPr>
          <w:rFonts w:ascii="微軟正黑體" w:eastAsia="微軟正黑體" w:hAnsi="微軟正黑體" w:cs="新細明體" w:hint="eastAsia"/>
          <w:bCs/>
          <w:color w:val="000000" w:themeColor="text1"/>
          <w:szCs w:val="24"/>
        </w:rPr>
        <w:t>年</w:t>
      </w:r>
      <w:r w:rsidR="002A6FA6">
        <w:rPr>
          <w:rFonts w:ascii="微軟正黑體" w:eastAsia="微軟正黑體" w:hAnsi="微軟正黑體" w:cs="新細明體" w:hint="eastAsia"/>
          <w:bCs/>
          <w:color w:val="000000" w:themeColor="text1"/>
          <w:szCs w:val="24"/>
        </w:rPr>
        <w:t>6</w:t>
      </w:r>
      <w:r w:rsidR="00EF00F4" w:rsidRPr="004D32CE">
        <w:rPr>
          <w:rFonts w:ascii="微軟正黑體" w:eastAsia="微軟正黑體" w:hAnsi="微軟正黑體" w:cs="新細明體" w:hint="eastAsia"/>
          <w:bCs/>
          <w:color w:val="000000" w:themeColor="text1"/>
          <w:szCs w:val="24"/>
        </w:rPr>
        <w:t>月</w:t>
      </w:r>
      <w:r w:rsidR="00467637" w:rsidRPr="004D32CE">
        <w:rPr>
          <w:rFonts w:ascii="微軟正黑體" w:eastAsia="微軟正黑體" w:hAnsi="微軟正黑體" w:cs="新細明體"/>
          <w:bCs/>
          <w:color w:val="000000" w:themeColor="text1"/>
          <w:szCs w:val="24"/>
        </w:rPr>
        <w:t>）</w:t>
      </w:r>
    </w:p>
    <w:p w14:paraId="01B5E770" w14:textId="77777777" w:rsidR="008E31DE" w:rsidRPr="004D32CE" w:rsidRDefault="008E31DE"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3A7C655E" w14:textId="77777777" w:rsidR="008E31DE" w:rsidRPr="004D32CE" w:rsidRDefault="008E31DE"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開戶</w:t>
      </w:r>
      <w:r w:rsidR="00C129A4" w:rsidRPr="004D32CE">
        <w:rPr>
          <w:rFonts w:ascii="微軟正黑體" w:eastAsia="微軟正黑體" w:hAnsi="微軟正黑體" w:hint="eastAsia"/>
          <w:color w:val="000000" w:themeColor="text1"/>
          <w:spacing w:val="10"/>
        </w:rPr>
        <w:t>手續</w:t>
      </w:r>
      <w:r w:rsidR="009106F1" w:rsidRPr="004D32CE">
        <w:rPr>
          <w:rFonts w:ascii="微軟正黑體" w:eastAsia="微軟正黑體" w:hAnsi="微軟正黑體" w:hint="eastAsia"/>
          <w:color w:val="000000" w:themeColor="text1"/>
          <w:spacing w:val="10"/>
        </w:rPr>
        <w:t>及審核作業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51C43762" w14:textId="77777777" w:rsidTr="00C63148">
        <w:trPr>
          <w:cantSplit/>
          <w:trHeight w:hRule="exact" w:val="400"/>
        </w:trPr>
        <w:tc>
          <w:tcPr>
            <w:tcW w:w="1446" w:type="dxa"/>
            <w:vMerge w:val="restart"/>
            <w:tcBorders>
              <w:top w:val="single" w:sz="12" w:space="0" w:color="auto"/>
              <w:left w:val="single" w:sz="12" w:space="0" w:color="auto"/>
            </w:tcBorders>
            <w:vAlign w:val="center"/>
          </w:tcPr>
          <w:p w14:paraId="51498B09"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0D67B87B"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5F1D02D9"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77033990"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0E0019DF" w14:textId="77777777" w:rsidTr="00C63148">
        <w:trPr>
          <w:cantSplit/>
          <w:trHeight w:hRule="exact" w:val="400"/>
        </w:trPr>
        <w:tc>
          <w:tcPr>
            <w:tcW w:w="1446" w:type="dxa"/>
            <w:vMerge/>
            <w:tcBorders>
              <w:left w:val="single" w:sz="12" w:space="0" w:color="auto"/>
            </w:tcBorders>
          </w:tcPr>
          <w:p w14:paraId="6F8D7DFF" w14:textId="77777777" w:rsidR="000C7DCF" w:rsidRPr="004D32CE" w:rsidRDefault="000C7DCF" w:rsidP="00C63148">
            <w:pPr>
              <w:rPr>
                <w:rFonts w:ascii="微軟正黑體" w:eastAsia="微軟正黑體" w:hAnsi="微軟正黑體"/>
                <w:color w:val="000000" w:themeColor="text1"/>
                <w:spacing w:val="10"/>
              </w:rPr>
            </w:pPr>
          </w:p>
        </w:tc>
        <w:tc>
          <w:tcPr>
            <w:tcW w:w="8930" w:type="dxa"/>
            <w:vMerge/>
          </w:tcPr>
          <w:p w14:paraId="22277FD9" w14:textId="77777777" w:rsidR="000C7DCF" w:rsidRPr="004D32CE" w:rsidRDefault="000C7DCF" w:rsidP="00C63148">
            <w:pPr>
              <w:rPr>
                <w:rFonts w:ascii="微軟正黑體" w:eastAsia="微軟正黑體" w:hAnsi="微軟正黑體"/>
                <w:color w:val="000000" w:themeColor="text1"/>
                <w:spacing w:val="10"/>
              </w:rPr>
            </w:pPr>
          </w:p>
        </w:tc>
        <w:tc>
          <w:tcPr>
            <w:tcW w:w="567" w:type="dxa"/>
          </w:tcPr>
          <w:p w14:paraId="606063FF"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6CE9285E"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47BE8C38"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741613BC" w14:textId="77777777" w:rsidR="000C7DCF" w:rsidRPr="004D32CE" w:rsidRDefault="000C7DCF" w:rsidP="00C63148">
            <w:pPr>
              <w:rPr>
                <w:rFonts w:ascii="微軟正黑體" w:eastAsia="微軟正黑體" w:hAnsi="微軟正黑體"/>
                <w:color w:val="000000" w:themeColor="text1"/>
                <w:spacing w:val="10"/>
              </w:rPr>
            </w:pPr>
          </w:p>
        </w:tc>
      </w:tr>
      <w:tr w:rsidR="004D32CE" w:rsidRPr="004D32CE" w14:paraId="1929BEA2" w14:textId="77777777" w:rsidTr="00C63148">
        <w:trPr>
          <w:trHeight w:hRule="exact" w:val="6574"/>
        </w:trPr>
        <w:tc>
          <w:tcPr>
            <w:tcW w:w="1446" w:type="dxa"/>
            <w:tcBorders>
              <w:left w:val="single" w:sz="12" w:space="0" w:color="auto"/>
            </w:tcBorders>
          </w:tcPr>
          <w:p w14:paraId="34ED3C2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委託人帳戶管理作業</w:t>
            </w:r>
          </w:p>
        </w:tc>
        <w:tc>
          <w:tcPr>
            <w:tcW w:w="8930" w:type="dxa"/>
          </w:tcPr>
          <w:p w14:paraId="0C2A8515" w14:textId="77777777" w:rsidR="000C7DCF" w:rsidRPr="004D32CE" w:rsidRDefault="000C7DCF" w:rsidP="000C7DCF">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一、委託人基本資料變更或註銷帳戶，是否依規定程序辦理。</w:t>
            </w:r>
          </w:p>
          <w:p w14:paraId="56403E56" w14:textId="77777777" w:rsidR="000C7DCF" w:rsidRPr="004D32CE" w:rsidRDefault="000C7DCF" w:rsidP="00C63148">
            <w:pPr>
              <w:spacing w:line="400" w:lineRule="exact"/>
              <w:ind w:left="533" w:hanging="533"/>
              <w:jc w:val="both"/>
              <w:rPr>
                <w:rFonts w:ascii="微軟正黑體" w:eastAsia="微軟正黑體" w:hAnsi="微軟正黑體"/>
                <w:strike/>
                <w:color w:val="000000" w:themeColor="text1"/>
                <w:spacing w:val="10"/>
              </w:rPr>
            </w:pPr>
          </w:p>
        </w:tc>
        <w:tc>
          <w:tcPr>
            <w:tcW w:w="567" w:type="dxa"/>
          </w:tcPr>
          <w:p w14:paraId="79A43C8F"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567" w:type="dxa"/>
          </w:tcPr>
          <w:p w14:paraId="2CB4398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992" w:type="dxa"/>
          </w:tcPr>
          <w:p w14:paraId="1910BCF4"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322D913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r>
      <w:tr w:rsidR="004D32CE" w:rsidRPr="004D32CE" w14:paraId="4BDB2F3A" w14:textId="77777777" w:rsidTr="00C63148">
        <w:trPr>
          <w:cantSplit/>
          <w:trHeight w:hRule="exact" w:val="1268"/>
        </w:trPr>
        <w:tc>
          <w:tcPr>
            <w:tcW w:w="14176" w:type="dxa"/>
            <w:gridSpan w:val="6"/>
            <w:tcBorders>
              <w:left w:val="single" w:sz="12" w:space="0" w:color="auto"/>
              <w:bottom w:val="single" w:sz="12" w:space="0" w:color="auto"/>
              <w:right w:val="single" w:sz="12" w:space="0" w:color="auto"/>
            </w:tcBorders>
          </w:tcPr>
          <w:p w14:paraId="71830EC9" w14:textId="77777777" w:rsidR="000C7DCF" w:rsidRPr="004D32CE" w:rsidRDefault="000C7DCF" w:rsidP="00C63148">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32AFA7CD" w14:textId="77777777" w:rsidR="000C7DCF" w:rsidRPr="004D32CE" w:rsidRDefault="000C7DCF" w:rsidP="000C7DCF">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 xml:space="preserve">                                               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p>
    <w:p w14:paraId="17C53440" w14:textId="77777777" w:rsidR="00B63BED" w:rsidRPr="004D32CE" w:rsidRDefault="00B63BED" w:rsidP="00B63BED">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 xml:space="preserve">　　　證券股份有限公司</w:t>
      </w:r>
    </w:p>
    <w:p w14:paraId="03722763" w14:textId="0C32806E" w:rsidR="00B63BED" w:rsidRPr="004D32CE" w:rsidRDefault="00352019"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4144" behindDoc="0" locked="0" layoutInCell="0" allowOverlap="1" wp14:anchorId="01552F45" wp14:editId="56F1901D">
                <wp:simplePos x="0" y="0"/>
                <wp:positionH relativeFrom="column">
                  <wp:posOffset>0</wp:posOffset>
                </wp:positionH>
                <wp:positionV relativeFrom="paragraph">
                  <wp:posOffset>25400</wp:posOffset>
                </wp:positionV>
                <wp:extent cx="2172335" cy="34353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F45" id="Rectangle 3" o:spid="_x0000_s1027"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" o:allowincell="f" filled="f" strokecolor="white" strokeweight="4pt">
                <v:textbox inset="1pt,1pt,1pt,1pt">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B63BED" w:rsidRPr="004D32CE">
        <w:rPr>
          <w:rFonts w:ascii="微軟正黑體" w:eastAsia="微軟正黑體" w:hAnsi="微軟正黑體" w:hint="eastAsia"/>
          <w:color w:val="000000" w:themeColor="text1"/>
          <w:spacing w:val="10"/>
        </w:rPr>
        <w:t>業務及收入循環：經紀</w:t>
      </w:r>
      <w:r w:rsidR="00B63BED" w:rsidRPr="004D32CE">
        <w:rPr>
          <w:rFonts w:ascii="微軟正黑體" w:eastAsia="微軟正黑體" w:hAnsi="微軟正黑體"/>
          <w:color w:val="000000" w:themeColor="text1"/>
          <w:spacing w:val="10"/>
        </w:rPr>
        <w:t>(</w:t>
      </w:r>
      <w:r w:rsidR="00B63BED" w:rsidRPr="004D32CE">
        <w:rPr>
          <w:rFonts w:ascii="微軟正黑體" w:eastAsia="微軟正黑體" w:hAnsi="微軟正黑體" w:hint="eastAsia"/>
          <w:color w:val="000000" w:themeColor="text1"/>
          <w:spacing w:val="10"/>
        </w:rPr>
        <w:t>受託買賣外國有價證券</w:t>
      </w:r>
      <w:r w:rsidR="00B63BED" w:rsidRPr="004D32CE">
        <w:rPr>
          <w:rFonts w:ascii="微軟正黑體" w:eastAsia="微軟正黑體" w:hAnsi="微軟正黑體"/>
          <w:color w:val="000000" w:themeColor="text1"/>
          <w:spacing w:val="10"/>
        </w:rPr>
        <w:t>)</w:t>
      </w:r>
    </w:p>
    <w:p w14:paraId="4D5DB3EA" w14:textId="77777777" w:rsidR="00B63BED" w:rsidRPr="004D32CE" w:rsidRDefault="00B63BED"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w:t>
      </w:r>
      <w:r w:rsidR="009106F1" w:rsidRPr="004D32CE">
        <w:rPr>
          <w:rFonts w:ascii="微軟正黑體" w:eastAsia="微軟正黑體" w:hAnsi="微軟正黑體" w:hint="eastAsia"/>
          <w:color w:val="000000" w:themeColor="text1"/>
          <w:spacing w:val="10"/>
        </w:rPr>
        <w:t>作業</w:t>
      </w:r>
      <w:r w:rsidRPr="004D32CE">
        <w:rPr>
          <w:rFonts w:ascii="微軟正黑體" w:eastAsia="微軟正黑體" w:hAnsi="微軟正黑體" w:hint="eastAsia"/>
          <w:color w:val="000000" w:themeColor="text1"/>
          <w:spacing w:val="10"/>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4D32CE" w:rsidRPr="004D32CE" w14:paraId="28A12946"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1ECC05A1"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1400C15D"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7C06D862"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2DA8325F"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3A2A2E79" w14:textId="77777777" w:rsidTr="001C4942">
        <w:trPr>
          <w:cantSplit/>
          <w:trHeight w:hRule="exact" w:val="400"/>
        </w:trPr>
        <w:tc>
          <w:tcPr>
            <w:tcW w:w="1560" w:type="dxa"/>
            <w:vMerge/>
            <w:tcBorders>
              <w:left w:val="single" w:sz="12" w:space="0" w:color="auto"/>
            </w:tcBorders>
          </w:tcPr>
          <w:p w14:paraId="49B93633" w14:textId="77777777" w:rsidR="00B63BED" w:rsidRPr="004D32CE" w:rsidRDefault="00B63BED" w:rsidP="00015D34">
            <w:pPr>
              <w:rPr>
                <w:rFonts w:ascii="微軟正黑體" w:eastAsia="微軟正黑體" w:hAnsi="微軟正黑體"/>
                <w:color w:val="000000" w:themeColor="text1"/>
                <w:spacing w:val="10"/>
              </w:rPr>
            </w:pPr>
          </w:p>
        </w:tc>
        <w:tc>
          <w:tcPr>
            <w:tcW w:w="8930" w:type="dxa"/>
            <w:vMerge/>
          </w:tcPr>
          <w:p w14:paraId="61611F36" w14:textId="77777777" w:rsidR="00B63BED" w:rsidRPr="004D32CE" w:rsidRDefault="00B63BED" w:rsidP="00015D34">
            <w:pPr>
              <w:rPr>
                <w:rFonts w:ascii="微軟正黑體" w:eastAsia="微軟正黑體" w:hAnsi="微軟正黑體"/>
                <w:color w:val="000000" w:themeColor="text1"/>
                <w:spacing w:val="10"/>
              </w:rPr>
            </w:pPr>
          </w:p>
        </w:tc>
        <w:tc>
          <w:tcPr>
            <w:tcW w:w="567" w:type="dxa"/>
          </w:tcPr>
          <w:p w14:paraId="65F74EE7"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5B9AF086"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620A2124"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39A64176" w14:textId="77777777" w:rsidR="00B63BED" w:rsidRPr="004D32CE" w:rsidRDefault="00B63BED" w:rsidP="00015D34">
            <w:pPr>
              <w:rPr>
                <w:rFonts w:ascii="微軟正黑體" w:eastAsia="微軟正黑體" w:hAnsi="微軟正黑體"/>
                <w:color w:val="000000" w:themeColor="text1"/>
                <w:spacing w:val="10"/>
              </w:rPr>
            </w:pPr>
          </w:p>
        </w:tc>
      </w:tr>
      <w:tr w:rsidR="004D32CE" w:rsidRPr="004D32CE" w14:paraId="6C37AFE1" w14:textId="77777777" w:rsidTr="00AF5B0E">
        <w:trPr>
          <w:trHeight w:hRule="exact" w:val="8102"/>
        </w:trPr>
        <w:tc>
          <w:tcPr>
            <w:tcW w:w="1560" w:type="dxa"/>
            <w:tcBorders>
              <w:left w:val="single" w:sz="12" w:space="0" w:color="auto"/>
            </w:tcBorders>
          </w:tcPr>
          <w:p w14:paraId="7F45B34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2FFC2E32" w14:textId="38D0AB64" w:rsidR="00164AC8" w:rsidRPr="004D32CE"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公司辦理本項業務或國際證券業務分公司依規定受託買賣外幣結構型商品，公司是否於本公會「證券商受託買賣外國有價證券業務電子化申報平台」申報相關資料。</w:t>
            </w:r>
          </w:p>
          <w:p w14:paraId="78850801" w14:textId="5048F92F" w:rsidR="00164AC8" w:rsidRPr="004D32CE" w:rsidRDefault="00164AC8" w:rsidP="00C77E90">
            <w:pPr>
              <w:spacing w:line="400" w:lineRule="exact"/>
              <w:ind w:leftChars="200" w:left="48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公司受託買賣境外結構型商品前，是否與發行人、總代理人共同簽訂書面契約。</w:t>
            </w:r>
          </w:p>
          <w:p w14:paraId="1A8C507A" w14:textId="242CDC3F" w:rsidR="004554A3" w:rsidRPr="009B65A1" w:rsidRDefault="004554A3" w:rsidP="00C77E90">
            <w:pPr>
              <w:spacing w:after="108" w:line="380" w:lineRule="exact"/>
              <w:ind w:leftChars="200" w:left="48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公司接受高資產客戶委託買賣證券商或本國銀行之海外轉投資子公司或分支機構發行境外結構型商品，是否與境內代理人以約定或書面確認其商品資訊提供、爭議處理、重大事件通報程序等事項。</w:t>
            </w:r>
          </w:p>
          <w:p w14:paraId="22911862" w14:textId="7C160E6B" w:rsidR="00164AC8" w:rsidRPr="009B65A1"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color w:val="000000" w:themeColor="text1"/>
                <w:spacing w:val="10"/>
              </w:rPr>
            </w:pPr>
            <w:r w:rsidRPr="009B65A1">
              <w:rPr>
                <w:rFonts w:ascii="微軟正黑體" w:eastAsia="微軟正黑體" w:hAnsi="微軟正黑體" w:hint="eastAsia"/>
                <w:color w:val="000000" w:themeColor="text1"/>
                <w:spacing w:val="10"/>
              </w:rPr>
              <w:t>公司受託買賣境外結構型商品前，商品審查小組是否依規定進行審查。</w:t>
            </w:r>
          </w:p>
          <w:p w14:paraId="2939CDD4" w14:textId="77777777" w:rsidR="00C77E90" w:rsidRPr="009B65A1" w:rsidRDefault="00C77E90" w:rsidP="002D4147">
            <w:pPr>
              <w:spacing w:after="108" w:line="380" w:lineRule="exact"/>
              <w:ind w:leftChars="200" w:left="48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公司接受高資產客戶委託買賣境外結構型商品，是否建立適當之商品適合度制度，及商品上架審查標準、審查程序與監控機制，是否依該自訂之內部規範辦理。</w:t>
            </w:r>
          </w:p>
          <w:p w14:paraId="5A5FD501" w14:textId="64F1BF03" w:rsidR="00C77E90" w:rsidRPr="009B65A1" w:rsidRDefault="00C77E90" w:rsidP="002D4147">
            <w:pPr>
              <w:spacing w:after="108" w:line="380" w:lineRule="exact"/>
              <w:ind w:leftChars="200" w:left="48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公司接受高資產客戶委託買賣境外結構型商品，是否就相同發行機構且相同商品結構或相同商品風險等級之商品自訂類型化審查之規範，是否依該自訂之內部規範辦理。</w:t>
            </w:r>
          </w:p>
          <w:p w14:paraId="3361318F" w14:textId="77777777" w:rsidR="00164AC8" w:rsidRPr="004D32CE" w:rsidRDefault="00164AC8" w:rsidP="002D4147">
            <w:pPr>
              <w:spacing w:line="400" w:lineRule="exact"/>
              <w:ind w:leftChars="227" w:left="545"/>
              <w:jc w:val="both"/>
              <w:rPr>
                <w:rFonts w:ascii="微軟正黑體" w:eastAsia="微軟正黑體" w:hAnsi="微軟正黑體"/>
                <w:color w:val="000000" w:themeColor="text1"/>
                <w:spacing w:val="10"/>
              </w:rPr>
            </w:pPr>
            <w:r w:rsidRPr="009B65A1">
              <w:rPr>
                <w:rFonts w:ascii="微軟正黑體" w:eastAsia="微軟正黑體" w:hAnsi="微軟正黑體" w:hint="eastAsia"/>
                <w:color w:val="000000" w:themeColor="text1"/>
                <w:spacing w:val="10"/>
              </w:rPr>
              <w:t>公司提供給境外結構型</w:t>
            </w:r>
            <w:r w:rsidRPr="004D32CE">
              <w:rPr>
                <w:rFonts w:ascii="微軟正黑體" w:eastAsia="微軟正黑體" w:hAnsi="微軟正黑體" w:hint="eastAsia"/>
                <w:color w:val="000000" w:themeColor="text1"/>
                <w:spacing w:val="10"/>
              </w:rPr>
              <w:t>商品發行人或總代理人之資料，是否經內部適當審核，並確定內容無不當、不實陳述及違反相關法令之情事。</w:t>
            </w:r>
          </w:p>
          <w:p w14:paraId="32B6F924" w14:textId="77777777" w:rsidR="00164AC8" w:rsidRPr="004D32CE" w:rsidRDefault="00164AC8" w:rsidP="002D4147">
            <w:pPr>
              <w:spacing w:line="400" w:lineRule="exact"/>
              <w:ind w:leftChars="227" w:left="545"/>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（該商品以專業機構投資人或高淨值投資法人為受託買賣對象者，得不適用本點規範）</w:t>
            </w:r>
          </w:p>
          <w:p w14:paraId="11931E75" w14:textId="77777777" w:rsidR="009D682B" w:rsidRPr="004D32CE" w:rsidRDefault="009D682B" w:rsidP="00AF5B0E">
            <w:pPr>
              <w:snapToGrid w:val="0"/>
              <w:spacing w:line="400" w:lineRule="exact"/>
              <w:ind w:leftChars="163" w:left="1101" w:hangingChars="273" w:hanging="710"/>
              <w:jc w:val="both"/>
              <w:rPr>
                <w:rFonts w:ascii="微軟正黑體" w:eastAsia="微軟正黑體" w:hAnsi="微軟正黑體"/>
                <w:b/>
                <w:bCs/>
                <w:color w:val="000000" w:themeColor="text1"/>
                <w:spacing w:val="10"/>
              </w:rPr>
            </w:pPr>
          </w:p>
        </w:tc>
        <w:tc>
          <w:tcPr>
            <w:tcW w:w="567" w:type="dxa"/>
          </w:tcPr>
          <w:p w14:paraId="54041B89"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567" w:type="dxa"/>
          </w:tcPr>
          <w:p w14:paraId="3CA136FA"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992" w:type="dxa"/>
          </w:tcPr>
          <w:p w14:paraId="0FC6F75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5F0C0C10"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r>
    </w:tbl>
    <w:p w14:paraId="2F63446C" w14:textId="77777777" w:rsidR="00D239F7" w:rsidRPr="004D32CE" w:rsidRDefault="00D239F7" w:rsidP="007E7E14">
      <w:pPr>
        <w:spacing w:line="500" w:lineRule="exact"/>
        <w:jc w:val="center"/>
        <w:rPr>
          <w:rFonts w:ascii="微軟正黑體" w:eastAsia="微軟正黑體" w:hAnsi="微軟正黑體"/>
          <w:color w:val="000000" w:themeColor="text1"/>
          <w:spacing w:val="10"/>
        </w:rPr>
      </w:pPr>
    </w:p>
    <w:p w14:paraId="0E44BC7A" w14:textId="77777777" w:rsidR="00387707" w:rsidRPr="004D32CE" w:rsidRDefault="00D239F7" w:rsidP="00387707">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color w:val="000000" w:themeColor="text1"/>
          <w:spacing w:val="10"/>
        </w:rPr>
        <w:br w:type="page"/>
      </w:r>
      <w:r w:rsidR="00387707" w:rsidRPr="004D32CE">
        <w:rPr>
          <w:rFonts w:ascii="微軟正黑體" w:eastAsia="微軟正黑體" w:hAnsi="微軟正黑體" w:hint="eastAsia"/>
          <w:color w:val="000000" w:themeColor="text1"/>
          <w:spacing w:val="10"/>
        </w:rPr>
        <w:lastRenderedPageBreak/>
        <w:t xml:space="preserve">　　　　　　證券股份有限公司</w:t>
      </w:r>
    </w:p>
    <w:p w14:paraId="7DFF549B" w14:textId="5B5A1558" w:rsidR="00387707" w:rsidRPr="004D32CE" w:rsidRDefault="00352019" w:rsidP="0038770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5168" behindDoc="0" locked="0" layoutInCell="0" allowOverlap="1" wp14:anchorId="3C031347" wp14:editId="59D1A955">
                <wp:simplePos x="0" y="0"/>
                <wp:positionH relativeFrom="column">
                  <wp:posOffset>0</wp:posOffset>
                </wp:positionH>
                <wp:positionV relativeFrom="paragraph">
                  <wp:posOffset>25400</wp:posOffset>
                </wp:positionV>
                <wp:extent cx="2172335" cy="3435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1347" id="Rectangle 10" o:spid="_x0000_s1028"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Ae7vScJAIAADUEAAAOAAAAAAAAAAAAAAAAAC4CAABkcnMvZTJvRG9jLnht&#10;bFBLAQItABQABgAIAAAAIQDFXsJ13AAAAAUBAAAPAAAAAAAAAAAAAAAAAH4EAABkcnMvZG93bnJl&#10;di54bWxQSwUGAAAAAAQABADzAAAAhwUAAAAA&#10;" o:allowincell="f" filled="f" strokecolor="white" strokeweight="4pt">
                <v:textbox inset="1pt,1pt,1pt,1pt">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387707" w:rsidRPr="004D32CE">
        <w:rPr>
          <w:rFonts w:ascii="微軟正黑體" w:eastAsia="微軟正黑體" w:hAnsi="微軟正黑體" w:hint="eastAsia"/>
          <w:color w:val="000000" w:themeColor="text1"/>
          <w:spacing w:val="10"/>
        </w:rPr>
        <w:t>業務及收入循環：經紀</w:t>
      </w:r>
      <w:r w:rsidR="00387707" w:rsidRPr="004D32CE">
        <w:rPr>
          <w:rFonts w:ascii="微軟正黑體" w:eastAsia="微軟正黑體" w:hAnsi="微軟正黑體"/>
          <w:color w:val="000000" w:themeColor="text1"/>
          <w:spacing w:val="10"/>
        </w:rPr>
        <w:t>(</w:t>
      </w:r>
      <w:r w:rsidR="00387707" w:rsidRPr="004D32CE">
        <w:rPr>
          <w:rFonts w:ascii="微軟正黑體" w:eastAsia="微軟正黑體" w:hAnsi="微軟正黑體" w:hint="eastAsia"/>
          <w:color w:val="000000" w:themeColor="text1"/>
          <w:spacing w:val="10"/>
        </w:rPr>
        <w:t>受託買賣外國有價證券</w:t>
      </w:r>
      <w:r w:rsidR="00387707" w:rsidRPr="004D32CE">
        <w:rPr>
          <w:rFonts w:ascii="微軟正黑體" w:eastAsia="微軟正黑體" w:hAnsi="微軟正黑體"/>
          <w:color w:val="000000" w:themeColor="text1"/>
          <w:spacing w:val="10"/>
        </w:rPr>
        <w:t>)</w:t>
      </w:r>
    </w:p>
    <w:p w14:paraId="475DB8AB" w14:textId="77777777" w:rsidR="00387707" w:rsidRPr="004D32CE" w:rsidRDefault="00387707" w:rsidP="0038770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w:t>
      </w:r>
      <w:r w:rsidR="009106F1" w:rsidRPr="004D32CE">
        <w:rPr>
          <w:rFonts w:ascii="微軟正黑體" w:eastAsia="微軟正黑體" w:hAnsi="微軟正黑體" w:hint="eastAsia"/>
          <w:color w:val="000000" w:themeColor="text1"/>
          <w:spacing w:val="10"/>
        </w:rPr>
        <w:t>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7E8FFCF2" w14:textId="77777777" w:rsidTr="00AF5B0E">
        <w:trPr>
          <w:cantSplit/>
          <w:trHeight w:hRule="exact" w:val="400"/>
        </w:trPr>
        <w:tc>
          <w:tcPr>
            <w:tcW w:w="1446" w:type="dxa"/>
            <w:vMerge w:val="restart"/>
            <w:tcBorders>
              <w:top w:val="single" w:sz="12" w:space="0" w:color="auto"/>
              <w:left w:val="single" w:sz="12" w:space="0" w:color="auto"/>
            </w:tcBorders>
            <w:vAlign w:val="center"/>
          </w:tcPr>
          <w:p w14:paraId="7182436C" w14:textId="77777777" w:rsidR="00387707" w:rsidRPr="004D32CE" w:rsidRDefault="00387707" w:rsidP="0062427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2D617521" w14:textId="77777777" w:rsidR="00387707" w:rsidRPr="004D32CE" w:rsidRDefault="00387707" w:rsidP="0062427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0ED7463D"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73AE3E11" w14:textId="77777777" w:rsidR="00387707" w:rsidRPr="004D32CE" w:rsidRDefault="00387707" w:rsidP="0062427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5CD298FD" w14:textId="77777777" w:rsidTr="00AF5B0E">
        <w:trPr>
          <w:cantSplit/>
          <w:trHeight w:hRule="exact" w:val="400"/>
        </w:trPr>
        <w:tc>
          <w:tcPr>
            <w:tcW w:w="1446" w:type="dxa"/>
            <w:vMerge/>
            <w:tcBorders>
              <w:left w:val="single" w:sz="12" w:space="0" w:color="auto"/>
            </w:tcBorders>
          </w:tcPr>
          <w:p w14:paraId="74E7C9F8" w14:textId="77777777" w:rsidR="00387707" w:rsidRPr="004D32CE" w:rsidRDefault="00387707" w:rsidP="00624275">
            <w:pPr>
              <w:rPr>
                <w:rFonts w:ascii="微軟正黑體" w:eastAsia="微軟正黑體" w:hAnsi="微軟正黑體"/>
                <w:color w:val="000000" w:themeColor="text1"/>
                <w:spacing w:val="10"/>
              </w:rPr>
            </w:pPr>
          </w:p>
        </w:tc>
        <w:tc>
          <w:tcPr>
            <w:tcW w:w="8930" w:type="dxa"/>
            <w:vMerge/>
          </w:tcPr>
          <w:p w14:paraId="7B3C2B3F" w14:textId="77777777" w:rsidR="00387707" w:rsidRPr="004D32CE" w:rsidRDefault="00387707" w:rsidP="00624275">
            <w:pPr>
              <w:rPr>
                <w:rFonts w:ascii="微軟正黑體" w:eastAsia="微軟正黑體" w:hAnsi="微軟正黑體"/>
                <w:color w:val="000000" w:themeColor="text1"/>
                <w:spacing w:val="10"/>
              </w:rPr>
            </w:pPr>
          </w:p>
        </w:tc>
        <w:tc>
          <w:tcPr>
            <w:tcW w:w="567" w:type="dxa"/>
          </w:tcPr>
          <w:p w14:paraId="4E540F57"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09DD5566"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0B21E6E6"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2EA3CBEA" w14:textId="77777777" w:rsidR="00387707" w:rsidRPr="004D32CE" w:rsidRDefault="00387707" w:rsidP="00624275">
            <w:pPr>
              <w:rPr>
                <w:rFonts w:ascii="微軟正黑體" w:eastAsia="微軟正黑體" w:hAnsi="微軟正黑體"/>
                <w:color w:val="000000" w:themeColor="text1"/>
                <w:spacing w:val="10"/>
              </w:rPr>
            </w:pPr>
          </w:p>
        </w:tc>
      </w:tr>
      <w:tr w:rsidR="004D32CE" w:rsidRPr="004D32CE" w14:paraId="483C9282" w14:textId="77777777" w:rsidTr="00AF5B0E">
        <w:trPr>
          <w:trHeight w:hRule="exact" w:val="6871"/>
        </w:trPr>
        <w:tc>
          <w:tcPr>
            <w:tcW w:w="1446" w:type="dxa"/>
            <w:tcBorders>
              <w:left w:val="single" w:sz="12" w:space="0" w:color="auto"/>
            </w:tcBorders>
          </w:tcPr>
          <w:p w14:paraId="1643F89B"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0C513907" w14:textId="77777777" w:rsidR="00AF5B0E" w:rsidRPr="004D32CE" w:rsidRDefault="00AF5B0E" w:rsidP="00AF5B0E">
            <w:pPr>
              <w:spacing w:line="400" w:lineRule="exact"/>
              <w:ind w:left="468" w:hangingChars="180" w:hanging="468"/>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三、</w:t>
            </w:r>
            <w:r w:rsidRPr="00AF5B0E">
              <w:rPr>
                <w:rFonts w:ascii="微軟正黑體" w:eastAsia="微軟正黑體" w:hAnsi="微軟正黑體" w:hint="eastAsia"/>
                <w:color w:val="000000" w:themeColor="text1"/>
                <w:spacing w:val="10"/>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230568BC" w14:textId="5AF00B71" w:rsidR="00AF5B0E" w:rsidRDefault="00AF5B0E" w:rsidP="00AF5B0E">
            <w:pPr>
              <w:snapToGrid w:val="0"/>
              <w:spacing w:line="400" w:lineRule="exact"/>
              <w:ind w:left="533" w:hangingChars="205" w:hanging="533"/>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四、公司邀請國外分析師對客戶說明其外國有價證券研究內容是否依下列規定辦理：</w:t>
            </w:r>
          </w:p>
          <w:p w14:paraId="383C19FA" w14:textId="77777777" w:rsidR="00AF5B0E" w:rsidRPr="004D32CE" w:rsidRDefault="00AF5B0E" w:rsidP="00AF5B0E">
            <w:pPr>
              <w:snapToGrid w:val="0"/>
              <w:spacing w:line="400" w:lineRule="exact"/>
              <w:ind w:leftChars="163" w:left="1101" w:hangingChars="273" w:hanging="71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（一）證券商研究報告自外國證券機構取得者，為服務特定客戶，得邀請撰寫該研究報告之國外分析師來台對證券商之客戶說明其研究內容，並由辦妥登記之高級業務員或業務員資格者陪同。</w:t>
            </w:r>
          </w:p>
          <w:p w14:paraId="48A50BDA" w14:textId="77777777" w:rsidR="009D682B" w:rsidRPr="004D32CE" w:rsidRDefault="00164AC8" w:rsidP="00164AC8">
            <w:pPr>
              <w:snapToGrid w:val="0"/>
              <w:spacing w:line="400" w:lineRule="exact"/>
              <w:ind w:leftChars="163" w:left="1101" w:hangingChars="273" w:hanging="71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（二）說明內容侷限該研究報告內容，相關行為除應符合本公會「證券商推</w:t>
            </w:r>
            <w:proofErr w:type="gramStart"/>
            <w:r w:rsidRPr="004D32CE">
              <w:rPr>
                <w:rFonts w:ascii="微軟正黑體" w:eastAsia="微軟正黑體" w:hAnsi="微軟正黑體" w:hint="eastAsia"/>
                <w:color w:val="000000" w:themeColor="text1"/>
                <w:spacing w:val="10"/>
              </w:rPr>
              <w:t>介</w:t>
            </w:r>
            <w:proofErr w:type="gramEnd"/>
            <w:r w:rsidRPr="004D32CE">
              <w:rPr>
                <w:rFonts w:ascii="微軟正黑體" w:eastAsia="微軟正黑體" w:hAnsi="微軟正黑體" w:hint="eastAsia"/>
                <w:color w:val="000000" w:themeColor="text1"/>
                <w:spacing w:val="10"/>
              </w:rPr>
              <w:t>客戶買賣外國有價證券管理辦法」外，不得涉及未經許可外國金融商品之推</w:t>
            </w:r>
            <w:proofErr w:type="gramStart"/>
            <w:r w:rsidRPr="004D32CE">
              <w:rPr>
                <w:rFonts w:ascii="微軟正黑體" w:eastAsia="微軟正黑體" w:hAnsi="微軟正黑體" w:hint="eastAsia"/>
                <w:color w:val="000000" w:themeColor="text1"/>
                <w:spacing w:val="10"/>
              </w:rPr>
              <w:t>介</w:t>
            </w:r>
            <w:proofErr w:type="gramEnd"/>
            <w:r w:rsidRPr="004D32CE">
              <w:rPr>
                <w:rFonts w:ascii="微軟正黑體" w:eastAsia="微軟正黑體" w:hAnsi="微軟正黑體" w:hint="eastAsia"/>
                <w:color w:val="000000" w:themeColor="text1"/>
                <w:spacing w:val="10"/>
              </w:rPr>
              <w:t>或銷售，亦不得涉及違反「證券商受託買賣外國有價證券管理規則」第30條，轉</w:t>
            </w:r>
            <w:proofErr w:type="gramStart"/>
            <w:r w:rsidRPr="004D32CE">
              <w:rPr>
                <w:rFonts w:ascii="微軟正黑體" w:eastAsia="微軟正黑體" w:hAnsi="微軟正黑體" w:hint="eastAsia"/>
                <w:color w:val="000000" w:themeColor="text1"/>
                <w:spacing w:val="10"/>
              </w:rPr>
              <w:t>介</w:t>
            </w:r>
            <w:proofErr w:type="gramEnd"/>
            <w:r w:rsidRPr="004D32CE">
              <w:rPr>
                <w:rFonts w:ascii="微軟正黑體" w:eastAsia="微軟正黑體" w:hAnsi="微軟正黑體" w:hint="eastAsia"/>
                <w:color w:val="000000" w:themeColor="text1"/>
                <w:spacing w:val="10"/>
              </w:rPr>
              <w:t>投資人至國外證券商開戶、買賣外國有價證券之行為。</w:t>
            </w:r>
          </w:p>
          <w:p w14:paraId="7EC49736" w14:textId="77777777" w:rsidR="00164AC8" w:rsidRPr="004D32CE" w:rsidRDefault="00164AC8" w:rsidP="00164AC8">
            <w:pPr>
              <w:snapToGrid w:val="0"/>
              <w:spacing w:line="400" w:lineRule="exact"/>
              <w:ind w:leftChars="163" w:left="1101" w:hangingChars="273" w:hanging="71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（三）證券商於辦理上開事項時，應紀錄留存國外分析師拜訪行程及說明之研究報告等文件備查。</w:t>
            </w:r>
          </w:p>
          <w:p w14:paraId="62EBCB6C" w14:textId="2F4BB27C" w:rsidR="00164AC8" w:rsidRPr="004D32CE" w:rsidRDefault="00164AC8" w:rsidP="00164AC8">
            <w:pPr>
              <w:snapToGrid w:val="0"/>
              <w:spacing w:line="400" w:lineRule="exact"/>
              <w:ind w:leftChars="458" w:left="1525" w:hangingChars="164" w:hanging="426"/>
              <w:jc w:val="both"/>
              <w:rPr>
                <w:rFonts w:ascii="微軟正黑體" w:eastAsia="微軟正黑體" w:hAnsi="微軟正黑體"/>
                <w:color w:val="000000" w:themeColor="text1"/>
                <w:spacing w:val="10"/>
                <w:u w:val="single"/>
              </w:rPr>
            </w:pPr>
          </w:p>
        </w:tc>
        <w:tc>
          <w:tcPr>
            <w:tcW w:w="567" w:type="dxa"/>
          </w:tcPr>
          <w:p w14:paraId="0AE7EB4B"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c>
          <w:tcPr>
            <w:tcW w:w="567" w:type="dxa"/>
          </w:tcPr>
          <w:p w14:paraId="7E3A55CA"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c>
          <w:tcPr>
            <w:tcW w:w="992" w:type="dxa"/>
          </w:tcPr>
          <w:p w14:paraId="1EFA1368"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7AC73B58"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r>
    </w:tbl>
    <w:p w14:paraId="02DF0A5B" w14:textId="419CF59D" w:rsidR="00AF5B0E" w:rsidRDefault="00AF5B0E">
      <w:r>
        <w:br w:type="page"/>
      </w:r>
    </w:p>
    <w:p w14:paraId="430A8297" w14:textId="77777777" w:rsidR="00AF5B0E" w:rsidRPr="004D32CE" w:rsidRDefault="00AF5B0E" w:rsidP="00AF5B0E">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證券股份有限公司</w:t>
      </w:r>
    </w:p>
    <w:p w14:paraId="0540A4BD" w14:textId="77777777" w:rsidR="00AF5B0E" w:rsidRPr="004D32CE" w:rsidRDefault="00AF5B0E" w:rsidP="00AF5B0E">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66432" behindDoc="0" locked="0" layoutInCell="0" allowOverlap="1" wp14:anchorId="4541BBEC" wp14:editId="05D317E4">
                <wp:simplePos x="0" y="0"/>
                <wp:positionH relativeFrom="column">
                  <wp:posOffset>0</wp:posOffset>
                </wp:positionH>
                <wp:positionV relativeFrom="paragraph">
                  <wp:posOffset>25400</wp:posOffset>
                </wp:positionV>
                <wp:extent cx="2172335" cy="343535"/>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0DCAB6" w14:textId="77777777" w:rsidR="00AF5B0E" w:rsidRPr="00D16EFD" w:rsidRDefault="00AF5B0E" w:rsidP="00AF5B0E">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BBEC" id="_x0000_s1029" style="position:absolute;left:0;text-align:left;margin-left:0;margin-top:2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iCyg2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0C0DCAB6" w14:textId="77777777" w:rsidR="00AF5B0E" w:rsidRPr="00D16EFD" w:rsidRDefault="00AF5B0E" w:rsidP="00AF5B0E">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3D87567D" w14:textId="22F6A453" w:rsidR="00AF5B0E" w:rsidRDefault="00AF5B0E" w:rsidP="00AF5B0E">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受託買賣及成交作業查核明細表</w:t>
      </w:r>
    </w:p>
    <w:tbl>
      <w:tblPr>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1418"/>
        <w:gridCol w:w="8930"/>
        <w:gridCol w:w="567"/>
        <w:gridCol w:w="567"/>
        <w:gridCol w:w="992"/>
        <w:gridCol w:w="1674"/>
        <w:gridCol w:w="27"/>
      </w:tblGrid>
      <w:tr w:rsidR="00AF5B0E" w:rsidRPr="004D32CE" w14:paraId="3C01FF44" w14:textId="77777777" w:rsidTr="00AF5B0E">
        <w:trPr>
          <w:gridAfter w:val="1"/>
          <w:wAfter w:w="27" w:type="dxa"/>
          <w:cantSplit/>
          <w:trHeight w:hRule="exact" w:val="400"/>
        </w:trPr>
        <w:tc>
          <w:tcPr>
            <w:tcW w:w="1446" w:type="dxa"/>
            <w:gridSpan w:val="2"/>
            <w:vMerge w:val="restart"/>
            <w:tcBorders>
              <w:top w:val="single" w:sz="12" w:space="0" w:color="auto"/>
              <w:left w:val="single" w:sz="12" w:space="0" w:color="auto"/>
            </w:tcBorders>
            <w:vAlign w:val="center"/>
          </w:tcPr>
          <w:p w14:paraId="185848F4" w14:textId="77777777" w:rsidR="00AF5B0E" w:rsidRPr="004D32CE" w:rsidRDefault="00AF5B0E" w:rsidP="009B75E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0DF368D3" w14:textId="77777777" w:rsidR="00AF5B0E" w:rsidRPr="004D32CE" w:rsidRDefault="00AF5B0E" w:rsidP="009B75E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4E091243"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4D0E633D" w14:textId="77777777" w:rsidR="00AF5B0E" w:rsidRPr="004D32CE" w:rsidRDefault="00AF5B0E" w:rsidP="009B75E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AF5B0E" w:rsidRPr="004D32CE" w14:paraId="0C17D0E0" w14:textId="77777777" w:rsidTr="00AF5B0E">
        <w:trPr>
          <w:gridAfter w:val="1"/>
          <w:wAfter w:w="27" w:type="dxa"/>
          <w:cantSplit/>
          <w:trHeight w:hRule="exact" w:val="400"/>
        </w:trPr>
        <w:tc>
          <w:tcPr>
            <w:tcW w:w="1446" w:type="dxa"/>
            <w:gridSpan w:val="2"/>
            <w:vMerge/>
            <w:tcBorders>
              <w:left w:val="single" w:sz="12" w:space="0" w:color="auto"/>
            </w:tcBorders>
          </w:tcPr>
          <w:p w14:paraId="33AAA0F5" w14:textId="77777777" w:rsidR="00AF5B0E" w:rsidRPr="004D32CE" w:rsidRDefault="00AF5B0E" w:rsidP="009B75ED">
            <w:pPr>
              <w:rPr>
                <w:rFonts w:ascii="微軟正黑體" w:eastAsia="微軟正黑體" w:hAnsi="微軟正黑體"/>
                <w:color w:val="000000" w:themeColor="text1"/>
                <w:spacing w:val="10"/>
              </w:rPr>
            </w:pPr>
          </w:p>
        </w:tc>
        <w:tc>
          <w:tcPr>
            <w:tcW w:w="8930" w:type="dxa"/>
            <w:vMerge/>
          </w:tcPr>
          <w:p w14:paraId="33ED94E5" w14:textId="77777777" w:rsidR="00AF5B0E" w:rsidRPr="004D32CE" w:rsidRDefault="00AF5B0E" w:rsidP="009B75ED">
            <w:pPr>
              <w:rPr>
                <w:rFonts w:ascii="微軟正黑體" w:eastAsia="微軟正黑體" w:hAnsi="微軟正黑體"/>
                <w:color w:val="000000" w:themeColor="text1"/>
                <w:spacing w:val="10"/>
              </w:rPr>
            </w:pPr>
          </w:p>
        </w:tc>
        <w:tc>
          <w:tcPr>
            <w:tcW w:w="567" w:type="dxa"/>
          </w:tcPr>
          <w:p w14:paraId="3C75F061"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13939541"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1FD19430"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462ECA68" w14:textId="77777777" w:rsidR="00AF5B0E" w:rsidRPr="004D32CE" w:rsidRDefault="00AF5B0E" w:rsidP="009B75ED">
            <w:pPr>
              <w:rPr>
                <w:rFonts w:ascii="微軟正黑體" w:eastAsia="微軟正黑體" w:hAnsi="微軟正黑體"/>
                <w:color w:val="000000" w:themeColor="text1"/>
                <w:spacing w:val="10"/>
              </w:rPr>
            </w:pPr>
          </w:p>
        </w:tc>
      </w:tr>
      <w:tr w:rsidR="00AF5B0E" w:rsidRPr="004D32CE" w14:paraId="4AF39FAA" w14:textId="77777777" w:rsidTr="00AF5B0E">
        <w:trPr>
          <w:gridAfter w:val="1"/>
          <w:wAfter w:w="27" w:type="dxa"/>
          <w:trHeight w:hRule="exact" w:val="6588"/>
        </w:trPr>
        <w:tc>
          <w:tcPr>
            <w:tcW w:w="1446" w:type="dxa"/>
            <w:gridSpan w:val="2"/>
            <w:tcBorders>
              <w:left w:val="single" w:sz="12" w:space="0" w:color="auto"/>
            </w:tcBorders>
          </w:tcPr>
          <w:p w14:paraId="37AF5CE9" w14:textId="09A465B8" w:rsidR="00AF5B0E" w:rsidRPr="004D32CE" w:rsidRDefault="00AF5B0E" w:rsidP="00624275">
            <w:pPr>
              <w:spacing w:line="400" w:lineRule="exact"/>
              <w:jc w:val="both"/>
              <w:rPr>
                <w:rFonts w:ascii="微軟正黑體" w:eastAsia="微軟正黑體" w:hAnsi="微軟正黑體" w:hint="eastAsia"/>
                <w:color w:val="000000" w:themeColor="text1"/>
                <w:spacing w:val="10"/>
              </w:rPr>
            </w:pPr>
          </w:p>
        </w:tc>
        <w:tc>
          <w:tcPr>
            <w:tcW w:w="8930" w:type="dxa"/>
          </w:tcPr>
          <w:p w14:paraId="060B0868" w14:textId="77777777" w:rsidR="00AF5B0E" w:rsidRPr="004D32CE" w:rsidRDefault="00AF5B0E" w:rsidP="00AF5B0E">
            <w:pPr>
              <w:snapToGrid w:val="0"/>
              <w:spacing w:line="400" w:lineRule="exact"/>
              <w:ind w:leftChars="163" w:left="1101" w:hangingChars="273" w:hanging="71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（四）證券商客戶對象為專業機構投資人且符合以下條件者，並已將相關規範列於內部控制制度，得豁免人員陪同：</w:t>
            </w:r>
          </w:p>
          <w:p w14:paraId="704E2A96" w14:textId="77777777" w:rsidR="00AF5B0E" w:rsidRPr="004D32CE" w:rsidRDefault="00AF5B0E" w:rsidP="00AF5B0E">
            <w:pPr>
              <w:snapToGrid w:val="0"/>
              <w:spacing w:line="400" w:lineRule="exact"/>
              <w:ind w:leftChars="458" w:left="1525" w:hangingChars="164" w:hanging="426"/>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1、從事上開活動前應向本公會提出申報備查並副知主管機關，申報內容含國外分析師資歷簡述、活動起訖</w:t>
            </w:r>
            <w:proofErr w:type="gramStart"/>
            <w:r w:rsidRPr="004D32CE">
              <w:rPr>
                <w:rFonts w:ascii="微軟正黑體" w:eastAsia="微軟正黑體" w:hAnsi="微軟正黑體" w:hint="eastAsia"/>
                <w:color w:val="000000" w:themeColor="text1"/>
                <w:spacing w:val="10"/>
              </w:rPr>
              <w:t>期間、</w:t>
            </w:r>
            <w:proofErr w:type="gramEnd"/>
            <w:r w:rsidRPr="004D32CE">
              <w:rPr>
                <w:rFonts w:ascii="微軟正黑體" w:eastAsia="微軟正黑體" w:hAnsi="微軟正黑體" w:hint="eastAsia"/>
                <w:color w:val="000000" w:themeColor="text1"/>
                <w:spacing w:val="10"/>
              </w:rPr>
              <w:t>拜訪對象，並檢附證券商承諾書，表明國外分析師資歷已符合當地國認可，且證券商概括承受國外分析師在國內活動全部責任，並確保其遵守國內相關證券管理規定。</w:t>
            </w:r>
          </w:p>
          <w:p w14:paraId="5D8C1FC6" w14:textId="08B4D3BB" w:rsidR="00AF5B0E" w:rsidRPr="00AF5B0E" w:rsidRDefault="00AF5B0E" w:rsidP="00AF5B0E">
            <w:pPr>
              <w:snapToGrid w:val="0"/>
              <w:spacing w:line="400" w:lineRule="exact"/>
              <w:ind w:leftChars="163" w:left="1101" w:hangingChars="273" w:hanging="710"/>
              <w:jc w:val="both"/>
              <w:rPr>
                <w:rFonts w:ascii="微軟正黑體" w:eastAsia="微軟正黑體" w:hAnsi="微軟正黑體" w:hint="eastAsia"/>
                <w:color w:val="000000" w:themeColor="text1"/>
                <w:spacing w:val="10"/>
              </w:rPr>
            </w:pPr>
            <w:r w:rsidRPr="004D32CE">
              <w:rPr>
                <w:rFonts w:ascii="微軟正黑體" w:eastAsia="微軟正黑體" w:hAnsi="微軟正黑體" w:hint="eastAsia"/>
                <w:color w:val="000000" w:themeColor="text1"/>
                <w:spacing w:val="10"/>
              </w:rPr>
              <w:t>2、從事上開活動後，國外分析師應向證券商回報拜訪對象、行程及提供說明之研究報告等文件，證券商應詳實紀錄並至少保存兩年。但有爭議者，應保存至該爭議消除為止。</w:t>
            </w:r>
          </w:p>
        </w:tc>
        <w:tc>
          <w:tcPr>
            <w:tcW w:w="567" w:type="dxa"/>
          </w:tcPr>
          <w:p w14:paraId="63ABD38E"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c>
          <w:tcPr>
            <w:tcW w:w="567" w:type="dxa"/>
          </w:tcPr>
          <w:p w14:paraId="51DFEC9D"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c>
          <w:tcPr>
            <w:tcW w:w="992" w:type="dxa"/>
          </w:tcPr>
          <w:p w14:paraId="168530CF"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0EAE2CA6"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r>
      <w:tr w:rsidR="004D32CE" w:rsidRPr="004D32CE" w14:paraId="204EDAA4" w14:textId="77777777" w:rsidTr="00AF5B0E">
        <w:trPr>
          <w:gridBefore w:val="1"/>
          <w:wBefore w:w="28" w:type="dxa"/>
          <w:cantSplit/>
          <w:trHeight w:hRule="exact" w:val="1002"/>
        </w:trPr>
        <w:tc>
          <w:tcPr>
            <w:tcW w:w="14175" w:type="dxa"/>
            <w:gridSpan w:val="7"/>
            <w:tcBorders>
              <w:left w:val="single" w:sz="12" w:space="0" w:color="auto"/>
              <w:bottom w:val="single" w:sz="12" w:space="0" w:color="auto"/>
              <w:right w:val="single" w:sz="12" w:space="0" w:color="auto"/>
            </w:tcBorders>
          </w:tcPr>
          <w:p w14:paraId="56CD62A9" w14:textId="77777777" w:rsidR="00164AC8" w:rsidRPr="004D32CE" w:rsidRDefault="00164AC8" w:rsidP="006F52CF">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0C2698FA" w14:textId="0781F41B" w:rsidR="00164AC8" w:rsidRDefault="00164AC8" w:rsidP="00164AC8">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 xml:space="preserve">                                               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p>
    <w:p w14:paraId="1F7E5D98" w14:textId="77777777" w:rsidR="00AF5B0E" w:rsidRPr="004D32CE" w:rsidRDefault="00AF5B0E" w:rsidP="00164AC8">
      <w:pPr>
        <w:spacing w:line="500" w:lineRule="exact"/>
        <w:jc w:val="center"/>
        <w:rPr>
          <w:rFonts w:ascii="微軟正黑體" w:eastAsia="微軟正黑體" w:hAnsi="微軟正黑體" w:hint="eastAsia"/>
          <w:color w:val="000000" w:themeColor="text1"/>
          <w:spacing w:val="10"/>
        </w:rPr>
      </w:pPr>
    </w:p>
    <w:p w14:paraId="3FC768AA" w14:textId="77777777" w:rsidR="00AA67A1" w:rsidRPr="004D32CE" w:rsidRDefault="00AA67A1" w:rsidP="00AA67A1">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 xml:space="preserve">  證券股份有限公司</w:t>
      </w:r>
    </w:p>
    <w:p w14:paraId="60072449" w14:textId="7D8F06AE" w:rsidR="00AA67A1" w:rsidRPr="004D32CE" w:rsidRDefault="00352019" w:rsidP="00AA67A1">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6192" behindDoc="0" locked="0" layoutInCell="0" allowOverlap="1" wp14:anchorId="5D0760E3" wp14:editId="74B5CD39">
                <wp:simplePos x="0" y="0"/>
                <wp:positionH relativeFrom="column">
                  <wp:posOffset>0</wp:posOffset>
                </wp:positionH>
                <wp:positionV relativeFrom="paragraph">
                  <wp:posOffset>25400</wp:posOffset>
                </wp:positionV>
                <wp:extent cx="2172335" cy="343535"/>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60E3" id="Rectangle 22" o:spid="_x0000_s1029"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&#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BH4IAiJAIAADUEAAAOAAAAAAAAAAAAAAAAAC4CAABkcnMvZTJvRG9jLnht&#10;bFBLAQItABQABgAIAAAAIQDFXsJ13AAAAAUBAAAPAAAAAAAAAAAAAAAAAH4EAABkcnMvZG93bnJl&#10;di54bWxQSwUGAAAAAAQABADzAAAAhwUAAAAA&#10;" o:allowincell="f" filled="f" strokecolor="white" strokeweight="4pt">
                <v:textbox inset="1pt,1pt,1pt,1pt">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AA67A1" w:rsidRPr="004D32CE">
        <w:rPr>
          <w:rFonts w:ascii="微軟正黑體" w:eastAsia="微軟正黑體" w:hAnsi="微軟正黑體" w:hint="eastAsia"/>
          <w:color w:val="000000" w:themeColor="text1"/>
          <w:spacing w:val="10"/>
        </w:rPr>
        <w:t>業務及收入循環：經紀</w:t>
      </w:r>
      <w:r w:rsidR="00AA67A1" w:rsidRPr="004D32CE">
        <w:rPr>
          <w:rFonts w:ascii="微軟正黑體" w:eastAsia="微軟正黑體" w:hAnsi="微軟正黑體"/>
          <w:color w:val="000000" w:themeColor="text1"/>
          <w:spacing w:val="10"/>
        </w:rPr>
        <w:t>(</w:t>
      </w:r>
      <w:r w:rsidR="00AA67A1" w:rsidRPr="004D32CE">
        <w:rPr>
          <w:rFonts w:ascii="微軟正黑體" w:eastAsia="微軟正黑體" w:hAnsi="微軟正黑體" w:hint="eastAsia"/>
          <w:color w:val="000000" w:themeColor="text1"/>
          <w:spacing w:val="10"/>
        </w:rPr>
        <w:t>受託買賣外國有價證券</w:t>
      </w:r>
      <w:r w:rsidR="00AA67A1" w:rsidRPr="004D32CE">
        <w:rPr>
          <w:rFonts w:ascii="微軟正黑體" w:eastAsia="微軟正黑體" w:hAnsi="微軟正黑體"/>
          <w:color w:val="000000" w:themeColor="text1"/>
          <w:spacing w:val="10"/>
        </w:rPr>
        <w:t>)</w:t>
      </w:r>
    </w:p>
    <w:p w14:paraId="0D07FF41" w14:textId="77777777" w:rsidR="00AA67A1" w:rsidRPr="004D32CE" w:rsidRDefault="00AA67A1" w:rsidP="00AA67A1">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交</w:t>
      </w:r>
      <w:r w:rsidR="00C87466" w:rsidRPr="004D32CE">
        <w:rPr>
          <w:rFonts w:ascii="微軟正黑體" w:eastAsia="微軟正黑體" w:hAnsi="微軟正黑體" w:hint="eastAsia"/>
          <w:color w:val="000000" w:themeColor="text1"/>
          <w:spacing w:val="10"/>
        </w:rPr>
        <w:t>割作業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5AD51C41"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06D82853" w14:textId="77777777" w:rsidR="00AA67A1" w:rsidRPr="004D32CE" w:rsidRDefault="00AA67A1" w:rsidP="00327427">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2D8FA51C" w14:textId="77777777" w:rsidR="00AA67A1" w:rsidRPr="004D32CE" w:rsidRDefault="00AA67A1" w:rsidP="00327427">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7ABDFC69"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65892ECB" w14:textId="77777777" w:rsidR="00AA67A1" w:rsidRPr="004D32CE" w:rsidRDefault="00AA67A1" w:rsidP="00327427">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2EBE9D2F" w14:textId="77777777" w:rsidTr="00327427">
        <w:trPr>
          <w:cantSplit/>
          <w:trHeight w:hRule="exact" w:val="400"/>
        </w:trPr>
        <w:tc>
          <w:tcPr>
            <w:tcW w:w="1446" w:type="dxa"/>
            <w:vMerge/>
            <w:tcBorders>
              <w:left w:val="single" w:sz="12" w:space="0" w:color="auto"/>
            </w:tcBorders>
          </w:tcPr>
          <w:p w14:paraId="3CA9C2C7" w14:textId="77777777" w:rsidR="00AA67A1" w:rsidRPr="004D32CE" w:rsidRDefault="00AA67A1" w:rsidP="00327427">
            <w:pPr>
              <w:rPr>
                <w:rFonts w:ascii="微軟正黑體" w:eastAsia="微軟正黑體" w:hAnsi="微軟正黑體"/>
                <w:color w:val="000000" w:themeColor="text1"/>
                <w:spacing w:val="10"/>
              </w:rPr>
            </w:pPr>
          </w:p>
        </w:tc>
        <w:tc>
          <w:tcPr>
            <w:tcW w:w="8930" w:type="dxa"/>
            <w:vMerge/>
          </w:tcPr>
          <w:p w14:paraId="57A22BFA" w14:textId="77777777" w:rsidR="00AA67A1" w:rsidRPr="004D32CE" w:rsidRDefault="00AA67A1" w:rsidP="00327427">
            <w:pPr>
              <w:rPr>
                <w:rFonts w:ascii="微軟正黑體" w:eastAsia="微軟正黑體" w:hAnsi="微軟正黑體"/>
                <w:color w:val="000000" w:themeColor="text1"/>
                <w:spacing w:val="10"/>
              </w:rPr>
            </w:pPr>
          </w:p>
        </w:tc>
        <w:tc>
          <w:tcPr>
            <w:tcW w:w="567" w:type="dxa"/>
          </w:tcPr>
          <w:p w14:paraId="037DEDF1"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111DDB0B"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4168FA15"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734EBD3C" w14:textId="77777777" w:rsidR="00AA67A1" w:rsidRPr="004D32CE" w:rsidRDefault="00AA67A1" w:rsidP="00327427">
            <w:pPr>
              <w:rPr>
                <w:rFonts w:ascii="微軟正黑體" w:eastAsia="微軟正黑體" w:hAnsi="微軟正黑體"/>
                <w:color w:val="000000" w:themeColor="text1"/>
                <w:spacing w:val="10"/>
              </w:rPr>
            </w:pPr>
          </w:p>
        </w:tc>
      </w:tr>
      <w:tr w:rsidR="004D32CE" w:rsidRPr="004D32CE" w14:paraId="1528FE30" w14:textId="77777777" w:rsidTr="00327427">
        <w:trPr>
          <w:trHeight w:hRule="exact" w:val="6857"/>
        </w:trPr>
        <w:tc>
          <w:tcPr>
            <w:tcW w:w="1446" w:type="dxa"/>
            <w:tcBorders>
              <w:left w:val="single" w:sz="12" w:space="0" w:color="auto"/>
            </w:tcBorders>
          </w:tcPr>
          <w:p w14:paraId="61A0ED9D" w14:textId="77777777" w:rsidR="00380A8F" w:rsidRPr="004D32CE" w:rsidRDefault="00380A8F" w:rsidP="00380A8F">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交割作業</w:t>
            </w:r>
          </w:p>
          <w:p w14:paraId="75C87C32"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8930" w:type="dxa"/>
          </w:tcPr>
          <w:p w14:paraId="2751740A" w14:textId="77777777" w:rsidR="00164AC8" w:rsidRPr="004D32CE" w:rsidRDefault="00164AC8" w:rsidP="002D4147">
            <w:pPr>
              <w:spacing w:line="400" w:lineRule="exact"/>
              <w:ind w:leftChars="-10" w:left="496" w:hangingChars="200" w:hanging="520"/>
              <w:jc w:val="both"/>
              <w:rPr>
                <w:rFonts w:ascii="微軟正黑體" w:eastAsia="微軟正黑體" w:hAnsi="微軟正黑體"/>
                <w:color w:val="000000" w:themeColor="text1"/>
              </w:rPr>
            </w:pPr>
            <w:r w:rsidRPr="004D32CE">
              <w:rPr>
                <w:rFonts w:ascii="微軟正黑體" w:eastAsia="微軟正黑體" w:hAnsi="微軟正黑體" w:hint="eastAsia"/>
                <w:color w:val="000000" w:themeColor="text1"/>
                <w:spacing w:val="10"/>
              </w:rPr>
              <w:t>一、</w:t>
            </w:r>
            <w:r w:rsidRPr="004D32CE">
              <w:rPr>
                <w:rFonts w:ascii="微軟正黑體" w:eastAsia="微軟正黑體" w:hAnsi="微軟正黑體" w:hint="eastAsia"/>
                <w:color w:val="000000" w:themeColor="text1"/>
              </w:rPr>
              <w:t>受託買賣之手續費及其它費用之費率，是否按券商公會報請主管機關核定之費率收取之。</w:t>
            </w:r>
          </w:p>
          <w:p w14:paraId="7ADD706E" w14:textId="77777777" w:rsidR="00380A8F" w:rsidRPr="004D32CE" w:rsidRDefault="00164AC8" w:rsidP="002D4147">
            <w:pPr>
              <w:spacing w:line="400" w:lineRule="exact"/>
              <w:ind w:leftChars="-10" w:left="496" w:hangingChars="200" w:hanging="52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二</w:t>
            </w:r>
            <w:r w:rsidR="00380A8F" w:rsidRPr="004D32CE">
              <w:rPr>
                <w:rFonts w:ascii="微軟正黑體" w:eastAsia="微軟正黑體" w:hAnsi="微軟正黑體" w:hint="eastAsia"/>
                <w:color w:val="000000" w:themeColor="text1"/>
                <w:spacing w:val="10"/>
              </w:rPr>
              <w:t>、公司是否按日</w:t>
            </w:r>
            <w:r w:rsidR="00380A8F" w:rsidRPr="004D32CE">
              <w:rPr>
                <w:rFonts w:ascii="微軟正黑體" w:eastAsia="微軟正黑體" w:hAnsi="微軟正黑體" w:hint="eastAsia"/>
                <w:color w:val="000000" w:themeColor="text1"/>
                <w:spacing w:val="10"/>
                <w:szCs w:val="24"/>
              </w:rPr>
              <w:t>（月）</w:t>
            </w:r>
            <w:r w:rsidR="00380A8F" w:rsidRPr="004D32CE">
              <w:rPr>
                <w:rFonts w:ascii="微軟正黑體" w:eastAsia="微軟正黑體" w:hAnsi="微軟正黑體" w:hint="eastAsia"/>
                <w:color w:val="000000" w:themeColor="text1"/>
                <w:spacing w:val="10"/>
              </w:rPr>
              <w:t>向券商公會申報受託買賣外國有價證券營業日</w:t>
            </w:r>
            <w:r w:rsidR="00380A8F" w:rsidRPr="004D32CE">
              <w:rPr>
                <w:rFonts w:ascii="微軟正黑體" w:eastAsia="微軟正黑體" w:hAnsi="微軟正黑體" w:hint="eastAsia"/>
                <w:color w:val="000000" w:themeColor="text1"/>
                <w:spacing w:val="10"/>
                <w:szCs w:val="24"/>
              </w:rPr>
              <w:t>（月）</w:t>
            </w:r>
            <w:r w:rsidR="00380A8F" w:rsidRPr="004D32CE">
              <w:rPr>
                <w:rFonts w:ascii="微軟正黑體" w:eastAsia="微軟正黑體" w:hAnsi="微軟正黑體" w:hint="eastAsia"/>
                <w:color w:val="000000" w:themeColor="text1"/>
                <w:spacing w:val="10"/>
              </w:rPr>
              <w:t>報表</w:t>
            </w:r>
            <w:r w:rsidR="00380A8F" w:rsidRPr="004D32CE">
              <w:rPr>
                <w:rFonts w:ascii="微軟正黑體" w:eastAsia="微軟正黑體" w:hAnsi="微軟正黑體"/>
                <w:color w:val="000000" w:themeColor="text1"/>
                <w:spacing w:val="10"/>
              </w:rPr>
              <w:t>。</w:t>
            </w:r>
          </w:p>
          <w:p w14:paraId="4791C5A4" w14:textId="77777777" w:rsidR="00AA67A1" w:rsidRPr="004D32CE" w:rsidRDefault="00164AC8" w:rsidP="002D4147">
            <w:pPr>
              <w:spacing w:line="400" w:lineRule="exact"/>
              <w:ind w:leftChars="-10" w:left="496" w:hangingChars="200" w:hanging="52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三</w:t>
            </w:r>
            <w:r w:rsidR="00380A8F" w:rsidRPr="004D32CE">
              <w:rPr>
                <w:rFonts w:ascii="微軟正黑體" w:eastAsia="微軟正黑體" w:hAnsi="微軟正黑體" w:hint="eastAsia"/>
                <w:color w:val="000000" w:themeColor="text1"/>
                <w:spacing w:val="10"/>
              </w:rPr>
              <w:t>、公司</w:t>
            </w:r>
            <w:r w:rsidR="00380A8F" w:rsidRPr="004D32CE">
              <w:rPr>
                <w:rFonts w:ascii="微軟正黑體" w:eastAsia="微軟正黑體" w:hAnsi="微軟正黑體"/>
                <w:color w:val="000000" w:themeColor="text1"/>
                <w:spacing w:val="10"/>
              </w:rPr>
              <w:t>對於證券發行人所交付之通知書或其他有關委託人權益事項之資料，</w:t>
            </w:r>
            <w:r w:rsidR="00380A8F" w:rsidRPr="004D32CE">
              <w:rPr>
                <w:rFonts w:ascii="微軟正黑體" w:eastAsia="微軟正黑體" w:hAnsi="微軟正黑體" w:hint="eastAsia"/>
                <w:color w:val="000000" w:themeColor="text1"/>
                <w:spacing w:val="10"/>
              </w:rPr>
              <w:t>是否</w:t>
            </w:r>
            <w:r w:rsidR="00380A8F" w:rsidRPr="004D32CE">
              <w:rPr>
                <w:rFonts w:ascii="微軟正黑體" w:eastAsia="微軟正黑體" w:hAnsi="微軟正黑體"/>
                <w:color w:val="000000" w:themeColor="text1"/>
                <w:spacing w:val="10"/>
              </w:rPr>
              <w:t>於取得時儘速據實轉達委託人。</w:t>
            </w:r>
          </w:p>
          <w:p w14:paraId="3E57EE88" w14:textId="77777777" w:rsidR="002D4147" w:rsidRPr="009B65A1" w:rsidRDefault="002D4147" w:rsidP="002D4147">
            <w:pPr>
              <w:spacing w:after="108" w:line="380" w:lineRule="exact"/>
              <w:ind w:leftChars="179" w:left="43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公司接受委託人行使前項權益事項是否留存紀錄且至少保存一年。但有爭議者，是否保存至該爭議消除為止。</w:t>
            </w:r>
          </w:p>
          <w:p w14:paraId="1C2F3322" w14:textId="6B12B40A" w:rsidR="002D4147" w:rsidRPr="004D32CE" w:rsidRDefault="002D4147" w:rsidP="00380A8F">
            <w:pPr>
              <w:spacing w:line="400" w:lineRule="exact"/>
              <w:ind w:left="582" w:hangingChars="224" w:hanging="582"/>
              <w:jc w:val="both"/>
              <w:rPr>
                <w:rFonts w:ascii="微軟正黑體" w:eastAsia="微軟正黑體" w:hAnsi="微軟正黑體"/>
                <w:color w:val="000000" w:themeColor="text1"/>
                <w:spacing w:val="10"/>
              </w:rPr>
            </w:pPr>
          </w:p>
        </w:tc>
        <w:tc>
          <w:tcPr>
            <w:tcW w:w="567" w:type="dxa"/>
          </w:tcPr>
          <w:p w14:paraId="59C96CE7"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567" w:type="dxa"/>
          </w:tcPr>
          <w:p w14:paraId="1F63B3AF"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992" w:type="dxa"/>
          </w:tcPr>
          <w:p w14:paraId="4EF10B47"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104A804F"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r>
      <w:tr w:rsidR="00AA67A1" w:rsidRPr="00245041" w14:paraId="4C2194B3"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60AC46B6" w14:textId="77777777" w:rsidR="00AA67A1" w:rsidRPr="00245041" w:rsidRDefault="00AA67A1" w:rsidP="00327427">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w:t>
            </w:r>
          </w:p>
        </w:tc>
      </w:tr>
    </w:tbl>
    <w:p w14:paraId="3F527609" w14:textId="77777777" w:rsidR="00AA67A1" w:rsidRPr="00245041" w:rsidRDefault="00AA67A1" w:rsidP="00312839">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59871D65" w14:textId="77777777" w:rsidR="00093452" w:rsidRPr="00245041" w:rsidRDefault="00093452" w:rsidP="00093452">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lastRenderedPageBreak/>
        <w:t xml:space="preserve">  證券股份有限公司</w:t>
      </w:r>
    </w:p>
    <w:p w14:paraId="2F7F9BA3" w14:textId="768D6E1B" w:rsidR="00093452" w:rsidRPr="00245041" w:rsidRDefault="00352019" w:rsidP="00093452">
      <w:pPr>
        <w:spacing w:line="400" w:lineRule="exact"/>
        <w:jc w:val="center"/>
        <w:rPr>
          <w:rFonts w:ascii="微軟正黑體" w:eastAsia="微軟正黑體" w:hAnsi="微軟正黑體"/>
          <w:spacing w:val="10"/>
        </w:rPr>
      </w:pPr>
      <w:r w:rsidRPr="00245041">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7F1CBE73" wp14:editId="6FFA75FD">
                <wp:simplePos x="0" y="0"/>
                <wp:positionH relativeFrom="column">
                  <wp:posOffset>0</wp:posOffset>
                </wp:positionH>
                <wp:positionV relativeFrom="paragraph">
                  <wp:posOffset>25400</wp:posOffset>
                </wp:positionV>
                <wp:extent cx="2172335" cy="34353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CBE73" id="Rectangle 23" o:spid="_x0000_s1030"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" o:allowincell="f" filled="f" strokecolor="white" strokeweight="4pt">
                <v:textbox inset="1pt,1pt,1pt,1pt">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v:textbox>
              </v:rect>
            </w:pict>
          </mc:Fallback>
        </mc:AlternateContent>
      </w:r>
      <w:r w:rsidR="00093452" w:rsidRPr="00245041">
        <w:rPr>
          <w:rFonts w:ascii="微軟正黑體" w:eastAsia="微軟正黑體" w:hAnsi="微軟正黑體" w:hint="eastAsia"/>
          <w:spacing w:val="10"/>
        </w:rPr>
        <w:t>業務及收入循環：經紀</w:t>
      </w:r>
      <w:r w:rsidR="00093452" w:rsidRPr="00245041">
        <w:rPr>
          <w:rFonts w:ascii="微軟正黑體" w:eastAsia="微軟正黑體" w:hAnsi="微軟正黑體"/>
          <w:spacing w:val="10"/>
        </w:rPr>
        <w:t>(</w:t>
      </w:r>
      <w:r w:rsidR="00093452" w:rsidRPr="00245041">
        <w:rPr>
          <w:rFonts w:ascii="微軟正黑體" w:eastAsia="微軟正黑體" w:hAnsi="微軟正黑體" w:hint="eastAsia"/>
          <w:spacing w:val="10"/>
        </w:rPr>
        <w:t>受託買賣外國有價證券</w:t>
      </w:r>
      <w:r w:rsidR="00093452" w:rsidRPr="00245041">
        <w:rPr>
          <w:rFonts w:ascii="微軟正黑體" w:eastAsia="微軟正黑體" w:hAnsi="微軟正黑體"/>
          <w:spacing w:val="10"/>
        </w:rPr>
        <w:t>)</w:t>
      </w:r>
    </w:p>
    <w:p w14:paraId="4D827DED" w14:textId="77777777" w:rsidR="00093452" w:rsidRPr="00245041" w:rsidRDefault="00C87466" w:rsidP="00093452">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交割作業（</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委託）</w:t>
      </w:r>
      <w:r w:rsidR="00093452" w:rsidRPr="00245041">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093452" w:rsidRPr="00245041" w14:paraId="00570019"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2225D267"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0058313"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0E823896"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34C18D50"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093452" w:rsidRPr="00245041" w14:paraId="4C32C46D" w14:textId="77777777" w:rsidTr="00327427">
        <w:trPr>
          <w:cantSplit/>
          <w:trHeight w:hRule="exact" w:val="400"/>
        </w:trPr>
        <w:tc>
          <w:tcPr>
            <w:tcW w:w="1446" w:type="dxa"/>
            <w:vMerge/>
            <w:tcBorders>
              <w:left w:val="single" w:sz="12" w:space="0" w:color="auto"/>
            </w:tcBorders>
          </w:tcPr>
          <w:p w14:paraId="24AB5DE1" w14:textId="77777777" w:rsidR="00093452" w:rsidRPr="00245041" w:rsidRDefault="00093452" w:rsidP="00327427">
            <w:pPr>
              <w:rPr>
                <w:rFonts w:ascii="微軟正黑體" w:eastAsia="微軟正黑體" w:hAnsi="微軟正黑體"/>
                <w:spacing w:val="10"/>
              </w:rPr>
            </w:pPr>
          </w:p>
        </w:tc>
        <w:tc>
          <w:tcPr>
            <w:tcW w:w="8930" w:type="dxa"/>
            <w:vMerge/>
          </w:tcPr>
          <w:p w14:paraId="5D3D4D51" w14:textId="77777777" w:rsidR="00093452" w:rsidRPr="00245041" w:rsidRDefault="00093452" w:rsidP="00327427">
            <w:pPr>
              <w:rPr>
                <w:rFonts w:ascii="微軟正黑體" w:eastAsia="微軟正黑體" w:hAnsi="微軟正黑體"/>
                <w:spacing w:val="10"/>
              </w:rPr>
            </w:pPr>
          </w:p>
        </w:tc>
        <w:tc>
          <w:tcPr>
            <w:tcW w:w="567" w:type="dxa"/>
          </w:tcPr>
          <w:p w14:paraId="13CBF6B8"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12C49F9A"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992" w:type="dxa"/>
          </w:tcPr>
          <w:p w14:paraId="1C2B979C"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674" w:type="dxa"/>
            <w:vMerge/>
            <w:tcBorders>
              <w:right w:val="single" w:sz="12" w:space="0" w:color="auto"/>
            </w:tcBorders>
          </w:tcPr>
          <w:p w14:paraId="4F640C25" w14:textId="77777777" w:rsidR="00093452" w:rsidRPr="00245041" w:rsidRDefault="00093452" w:rsidP="00327427">
            <w:pPr>
              <w:rPr>
                <w:rFonts w:ascii="微軟正黑體" w:eastAsia="微軟正黑體" w:hAnsi="微軟正黑體"/>
                <w:spacing w:val="10"/>
              </w:rPr>
            </w:pPr>
          </w:p>
        </w:tc>
      </w:tr>
      <w:tr w:rsidR="00093452" w:rsidRPr="00245041" w14:paraId="6CEB6B44" w14:textId="77777777" w:rsidTr="00AD6AA7">
        <w:trPr>
          <w:trHeight w:hRule="exact" w:val="6588"/>
        </w:trPr>
        <w:tc>
          <w:tcPr>
            <w:tcW w:w="1446" w:type="dxa"/>
            <w:tcBorders>
              <w:left w:val="single" w:sz="12" w:space="0" w:color="auto"/>
            </w:tcBorders>
          </w:tcPr>
          <w:p w14:paraId="52A67365" w14:textId="77777777" w:rsidR="00093452" w:rsidRPr="00245041" w:rsidRDefault="00093452" w:rsidP="00093452">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交割作業</w:t>
            </w:r>
          </w:p>
          <w:p w14:paraId="56A5D5D0" w14:textId="77777777" w:rsidR="00093452" w:rsidRPr="00245041" w:rsidRDefault="00093452" w:rsidP="00093452">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委託）</w:t>
            </w:r>
          </w:p>
          <w:p w14:paraId="33086A86" w14:textId="77777777" w:rsidR="00093452" w:rsidRPr="00245041" w:rsidRDefault="00093452" w:rsidP="00327427">
            <w:pPr>
              <w:spacing w:line="400" w:lineRule="exact"/>
              <w:jc w:val="both"/>
              <w:rPr>
                <w:rFonts w:ascii="微軟正黑體" w:eastAsia="微軟正黑體" w:hAnsi="微軟正黑體"/>
                <w:spacing w:val="10"/>
              </w:rPr>
            </w:pPr>
          </w:p>
        </w:tc>
        <w:tc>
          <w:tcPr>
            <w:tcW w:w="8930" w:type="dxa"/>
          </w:tcPr>
          <w:p w14:paraId="64EB67FA"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color w:val="000000"/>
                <w:spacing w:val="10"/>
              </w:rPr>
              <w:t>一</w:t>
            </w:r>
            <w:r w:rsidRPr="00245041">
              <w:rPr>
                <w:rFonts w:ascii="微軟正黑體" w:eastAsia="微軟正黑體" w:hAnsi="微軟正黑體" w:hint="eastAsia"/>
                <w:spacing w:val="10"/>
              </w:rPr>
              <w:t>、（刪除）</w:t>
            </w:r>
          </w:p>
          <w:p w14:paraId="3600BEBB" w14:textId="0D3ED68D" w:rsidR="00093452"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二、</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所交付有關證券發行人之通知書或其他有關委託人權益事項之資料，</w:t>
            </w:r>
            <w:r w:rsidRPr="00245041">
              <w:rPr>
                <w:rFonts w:ascii="微軟正黑體" w:eastAsia="微軟正黑體" w:hAnsi="微軟正黑體" w:hint="eastAsia"/>
                <w:spacing w:val="10"/>
              </w:rPr>
              <w:t>是否</w:t>
            </w:r>
            <w:r w:rsidRPr="00245041">
              <w:rPr>
                <w:rFonts w:ascii="微軟正黑體" w:eastAsia="微軟正黑體" w:hAnsi="微軟正黑體"/>
                <w:spacing w:val="10"/>
              </w:rPr>
              <w:t>取得時儘速據實轉達</w:t>
            </w:r>
            <w:r w:rsidRPr="00245041">
              <w:rPr>
                <w:rFonts w:ascii="微軟正黑體" w:eastAsia="微軟正黑體" w:hAnsi="微軟正黑體" w:hint="eastAsia"/>
                <w:spacing w:val="10"/>
              </w:rPr>
              <w:t>委託人</w:t>
            </w:r>
            <w:r w:rsidRPr="00245041">
              <w:rPr>
                <w:rFonts w:ascii="微軟正黑體" w:eastAsia="微軟正黑體" w:hAnsi="微軟正黑體"/>
                <w:spacing w:val="10"/>
              </w:rPr>
              <w:t>。</w:t>
            </w:r>
          </w:p>
          <w:p w14:paraId="70B94923" w14:textId="77777777" w:rsidR="004D32CE" w:rsidRPr="004D32CE" w:rsidRDefault="004D32CE" w:rsidP="004D32CE">
            <w:pPr>
              <w:spacing w:after="108" w:line="380" w:lineRule="exact"/>
              <w:ind w:leftChars="204" w:left="492" w:hanging="2"/>
              <w:jc w:val="both"/>
              <w:rPr>
                <w:rFonts w:ascii="微軟正黑體" w:eastAsia="微軟正黑體" w:hAnsi="微軟正黑體"/>
                <w:color w:val="FF0000"/>
                <w:spacing w:val="10"/>
                <w:u w:val="single"/>
              </w:rPr>
            </w:pPr>
            <w:r w:rsidRPr="004D32CE">
              <w:rPr>
                <w:rFonts w:ascii="微軟正黑體" w:eastAsia="微軟正黑體" w:hAnsi="微軟正黑體" w:hint="eastAsia"/>
                <w:color w:val="FF0000"/>
                <w:spacing w:val="10"/>
                <w:u w:val="single"/>
              </w:rPr>
              <w:t>公司接受委託人行使前項權益事項是否留存紀錄且至少保存一年。但有爭議者，是否保存至該爭議消除為止。</w:t>
            </w:r>
          </w:p>
          <w:p w14:paraId="55A1EEC3"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三、與</w:t>
            </w:r>
            <w:r w:rsidRPr="00245041">
              <w:rPr>
                <w:rFonts w:ascii="微軟正黑體" w:eastAsia="微軟正黑體" w:hAnsi="微軟正黑體"/>
                <w:spacing w:val="10"/>
              </w:rPr>
              <w:t>委託人</w:t>
            </w:r>
            <w:r w:rsidRPr="00245041">
              <w:rPr>
                <w:rFonts w:ascii="微軟正黑體" w:eastAsia="微軟正黑體" w:hAnsi="微軟正黑體" w:hint="eastAsia"/>
                <w:spacing w:val="10"/>
              </w:rPr>
              <w:t>及</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金融機構之款</w:t>
            </w:r>
            <w:proofErr w:type="gramStart"/>
            <w:r w:rsidRPr="00245041">
              <w:rPr>
                <w:rFonts w:ascii="微軟正黑體" w:eastAsia="微軟正黑體" w:hAnsi="微軟正黑體"/>
                <w:spacing w:val="10"/>
              </w:rPr>
              <w:t>券</w:t>
            </w:r>
            <w:proofErr w:type="gramEnd"/>
            <w:r w:rsidRPr="00245041">
              <w:rPr>
                <w:rFonts w:ascii="微軟正黑體" w:eastAsia="微軟正黑體" w:hAnsi="微軟正黑體"/>
                <w:spacing w:val="10"/>
              </w:rPr>
              <w:t>交割，</w:t>
            </w:r>
            <w:r w:rsidRPr="00245041">
              <w:rPr>
                <w:rFonts w:ascii="微軟正黑體" w:eastAsia="微軟正黑體" w:hAnsi="微軟正黑體" w:hint="eastAsia"/>
                <w:spacing w:val="10"/>
              </w:rPr>
              <w:t>是否分別依</w:t>
            </w:r>
            <w:r w:rsidRPr="00245041">
              <w:rPr>
                <w:rFonts w:ascii="微軟正黑體" w:eastAsia="微軟正黑體" w:hAnsi="微軟正黑體"/>
                <w:spacing w:val="10"/>
              </w:rPr>
              <w:t>受託契約</w:t>
            </w:r>
            <w:r w:rsidRPr="00245041">
              <w:rPr>
                <w:rFonts w:ascii="微軟正黑體" w:eastAsia="微軟正黑體" w:hAnsi="微軟正黑體" w:hint="eastAsia"/>
                <w:spacing w:val="10"/>
              </w:rPr>
              <w:t>及</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委託契約約定辦理。</w:t>
            </w:r>
          </w:p>
          <w:p w14:paraId="7DB432C1" w14:textId="77777777" w:rsidR="00093452"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四、公司是否無</w:t>
            </w:r>
            <w:r w:rsidRPr="00245041">
              <w:rPr>
                <w:rFonts w:ascii="微軟正黑體" w:eastAsia="微軟正黑體" w:hAnsi="微軟正黑體"/>
                <w:spacing w:val="10"/>
              </w:rPr>
              <w:t>以委託人或</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違約為由，延遲或拒絕履行其對</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或委託人之交割義務。</w:t>
            </w:r>
          </w:p>
          <w:p w14:paraId="40519F15" w14:textId="7606CB5A" w:rsidR="004D32CE" w:rsidRPr="004D32CE" w:rsidRDefault="004D32CE" w:rsidP="004D32CE">
            <w:pPr>
              <w:spacing w:after="108" w:line="380" w:lineRule="exact"/>
              <w:ind w:leftChars="179" w:left="430"/>
              <w:jc w:val="both"/>
              <w:rPr>
                <w:rFonts w:ascii="微軟正黑體" w:eastAsia="微軟正黑體" w:hAnsi="微軟正黑體"/>
                <w:spacing w:val="10"/>
              </w:rPr>
            </w:pPr>
          </w:p>
        </w:tc>
        <w:tc>
          <w:tcPr>
            <w:tcW w:w="567" w:type="dxa"/>
          </w:tcPr>
          <w:p w14:paraId="1650C638" w14:textId="77777777" w:rsidR="00093452" w:rsidRPr="00245041" w:rsidRDefault="00093452" w:rsidP="00327427">
            <w:pPr>
              <w:spacing w:line="400" w:lineRule="exact"/>
              <w:jc w:val="both"/>
              <w:rPr>
                <w:rFonts w:ascii="微軟正黑體" w:eastAsia="微軟正黑體" w:hAnsi="微軟正黑體"/>
                <w:spacing w:val="10"/>
              </w:rPr>
            </w:pPr>
          </w:p>
        </w:tc>
        <w:tc>
          <w:tcPr>
            <w:tcW w:w="567" w:type="dxa"/>
          </w:tcPr>
          <w:p w14:paraId="33D100CD" w14:textId="77777777" w:rsidR="00093452" w:rsidRPr="00245041" w:rsidRDefault="00093452" w:rsidP="00327427">
            <w:pPr>
              <w:spacing w:line="400" w:lineRule="exact"/>
              <w:jc w:val="both"/>
              <w:rPr>
                <w:rFonts w:ascii="微軟正黑體" w:eastAsia="微軟正黑體" w:hAnsi="微軟正黑體"/>
                <w:spacing w:val="10"/>
              </w:rPr>
            </w:pPr>
          </w:p>
        </w:tc>
        <w:tc>
          <w:tcPr>
            <w:tcW w:w="992" w:type="dxa"/>
          </w:tcPr>
          <w:p w14:paraId="7418839F" w14:textId="77777777" w:rsidR="00093452" w:rsidRPr="00245041" w:rsidRDefault="00093452" w:rsidP="0032742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6B7E7214" w14:textId="77777777" w:rsidR="00093452" w:rsidRPr="00245041" w:rsidRDefault="00093452" w:rsidP="00327427">
            <w:pPr>
              <w:spacing w:line="400" w:lineRule="exact"/>
              <w:jc w:val="both"/>
              <w:rPr>
                <w:rFonts w:ascii="微軟正黑體" w:eastAsia="微軟正黑體" w:hAnsi="微軟正黑體"/>
                <w:spacing w:val="10"/>
              </w:rPr>
            </w:pPr>
          </w:p>
        </w:tc>
      </w:tr>
      <w:tr w:rsidR="00093452" w:rsidRPr="00245041" w14:paraId="06ACC16B"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1E7EEF3D" w14:textId="77777777" w:rsidR="00093452" w:rsidRPr="00245041" w:rsidRDefault="00093452" w:rsidP="00327427">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w:t>
            </w:r>
          </w:p>
        </w:tc>
      </w:tr>
    </w:tbl>
    <w:p w14:paraId="2C84D993" w14:textId="77777777" w:rsidR="00093452" w:rsidRPr="00245041" w:rsidRDefault="00093452" w:rsidP="00093452">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7F9B9C9D" w14:textId="77777777" w:rsidR="00AD6AA7" w:rsidRPr="00245041" w:rsidRDefault="004F3614" w:rsidP="00E45D23">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w:t>
      </w:r>
      <w:r w:rsidR="00E45D23" w:rsidRPr="00245041">
        <w:rPr>
          <w:rFonts w:ascii="微軟正黑體" w:eastAsia="微軟正黑體" w:hAnsi="微軟正黑體" w:hint="eastAsia"/>
          <w:spacing w:val="10"/>
        </w:rPr>
        <w:t xml:space="preserve">　</w:t>
      </w:r>
    </w:p>
    <w:p w14:paraId="0FD4266E" w14:textId="6547174B" w:rsidR="00E45D23" w:rsidRPr="00245041" w:rsidRDefault="00352019" w:rsidP="00E45D23">
      <w:pPr>
        <w:spacing w:line="500" w:lineRule="exact"/>
        <w:jc w:val="center"/>
        <w:rPr>
          <w:rFonts w:ascii="微軟正黑體" w:eastAsia="微軟正黑體" w:hAnsi="微軟正黑體"/>
          <w:spacing w:val="10"/>
        </w:rPr>
      </w:pPr>
      <w:r w:rsidRPr="00245041">
        <w:rPr>
          <w:rFonts w:ascii="微軟正黑體" w:eastAsia="微軟正黑體" w:hAnsi="微軟正黑體"/>
          <w:noProof/>
          <w:spacing w:val="10"/>
        </w:rPr>
        <w:lastRenderedPageBreak/>
        <mc:AlternateContent>
          <mc:Choice Requires="wps">
            <w:drawing>
              <wp:anchor distT="0" distB="0" distL="114300" distR="114300" simplePos="0" relativeHeight="251661312" behindDoc="0" locked="0" layoutInCell="0" allowOverlap="1" wp14:anchorId="0CC347C1" wp14:editId="65B4D472">
                <wp:simplePos x="0" y="0"/>
                <wp:positionH relativeFrom="column">
                  <wp:posOffset>0</wp:posOffset>
                </wp:positionH>
                <wp:positionV relativeFrom="paragraph">
                  <wp:posOffset>182880</wp:posOffset>
                </wp:positionV>
                <wp:extent cx="2160270" cy="343535"/>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47C1" id="Rectangle 29" o:spid="_x0000_s1031" style="position:absolute;left:0;text-align:left;margin-left:0;margin-top:14.4pt;width:170.1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" o:allowincell="f" filled="f" strokecolor="white" strokeweight="4pt">
                <v:textbox inset="1pt,1pt,1pt,1pt">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E45D23" w:rsidRPr="00245041">
        <w:rPr>
          <w:rFonts w:ascii="微軟正黑體" w:eastAsia="微軟正黑體" w:hAnsi="微軟正黑體" w:hint="eastAsia"/>
          <w:spacing w:val="10"/>
        </w:rPr>
        <w:t>證券股份有限公司</w:t>
      </w:r>
    </w:p>
    <w:p w14:paraId="58D2F2F2" w14:textId="77777777" w:rsidR="00E45D23" w:rsidRPr="00245041" w:rsidRDefault="00E45D23" w:rsidP="00E45D23">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2FBF1577" w14:textId="77777777" w:rsidR="00E45D23" w:rsidRPr="00245041" w:rsidRDefault="00E45D23" w:rsidP="00E45D23">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E45D23" w:rsidRPr="00245041" w14:paraId="622FB28F" w14:textId="77777777" w:rsidTr="00901F3D">
        <w:trPr>
          <w:cantSplit/>
          <w:trHeight w:hRule="exact" w:val="400"/>
        </w:trPr>
        <w:tc>
          <w:tcPr>
            <w:tcW w:w="1985" w:type="dxa"/>
            <w:vMerge w:val="restart"/>
            <w:tcBorders>
              <w:top w:val="single" w:sz="12" w:space="0" w:color="auto"/>
              <w:left w:val="single" w:sz="12" w:space="0" w:color="auto"/>
            </w:tcBorders>
            <w:vAlign w:val="center"/>
          </w:tcPr>
          <w:p w14:paraId="50A7511E"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3DDFD267"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4E977F7A"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5023ECB"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E45D23" w:rsidRPr="00245041" w14:paraId="0A3B8E66" w14:textId="77777777" w:rsidTr="00901F3D">
        <w:trPr>
          <w:cantSplit/>
          <w:trHeight w:hRule="exact" w:val="400"/>
        </w:trPr>
        <w:tc>
          <w:tcPr>
            <w:tcW w:w="1985" w:type="dxa"/>
            <w:vMerge/>
            <w:tcBorders>
              <w:left w:val="single" w:sz="12" w:space="0" w:color="auto"/>
            </w:tcBorders>
          </w:tcPr>
          <w:p w14:paraId="5AE1F65C" w14:textId="77777777" w:rsidR="00E45D23" w:rsidRPr="00245041" w:rsidRDefault="00E45D23" w:rsidP="00901F3D">
            <w:pPr>
              <w:rPr>
                <w:rFonts w:ascii="微軟正黑體" w:eastAsia="微軟正黑體" w:hAnsi="微軟正黑體"/>
                <w:spacing w:val="10"/>
              </w:rPr>
            </w:pPr>
          </w:p>
        </w:tc>
        <w:tc>
          <w:tcPr>
            <w:tcW w:w="7938" w:type="dxa"/>
            <w:vMerge/>
          </w:tcPr>
          <w:p w14:paraId="29B4FC2B" w14:textId="77777777" w:rsidR="00E45D23" w:rsidRPr="00245041" w:rsidRDefault="00E45D23" w:rsidP="00901F3D">
            <w:pPr>
              <w:rPr>
                <w:rFonts w:ascii="微軟正黑體" w:eastAsia="微軟正黑體" w:hAnsi="微軟正黑體"/>
                <w:spacing w:val="10"/>
              </w:rPr>
            </w:pPr>
          </w:p>
        </w:tc>
        <w:tc>
          <w:tcPr>
            <w:tcW w:w="567" w:type="dxa"/>
          </w:tcPr>
          <w:p w14:paraId="1F3AC1CF"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2C29E0EA"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5DA64C1E"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4FC3164E" w14:textId="77777777" w:rsidR="00E45D23" w:rsidRPr="00245041" w:rsidRDefault="00E45D23" w:rsidP="00901F3D">
            <w:pPr>
              <w:rPr>
                <w:rFonts w:ascii="微軟正黑體" w:eastAsia="微軟正黑體" w:hAnsi="微軟正黑體"/>
                <w:spacing w:val="10"/>
              </w:rPr>
            </w:pPr>
          </w:p>
        </w:tc>
      </w:tr>
      <w:tr w:rsidR="00E45D23" w:rsidRPr="00245041" w14:paraId="2FBC519A" w14:textId="77777777" w:rsidTr="00AD6AA7">
        <w:trPr>
          <w:trHeight w:hRule="exact" w:val="5738"/>
        </w:trPr>
        <w:tc>
          <w:tcPr>
            <w:tcW w:w="1985" w:type="dxa"/>
            <w:tcBorders>
              <w:left w:val="single" w:sz="12" w:space="0" w:color="auto"/>
              <w:bottom w:val="single" w:sz="4" w:space="0" w:color="auto"/>
            </w:tcBorders>
          </w:tcPr>
          <w:p w14:paraId="29D28D4A"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違約處理作業</w:t>
            </w:r>
          </w:p>
          <w:p w14:paraId="0D830622"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768F0D4E"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68FE6A10"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337C40E"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D68F134"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DFA2080"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4FBD995A"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37B0FD25"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tc>
        <w:tc>
          <w:tcPr>
            <w:tcW w:w="7938" w:type="dxa"/>
            <w:tcBorders>
              <w:bottom w:val="single" w:sz="4" w:space="0" w:color="auto"/>
            </w:tcBorders>
          </w:tcPr>
          <w:p w14:paraId="1BEC3A0D"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szCs w:val="24"/>
              </w:rPr>
              <w:t>一、違約發生之原因是否予以查明。</w:t>
            </w:r>
          </w:p>
          <w:p w14:paraId="507BD4BF" w14:textId="77777777" w:rsidR="00E45D23" w:rsidRPr="00245041"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245041">
              <w:rPr>
                <w:rFonts w:ascii="微軟正黑體" w:eastAsia="微軟正黑體" w:hAnsi="微軟正黑體" w:hint="eastAsia"/>
                <w:spacing w:val="10"/>
                <w:szCs w:val="24"/>
              </w:rPr>
              <w:t>二、公司是否依受託契約或複委託契約之違約處理事項及相關規定辦理</w:t>
            </w:r>
            <w:proofErr w:type="spellEnd"/>
            <w:r w:rsidRPr="00245041">
              <w:rPr>
                <w:rFonts w:ascii="微軟正黑體" w:eastAsia="微軟正黑體" w:hAnsi="微軟正黑體" w:hint="eastAsia"/>
                <w:spacing w:val="10"/>
                <w:szCs w:val="24"/>
              </w:rPr>
              <w:t>。</w:t>
            </w:r>
          </w:p>
          <w:p w14:paraId="399D7CED" w14:textId="77777777" w:rsidR="00E45D23" w:rsidRPr="00245041"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245041">
              <w:rPr>
                <w:rFonts w:ascii="微軟正黑體" w:eastAsia="微軟正黑體" w:hAnsi="微軟正黑體" w:hint="eastAsia"/>
                <w:spacing w:val="10"/>
                <w:szCs w:val="24"/>
              </w:rPr>
              <w:t>三、違約之處理是否立即函報主管機關及券商公會備查</w:t>
            </w:r>
            <w:proofErr w:type="spellEnd"/>
            <w:r w:rsidRPr="00245041">
              <w:rPr>
                <w:rFonts w:ascii="微軟正黑體" w:eastAsia="微軟正黑體" w:hAnsi="微軟正黑體" w:hint="eastAsia"/>
                <w:spacing w:val="10"/>
                <w:szCs w:val="24"/>
              </w:rPr>
              <w:t>。</w:t>
            </w:r>
          </w:p>
          <w:p w14:paraId="69CE6C42" w14:textId="77777777" w:rsidR="00E45D23" w:rsidRPr="00245041" w:rsidRDefault="00E45D23" w:rsidP="00901F3D">
            <w:pPr>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四、委託人違約，公司是否終止其受託契約。</w:t>
            </w:r>
          </w:p>
          <w:p w14:paraId="2F1C09DA" w14:textId="77777777" w:rsidR="00E45D23" w:rsidRPr="00245041" w:rsidRDefault="00E45D23" w:rsidP="00901F3D">
            <w:pPr>
              <w:spacing w:line="400" w:lineRule="exact"/>
              <w:jc w:val="both"/>
              <w:rPr>
                <w:rFonts w:ascii="微軟正黑體" w:eastAsia="微軟正黑體" w:hAnsi="微軟正黑體"/>
                <w:spacing w:val="10"/>
                <w:szCs w:val="24"/>
              </w:rPr>
            </w:pPr>
          </w:p>
          <w:p w14:paraId="61B2BCEC" w14:textId="77777777" w:rsidR="00E45D23" w:rsidRPr="00245041" w:rsidRDefault="00E45D23" w:rsidP="00901F3D">
            <w:pPr>
              <w:spacing w:line="400" w:lineRule="exact"/>
              <w:jc w:val="both"/>
              <w:rPr>
                <w:rFonts w:ascii="微軟正黑體" w:eastAsia="微軟正黑體" w:hAnsi="微軟正黑體"/>
                <w:spacing w:val="10"/>
                <w:szCs w:val="24"/>
              </w:rPr>
            </w:pPr>
          </w:p>
          <w:p w14:paraId="21068393" w14:textId="77777777" w:rsidR="00E45D23" w:rsidRPr="00245041" w:rsidRDefault="00E45D23" w:rsidP="00901F3D">
            <w:pPr>
              <w:spacing w:line="400" w:lineRule="exact"/>
              <w:jc w:val="both"/>
              <w:rPr>
                <w:rFonts w:ascii="微軟正黑體" w:eastAsia="微軟正黑體" w:hAnsi="微軟正黑體"/>
                <w:spacing w:val="10"/>
                <w:szCs w:val="24"/>
              </w:rPr>
            </w:pPr>
          </w:p>
          <w:p w14:paraId="11F27014" w14:textId="77777777" w:rsidR="00E45D23" w:rsidRPr="00245041" w:rsidRDefault="00E45D23" w:rsidP="00901F3D">
            <w:pPr>
              <w:spacing w:line="400" w:lineRule="exact"/>
              <w:ind w:left="520" w:hangingChars="200" w:hanging="520"/>
              <w:rPr>
                <w:rFonts w:ascii="微軟正黑體" w:eastAsia="微軟正黑體" w:hAnsi="微軟正黑體"/>
                <w:spacing w:val="10"/>
                <w:szCs w:val="24"/>
              </w:rPr>
            </w:pPr>
          </w:p>
        </w:tc>
        <w:tc>
          <w:tcPr>
            <w:tcW w:w="567" w:type="dxa"/>
            <w:tcBorders>
              <w:bottom w:val="single" w:sz="4" w:space="0" w:color="auto"/>
            </w:tcBorders>
          </w:tcPr>
          <w:p w14:paraId="1CC2624B" w14:textId="77777777" w:rsidR="00E45D23" w:rsidRPr="00245041" w:rsidRDefault="00E45D23" w:rsidP="00901F3D">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6841A578" w14:textId="77777777" w:rsidR="00E45D23" w:rsidRPr="00245041" w:rsidRDefault="00E45D23" w:rsidP="00901F3D">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3975DEB6"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EDB817" w14:textId="77777777" w:rsidR="00E45D23" w:rsidRPr="00245041" w:rsidRDefault="00E45D23" w:rsidP="00901F3D">
            <w:pPr>
              <w:spacing w:line="400" w:lineRule="exact"/>
              <w:rPr>
                <w:rFonts w:ascii="微軟正黑體" w:eastAsia="微軟正黑體" w:hAnsi="微軟正黑體"/>
                <w:spacing w:val="10"/>
                <w:szCs w:val="24"/>
              </w:rPr>
            </w:pPr>
          </w:p>
        </w:tc>
      </w:tr>
      <w:tr w:rsidR="00E45D23" w:rsidRPr="00245041" w14:paraId="3D456BBF" w14:textId="77777777" w:rsidTr="00901F3D">
        <w:trPr>
          <w:trHeight w:hRule="exact" w:val="1164"/>
        </w:trPr>
        <w:tc>
          <w:tcPr>
            <w:tcW w:w="14176" w:type="dxa"/>
            <w:gridSpan w:val="6"/>
            <w:tcBorders>
              <w:top w:val="single" w:sz="4" w:space="0" w:color="auto"/>
              <w:left w:val="single" w:sz="12" w:space="0" w:color="auto"/>
              <w:right w:val="single" w:sz="12" w:space="0" w:color="auto"/>
            </w:tcBorders>
          </w:tcPr>
          <w:p w14:paraId="6693558A"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：本查核項目稽核人員應每</w:t>
            </w:r>
            <w:r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w:t>
            </w:r>
            <w:r w:rsidRPr="00245041">
              <w:rPr>
                <w:rFonts w:ascii="微軟正黑體" w:eastAsia="微軟正黑體" w:hAnsi="微軟正黑體"/>
                <w:spacing w:val="10"/>
              </w:rPr>
              <w:br/>
            </w:r>
            <w:r w:rsidRPr="00245041">
              <w:rPr>
                <w:rFonts w:ascii="微軟正黑體" w:eastAsia="微軟正黑體" w:hAnsi="微軟正黑體" w:hint="eastAsia"/>
                <w:spacing w:val="10"/>
              </w:rPr>
              <w:t xml:space="preserve">　　　　即可。</w:t>
            </w:r>
          </w:p>
        </w:tc>
      </w:tr>
    </w:tbl>
    <w:p w14:paraId="2B434558" w14:textId="77777777" w:rsidR="00E45D23" w:rsidRPr="00245041" w:rsidRDefault="00AD6AA7" w:rsidP="00AD6AA7">
      <w:pPr>
        <w:spacing w:line="500" w:lineRule="exact"/>
        <w:jc w:val="right"/>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p>
    <w:p w14:paraId="4EC81B55" w14:textId="77777777" w:rsidR="00E45D23" w:rsidRPr="00245041" w:rsidRDefault="00E45D23" w:rsidP="00E45D23">
      <w:pPr>
        <w:spacing w:line="500" w:lineRule="exact"/>
        <w:rPr>
          <w:rFonts w:ascii="微軟正黑體" w:eastAsia="微軟正黑體" w:hAnsi="微軟正黑體"/>
          <w:spacing w:val="10"/>
        </w:rPr>
      </w:pPr>
    </w:p>
    <w:p w14:paraId="6DCD67F7" w14:textId="6A6B3849" w:rsidR="004F3614" w:rsidRPr="00245041" w:rsidRDefault="00E45D23"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58240" behindDoc="0" locked="0" layoutInCell="0" allowOverlap="1" wp14:anchorId="3AA461E6" wp14:editId="28629E9A">
                <wp:simplePos x="0" y="0"/>
                <wp:positionH relativeFrom="column">
                  <wp:posOffset>0</wp:posOffset>
                </wp:positionH>
                <wp:positionV relativeFrom="paragraph">
                  <wp:posOffset>91440</wp:posOffset>
                </wp:positionV>
                <wp:extent cx="2160270" cy="3435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61E6" id="Rectangle 24" o:spid="_x0000_s1032" style="position:absolute;left:0;text-align:left;margin-left:0;margin-top:7.2pt;width:170.1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" o:allowincell="f" filled="f" strokecolor="white" strokeweight="4pt">
                <v:textbox inset="1pt,1pt,1pt,1pt">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4F3614" w:rsidRPr="00245041">
        <w:rPr>
          <w:rFonts w:ascii="微軟正黑體" w:eastAsia="微軟正黑體" w:hAnsi="微軟正黑體" w:hint="eastAsia"/>
          <w:spacing w:val="10"/>
        </w:rPr>
        <w:t xml:space="preserve">　證券股份有限公司</w:t>
      </w:r>
    </w:p>
    <w:p w14:paraId="7C1A51A2"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18BAAB11"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違約與</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64A47F90"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C415E5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02CD7EDC"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2088816F"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FDA4C0E"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337D909D" w14:textId="77777777" w:rsidTr="00327427">
        <w:trPr>
          <w:cantSplit/>
          <w:trHeight w:hRule="exact" w:val="400"/>
        </w:trPr>
        <w:tc>
          <w:tcPr>
            <w:tcW w:w="1985" w:type="dxa"/>
            <w:vMerge/>
            <w:tcBorders>
              <w:left w:val="single" w:sz="12" w:space="0" w:color="auto"/>
            </w:tcBorders>
          </w:tcPr>
          <w:p w14:paraId="15BEA649" w14:textId="77777777" w:rsidR="004F3614" w:rsidRPr="00245041" w:rsidRDefault="004F3614" w:rsidP="00327427">
            <w:pPr>
              <w:rPr>
                <w:rFonts w:ascii="微軟正黑體" w:eastAsia="微軟正黑體" w:hAnsi="微軟正黑體"/>
                <w:spacing w:val="10"/>
              </w:rPr>
            </w:pPr>
          </w:p>
        </w:tc>
        <w:tc>
          <w:tcPr>
            <w:tcW w:w="7938" w:type="dxa"/>
            <w:vMerge/>
          </w:tcPr>
          <w:p w14:paraId="4DFDF25F" w14:textId="77777777" w:rsidR="004F3614" w:rsidRPr="00245041" w:rsidRDefault="004F3614" w:rsidP="00327427">
            <w:pPr>
              <w:rPr>
                <w:rFonts w:ascii="微軟正黑體" w:eastAsia="微軟正黑體" w:hAnsi="微軟正黑體"/>
                <w:spacing w:val="10"/>
              </w:rPr>
            </w:pPr>
          </w:p>
        </w:tc>
        <w:tc>
          <w:tcPr>
            <w:tcW w:w="567" w:type="dxa"/>
          </w:tcPr>
          <w:p w14:paraId="2247F4AA"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3D81E28B"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3ADCBE98"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4188ADBA" w14:textId="77777777" w:rsidR="004F3614" w:rsidRPr="00245041" w:rsidRDefault="004F3614" w:rsidP="00327427">
            <w:pPr>
              <w:rPr>
                <w:rFonts w:ascii="微軟正黑體" w:eastAsia="微軟正黑體" w:hAnsi="微軟正黑體"/>
                <w:spacing w:val="10"/>
              </w:rPr>
            </w:pPr>
          </w:p>
        </w:tc>
      </w:tr>
      <w:tr w:rsidR="004F3614" w:rsidRPr="00245041" w14:paraId="56F628E1" w14:textId="77777777" w:rsidTr="00327427">
        <w:trPr>
          <w:trHeight w:hRule="exact" w:val="7412"/>
        </w:trPr>
        <w:tc>
          <w:tcPr>
            <w:tcW w:w="1985" w:type="dxa"/>
            <w:tcBorders>
              <w:left w:val="single" w:sz="12" w:space="0" w:color="auto"/>
            </w:tcBorders>
          </w:tcPr>
          <w:p w14:paraId="73219AEB" w14:textId="77777777" w:rsidR="004F3614" w:rsidRPr="00245041" w:rsidRDefault="004F3614" w:rsidP="00951A22">
            <w:pPr>
              <w:tabs>
                <w:tab w:val="left" w:pos="0"/>
              </w:tabs>
              <w:spacing w:line="400" w:lineRule="exact"/>
              <w:jc w:val="both"/>
              <w:rPr>
                <w:rFonts w:ascii="微軟正黑體" w:eastAsia="微軟正黑體" w:hAnsi="微軟正黑體"/>
                <w:spacing w:val="10"/>
                <w:szCs w:val="24"/>
              </w:rPr>
            </w:pP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7938" w:type="dxa"/>
          </w:tcPr>
          <w:p w14:paraId="6B4118F0"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一、</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受託金融機構或保管機構有違約、經有權機關禁止或停止受託買賣及其他不能或不宜續行受託買賣之情事時，是否依相關規定辦理。</w:t>
            </w:r>
          </w:p>
          <w:p w14:paraId="3B669ADC"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二、</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委託契約或保管契約</w:t>
            </w:r>
            <w:r w:rsidRPr="00245041">
              <w:rPr>
                <w:rFonts w:ascii="微軟正黑體" w:eastAsia="微軟正黑體" w:hAnsi="微軟正黑體"/>
                <w:spacing w:val="10"/>
                <w:szCs w:val="24"/>
              </w:rPr>
              <w:t>有無效、終止、撤銷或解除情事者，</w:t>
            </w:r>
            <w:r w:rsidRPr="00245041">
              <w:rPr>
                <w:rFonts w:ascii="微軟正黑體" w:eastAsia="微軟正黑體" w:hAnsi="微軟正黑體" w:hint="eastAsia"/>
                <w:spacing w:val="10"/>
                <w:szCs w:val="24"/>
              </w:rPr>
              <w:t>是否依相關規定辦理。</w:t>
            </w:r>
          </w:p>
          <w:p w14:paraId="6A4FC482" w14:textId="77777777" w:rsidR="004F3614" w:rsidRPr="00245041" w:rsidRDefault="004F3614" w:rsidP="00DD3713">
            <w:pPr>
              <w:spacing w:line="400" w:lineRule="exact"/>
              <w:ind w:left="520" w:hangingChars="200" w:hanging="520"/>
              <w:rPr>
                <w:rFonts w:ascii="微軟正黑體" w:eastAsia="微軟正黑體" w:hAnsi="微軟正黑體"/>
                <w:spacing w:val="10"/>
              </w:rPr>
            </w:pPr>
            <w:r w:rsidRPr="00245041">
              <w:rPr>
                <w:rFonts w:ascii="微軟正黑體" w:eastAsia="微軟正黑體" w:hAnsi="微軟正黑體" w:hint="eastAsia"/>
                <w:spacing w:val="10"/>
                <w:szCs w:val="24"/>
              </w:rPr>
              <w:t>三、</w:t>
            </w:r>
            <w:r w:rsidRPr="00245041">
              <w:rPr>
                <w:rFonts w:ascii="微軟正黑體" w:eastAsia="微軟正黑體" w:hAnsi="微軟正黑體" w:hint="eastAsia"/>
                <w:spacing w:val="10"/>
              </w:rPr>
              <w:t>公司</w:t>
            </w:r>
            <w:r w:rsidRPr="00245041">
              <w:rPr>
                <w:rFonts w:ascii="微軟正黑體" w:eastAsia="微軟正黑體" w:hAnsi="微軟正黑體"/>
                <w:spacing w:val="10"/>
              </w:rPr>
              <w:t>受託買進並送存保管之有價證券，</w:t>
            </w:r>
            <w:r w:rsidRPr="00245041">
              <w:rPr>
                <w:rFonts w:ascii="微軟正黑體" w:eastAsia="微軟正黑體" w:hAnsi="微軟正黑體" w:hint="eastAsia"/>
                <w:spacing w:val="10"/>
              </w:rPr>
              <w:t>是否</w:t>
            </w:r>
            <w:r w:rsidRPr="00245041">
              <w:rPr>
                <w:rFonts w:ascii="微軟正黑體" w:eastAsia="微軟正黑體" w:hAnsi="微軟正黑體"/>
                <w:spacing w:val="10"/>
              </w:rPr>
              <w:t>於知悉該有價證券將因下市、經有權機關命令停止或禁止交易、或其他事由，暫停或不能於證券市場流通買賣者，</w:t>
            </w:r>
            <w:proofErr w:type="gramStart"/>
            <w:r w:rsidRPr="00245041">
              <w:rPr>
                <w:rFonts w:ascii="微軟正黑體" w:eastAsia="微軟正黑體" w:hAnsi="微軟正黑體"/>
                <w:spacing w:val="10"/>
              </w:rPr>
              <w:t>即敘明理</w:t>
            </w:r>
            <w:proofErr w:type="gramEnd"/>
            <w:r w:rsidRPr="00245041">
              <w:rPr>
                <w:rFonts w:ascii="微軟正黑體" w:eastAsia="微軟正黑體" w:hAnsi="微軟正黑體"/>
                <w:spacing w:val="10"/>
              </w:rPr>
              <w:t>由</w:t>
            </w:r>
            <w:r w:rsidRPr="00245041">
              <w:rPr>
                <w:rFonts w:ascii="微軟正黑體" w:eastAsia="微軟正黑體" w:hAnsi="微軟正黑體" w:hint="eastAsia"/>
                <w:spacing w:val="10"/>
              </w:rPr>
              <w:t>據實轉達</w:t>
            </w:r>
            <w:r w:rsidRPr="00245041">
              <w:rPr>
                <w:rFonts w:ascii="微軟正黑體" w:eastAsia="微軟正黑體" w:hAnsi="微軟正黑體"/>
                <w:spacing w:val="10"/>
              </w:rPr>
              <w:t>原委託買進之委託人，並依其指示為適當處置。</w:t>
            </w:r>
          </w:p>
          <w:p w14:paraId="1132A039" w14:textId="77777777" w:rsidR="00E45D23" w:rsidRPr="00245041" w:rsidRDefault="00E45D23" w:rsidP="00E45D23">
            <w:pPr>
              <w:spacing w:line="400" w:lineRule="exact"/>
              <w:ind w:left="468" w:right="28" w:hangingChars="180" w:hanging="468"/>
              <w:rPr>
                <w:rFonts w:ascii="微軟正黑體" w:eastAsia="微軟正黑體" w:hAnsi="微軟正黑體"/>
                <w:spacing w:val="10"/>
                <w:szCs w:val="24"/>
              </w:rPr>
            </w:pPr>
            <w:r w:rsidRPr="00245041">
              <w:rPr>
                <w:rFonts w:ascii="微軟正黑體" w:eastAsia="微軟正黑體" w:hAnsi="微軟正黑體" w:hint="eastAsia"/>
                <w:spacing w:val="10"/>
                <w:szCs w:val="24"/>
              </w:rPr>
              <w:t>四、公司於接獲境外結構型商品發行人、總代理人通報下列情事後，是否轉知委託人：</w:t>
            </w:r>
          </w:p>
          <w:p w14:paraId="5E395AE2"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（一）境外結構型商品發行機構因解散、停業、營業移轉、</w:t>
            </w:r>
            <w:proofErr w:type="gramStart"/>
            <w:r w:rsidRPr="00245041">
              <w:rPr>
                <w:rFonts w:ascii="微軟正黑體" w:eastAsia="微軟正黑體" w:hAnsi="微軟正黑體" w:hint="eastAsia"/>
                <w:color w:val="auto"/>
                <w:spacing w:val="10"/>
                <w:sz w:val="24"/>
                <w:szCs w:val="24"/>
              </w:rPr>
              <w:t>併</w:t>
            </w:r>
            <w:proofErr w:type="gramEnd"/>
            <w:r w:rsidRPr="00245041">
              <w:rPr>
                <w:rFonts w:ascii="微軟正黑體" w:eastAsia="微軟正黑體" w:hAnsi="微軟正黑體" w:hint="eastAsia"/>
                <w:color w:val="auto"/>
                <w:spacing w:val="10"/>
                <w:sz w:val="24"/>
                <w:szCs w:val="24"/>
              </w:rPr>
              <w:t>購、歇業、其當地國法令撤銷或廢止許可或其他相似之重大事由，致不能繼續營業者。</w:t>
            </w:r>
          </w:p>
          <w:p w14:paraId="5960886F"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（二）境外結構型商品發行機構或保證機構之長期債務信用評等或境外結構型商品之發行評等遭調降者。</w:t>
            </w:r>
          </w:p>
          <w:p w14:paraId="675EFF96"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42800199" w14:textId="77777777" w:rsidR="00E45D23" w:rsidRPr="00245041" w:rsidRDefault="00E45D23" w:rsidP="00DD3713">
            <w:pPr>
              <w:spacing w:line="400" w:lineRule="exact"/>
              <w:ind w:left="520" w:hangingChars="200" w:hanging="520"/>
              <w:rPr>
                <w:rFonts w:ascii="微軟正黑體" w:eastAsia="微軟正黑體" w:hAnsi="微軟正黑體"/>
                <w:spacing w:val="10"/>
                <w:szCs w:val="24"/>
              </w:rPr>
            </w:pPr>
          </w:p>
        </w:tc>
        <w:tc>
          <w:tcPr>
            <w:tcW w:w="567" w:type="dxa"/>
          </w:tcPr>
          <w:p w14:paraId="43CA17D5"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Pr>
          <w:p w14:paraId="3B012AA2"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Pr>
          <w:p w14:paraId="36CD640A"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right w:val="single" w:sz="12" w:space="0" w:color="auto"/>
            </w:tcBorders>
          </w:tcPr>
          <w:p w14:paraId="0083AFA6" w14:textId="77777777" w:rsidR="004F3614" w:rsidRPr="00245041" w:rsidRDefault="004F3614" w:rsidP="00327427">
            <w:pPr>
              <w:spacing w:line="400" w:lineRule="exact"/>
              <w:rPr>
                <w:rFonts w:ascii="微軟正黑體" w:eastAsia="微軟正黑體" w:hAnsi="微軟正黑體"/>
                <w:spacing w:val="10"/>
                <w:szCs w:val="24"/>
              </w:rPr>
            </w:pPr>
          </w:p>
        </w:tc>
      </w:tr>
    </w:tbl>
    <w:p w14:paraId="3C8B14B5" w14:textId="455E345A" w:rsidR="004F3614" w:rsidRPr="00245041" w:rsidRDefault="004F3614"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59264" behindDoc="0" locked="0" layoutInCell="0" allowOverlap="1" wp14:anchorId="4F4C8387" wp14:editId="2FF42C8F">
                <wp:simplePos x="0" y="0"/>
                <wp:positionH relativeFrom="column">
                  <wp:posOffset>-45720</wp:posOffset>
                </wp:positionH>
                <wp:positionV relativeFrom="paragraph">
                  <wp:posOffset>91440</wp:posOffset>
                </wp:positionV>
                <wp:extent cx="2007870" cy="3435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8387" id="Rectangle 25" o:spid="_x0000_s1033" style="position:absolute;left:0;text-align:left;margin-left:-3.6pt;margin-top:7.2pt;width:158.1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" o:allowincell="f" filled="f" strokecolor="white" strokeweight="4pt">
                <v:textbox inset="1pt,1pt,1pt,1pt">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245041">
        <w:rPr>
          <w:rFonts w:ascii="微軟正黑體" w:eastAsia="微軟正黑體" w:hAnsi="微軟正黑體" w:hint="eastAsia"/>
          <w:spacing w:val="10"/>
        </w:rPr>
        <w:t xml:space="preserve">　　　　　　證券股份有限公司</w:t>
      </w:r>
    </w:p>
    <w:p w14:paraId="3EA6484F"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0C30CF67"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違約與</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3CA9E22D"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7914795"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B73FC91"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BAD0D8F"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58EDFA58"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396B60B9" w14:textId="77777777" w:rsidTr="00327427">
        <w:trPr>
          <w:cantSplit/>
          <w:trHeight w:hRule="exact" w:val="400"/>
        </w:trPr>
        <w:tc>
          <w:tcPr>
            <w:tcW w:w="1985" w:type="dxa"/>
            <w:vMerge/>
            <w:tcBorders>
              <w:left w:val="single" w:sz="12" w:space="0" w:color="auto"/>
            </w:tcBorders>
          </w:tcPr>
          <w:p w14:paraId="5C56BAE1" w14:textId="77777777" w:rsidR="004F3614" w:rsidRPr="00245041" w:rsidRDefault="004F3614" w:rsidP="00327427">
            <w:pPr>
              <w:rPr>
                <w:rFonts w:ascii="微軟正黑體" w:eastAsia="微軟正黑體" w:hAnsi="微軟正黑體"/>
                <w:spacing w:val="10"/>
              </w:rPr>
            </w:pPr>
          </w:p>
        </w:tc>
        <w:tc>
          <w:tcPr>
            <w:tcW w:w="7938" w:type="dxa"/>
            <w:vMerge/>
          </w:tcPr>
          <w:p w14:paraId="064C1E1D" w14:textId="77777777" w:rsidR="004F3614" w:rsidRPr="00245041" w:rsidRDefault="004F3614" w:rsidP="00327427">
            <w:pPr>
              <w:rPr>
                <w:rFonts w:ascii="微軟正黑體" w:eastAsia="微軟正黑體" w:hAnsi="微軟正黑體"/>
                <w:spacing w:val="10"/>
              </w:rPr>
            </w:pPr>
          </w:p>
        </w:tc>
        <w:tc>
          <w:tcPr>
            <w:tcW w:w="567" w:type="dxa"/>
          </w:tcPr>
          <w:p w14:paraId="312BDFE1"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7B388E0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43AEAEB0"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1F707CAB" w14:textId="77777777" w:rsidR="004F3614" w:rsidRPr="00245041" w:rsidRDefault="004F3614" w:rsidP="00327427">
            <w:pPr>
              <w:rPr>
                <w:rFonts w:ascii="微軟正黑體" w:eastAsia="微軟正黑體" w:hAnsi="微軟正黑體"/>
                <w:spacing w:val="10"/>
              </w:rPr>
            </w:pPr>
          </w:p>
        </w:tc>
      </w:tr>
      <w:tr w:rsidR="004F3614" w:rsidRPr="00245041" w14:paraId="1994CE62" w14:textId="77777777" w:rsidTr="00AD6AA7">
        <w:trPr>
          <w:trHeight w:hRule="exact" w:val="6163"/>
        </w:trPr>
        <w:tc>
          <w:tcPr>
            <w:tcW w:w="1985" w:type="dxa"/>
            <w:tcBorders>
              <w:left w:val="single" w:sz="12" w:space="0" w:color="auto"/>
              <w:bottom w:val="single" w:sz="4" w:space="0" w:color="auto"/>
            </w:tcBorders>
          </w:tcPr>
          <w:p w14:paraId="676A6050" w14:textId="77777777" w:rsidR="004F3614" w:rsidRPr="00245041" w:rsidRDefault="00E45D23" w:rsidP="00327427">
            <w:pPr>
              <w:tabs>
                <w:tab w:val="left" w:pos="180"/>
              </w:tabs>
              <w:spacing w:line="400" w:lineRule="exact"/>
              <w:ind w:left="180"/>
              <w:jc w:val="both"/>
              <w:rPr>
                <w:rFonts w:ascii="微軟正黑體" w:eastAsia="微軟正黑體" w:hAnsi="微軟正黑體"/>
                <w:color w:val="000000"/>
                <w:spacing w:val="10"/>
                <w:szCs w:val="24"/>
              </w:rPr>
            </w:pP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7938" w:type="dxa"/>
            <w:tcBorders>
              <w:bottom w:val="single" w:sz="4" w:space="0" w:color="auto"/>
            </w:tcBorders>
          </w:tcPr>
          <w:p w14:paraId="76FDC55C" w14:textId="77777777" w:rsidR="004F3614" w:rsidRPr="00245041"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008954A2" w14:textId="77777777" w:rsidR="004F3614" w:rsidRPr="00245041"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（四）其他重大影響投資人權益之事項。</w:t>
            </w:r>
          </w:p>
          <w:p w14:paraId="2F808838" w14:textId="77777777" w:rsidR="004F3614" w:rsidRPr="00245041" w:rsidRDefault="004F3614" w:rsidP="00D20E0B">
            <w:pPr>
              <w:spacing w:line="400" w:lineRule="exact"/>
              <w:ind w:left="492" w:hanging="45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五、當全球具一定公信力之財經專業媒體報導或從</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受託金融機構得知外國有價證券之標的公司發生財務困難情事或</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受託金融機構本身發生財務困難有違約情事者，是否於知悉確認後立即通報券商公會。</w:t>
            </w:r>
          </w:p>
        </w:tc>
        <w:tc>
          <w:tcPr>
            <w:tcW w:w="567" w:type="dxa"/>
            <w:tcBorders>
              <w:bottom w:val="single" w:sz="4" w:space="0" w:color="auto"/>
            </w:tcBorders>
          </w:tcPr>
          <w:p w14:paraId="70F69D1D"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3FF665E5"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6AAFEA44"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BB1801" w14:textId="77777777" w:rsidR="004F3614" w:rsidRPr="00245041" w:rsidRDefault="004F3614" w:rsidP="00327427">
            <w:pPr>
              <w:spacing w:line="400" w:lineRule="exact"/>
              <w:rPr>
                <w:rFonts w:ascii="微軟正黑體" w:eastAsia="微軟正黑體" w:hAnsi="微軟正黑體"/>
                <w:spacing w:val="10"/>
                <w:szCs w:val="24"/>
              </w:rPr>
            </w:pPr>
          </w:p>
        </w:tc>
      </w:tr>
      <w:tr w:rsidR="00E45D23" w:rsidRPr="00245041" w14:paraId="2BD0E136" w14:textId="77777777" w:rsidTr="00901F3D">
        <w:trPr>
          <w:trHeight w:hRule="exact" w:val="1071"/>
        </w:trPr>
        <w:tc>
          <w:tcPr>
            <w:tcW w:w="14176" w:type="dxa"/>
            <w:gridSpan w:val="6"/>
            <w:tcBorders>
              <w:top w:val="single" w:sz="4" w:space="0" w:color="auto"/>
              <w:left w:val="single" w:sz="12" w:space="0" w:color="auto"/>
              <w:right w:val="single" w:sz="12" w:space="0" w:color="auto"/>
            </w:tcBorders>
          </w:tcPr>
          <w:p w14:paraId="7CBE4E5B" w14:textId="77777777" w:rsidR="00E45D23" w:rsidRPr="00245041" w:rsidRDefault="00E45D23" w:rsidP="00327427">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：本查核項目稽核人員應每</w:t>
            </w:r>
            <w:r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w:t>
            </w:r>
            <w:r w:rsidRPr="00245041">
              <w:rPr>
                <w:rFonts w:ascii="微軟正黑體" w:eastAsia="微軟正黑體" w:hAnsi="微軟正黑體"/>
                <w:spacing w:val="10"/>
              </w:rPr>
              <w:br/>
            </w:r>
            <w:r w:rsidRPr="00245041">
              <w:rPr>
                <w:rFonts w:ascii="微軟正黑體" w:eastAsia="微軟正黑體" w:hAnsi="微軟正黑體" w:hint="eastAsia"/>
                <w:spacing w:val="10"/>
              </w:rPr>
              <w:t xml:space="preserve">　　　　即可。</w:t>
            </w:r>
          </w:p>
        </w:tc>
      </w:tr>
    </w:tbl>
    <w:p w14:paraId="075C9AAE" w14:textId="77777777" w:rsidR="00AD6AA7" w:rsidRPr="00245041" w:rsidRDefault="00AD6AA7" w:rsidP="00AD6AA7">
      <w:pPr>
        <w:spacing w:line="500" w:lineRule="exact"/>
        <w:jc w:val="right"/>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p>
    <w:p w14:paraId="06A6B252" w14:textId="77777777" w:rsidR="004F3614" w:rsidRPr="00245041" w:rsidRDefault="004F3614" w:rsidP="004F3614">
      <w:pPr>
        <w:spacing w:line="500" w:lineRule="exact"/>
        <w:jc w:val="center"/>
        <w:rPr>
          <w:rFonts w:ascii="微軟正黑體" w:eastAsia="微軟正黑體" w:hAnsi="微軟正黑體"/>
          <w:spacing w:val="10"/>
        </w:rPr>
      </w:pPr>
    </w:p>
    <w:p w14:paraId="4413B49A" w14:textId="21D57048" w:rsidR="004F3614" w:rsidRPr="00245041" w:rsidRDefault="004F3614"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60288" behindDoc="0" locked="0" layoutInCell="0" allowOverlap="1" wp14:anchorId="455EBD1E" wp14:editId="2A65E380">
                <wp:simplePos x="0" y="0"/>
                <wp:positionH relativeFrom="column">
                  <wp:posOffset>0</wp:posOffset>
                </wp:positionH>
                <wp:positionV relativeFrom="paragraph">
                  <wp:posOffset>129540</wp:posOffset>
                </wp:positionV>
                <wp:extent cx="2146935" cy="343535"/>
                <wp:effectExtent l="0" t="0" r="0"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BD1E" id="Rectangle 26" o:spid="_x0000_s1034" style="position:absolute;left:0;text-align:left;margin-left:0;margin-top:10.2pt;width:169.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" o:allowincell="f" filled="f" strokecolor="white" strokeweight="4pt">
                <v:textbox inset="1pt,1pt,1pt,1pt">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245041">
        <w:rPr>
          <w:rFonts w:ascii="微軟正黑體" w:eastAsia="微軟正黑體" w:hAnsi="微軟正黑體" w:hint="eastAsia"/>
          <w:spacing w:val="10"/>
        </w:rPr>
        <w:t xml:space="preserve">　　　　　　證券股份有限公司</w:t>
      </w:r>
    </w:p>
    <w:p w14:paraId="4304565B"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1871B5CE"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szCs w:val="24"/>
        </w:rPr>
        <w:t>與委託人發生交易糾紛或訴訟之</w:t>
      </w:r>
      <w:r w:rsidRPr="00245041">
        <w:rPr>
          <w:rFonts w:ascii="微軟正黑體" w:eastAsia="微軟正黑體" w:hAnsi="微軟正黑體" w:hint="eastAsia"/>
          <w:spacing w:val="10"/>
        </w:rPr>
        <w:t>處理作業查核明細表</w:t>
      </w:r>
      <w:r w:rsidR="005865AA" w:rsidRPr="00245041">
        <w:rPr>
          <w:rFonts w:ascii="微軟正黑體" w:eastAsia="微軟正黑體" w:hAnsi="微軟正黑體" w:hint="eastAsia"/>
          <w:b/>
        </w:rPr>
        <w:t>(修訂草案)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37111E4C"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5D586405"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301F8E6"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DB6444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74673960"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2F03E3F9" w14:textId="77777777" w:rsidTr="00327427">
        <w:trPr>
          <w:cantSplit/>
          <w:trHeight w:hRule="exact" w:val="400"/>
        </w:trPr>
        <w:tc>
          <w:tcPr>
            <w:tcW w:w="1985" w:type="dxa"/>
            <w:vMerge/>
            <w:tcBorders>
              <w:left w:val="single" w:sz="12" w:space="0" w:color="auto"/>
            </w:tcBorders>
          </w:tcPr>
          <w:p w14:paraId="26C41E5B" w14:textId="77777777" w:rsidR="004F3614" w:rsidRPr="00245041" w:rsidRDefault="004F3614" w:rsidP="00327427">
            <w:pPr>
              <w:rPr>
                <w:rFonts w:ascii="微軟正黑體" w:eastAsia="微軟正黑體" w:hAnsi="微軟正黑體"/>
                <w:spacing w:val="10"/>
              </w:rPr>
            </w:pPr>
          </w:p>
        </w:tc>
        <w:tc>
          <w:tcPr>
            <w:tcW w:w="7938" w:type="dxa"/>
            <w:vMerge/>
          </w:tcPr>
          <w:p w14:paraId="4CCD4D3E" w14:textId="77777777" w:rsidR="004F3614" w:rsidRPr="00245041" w:rsidRDefault="004F3614" w:rsidP="00327427">
            <w:pPr>
              <w:rPr>
                <w:rFonts w:ascii="微軟正黑體" w:eastAsia="微軟正黑體" w:hAnsi="微軟正黑體"/>
                <w:spacing w:val="10"/>
              </w:rPr>
            </w:pPr>
          </w:p>
        </w:tc>
        <w:tc>
          <w:tcPr>
            <w:tcW w:w="567" w:type="dxa"/>
          </w:tcPr>
          <w:p w14:paraId="7B192899"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0F377710"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5DDF4F7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5AF974D5" w14:textId="77777777" w:rsidR="004F3614" w:rsidRPr="00245041" w:rsidRDefault="004F3614" w:rsidP="00327427">
            <w:pPr>
              <w:rPr>
                <w:rFonts w:ascii="微軟正黑體" w:eastAsia="微軟正黑體" w:hAnsi="微軟正黑體"/>
                <w:spacing w:val="10"/>
              </w:rPr>
            </w:pPr>
          </w:p>
        </w:tc>
      </w:tr>
      <w:tr w:rsidR="004F3614" w:rsidRPr="00245041" w14:paraId="6F07C22A" w14:textId="77777777" w:rsidTr="00AD6AA7">
        <w:trPr>
          <w:trHeight w:hRule="exact" w:val="6304"/>
        </w:trPr>
        <w:tc>
          <w:tcPr>
            <w:tcW w:w="1985" w:type="dxa"/>
            <w:tcBorders>
              <w:left w:val="single" w:sz="12" w:space="0" w:color="auto"/>
            </w:tcBorders>
          </w:tcPr>
          <w:p w14:paraId="434DA412"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與委託人發生交易糾紛或訴訟之處理作業</w:t>
            </w:r>
          </w:p>
          <w:p w14:paraId="149C0D80"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41BE9B80"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48605996"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3359B266"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tc>
        <w:tc>
          <w:tcPr>
            <w:tcW w:w="7938" w:type="dxa"/>
          </w:tcPr>
          <w:p w14:paraId="131DC3E8"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一、與委託人因委託買賣所生之爭議是否依照公司內部控制制度規定之處理程序辦理，事後並留存完整之處理報告紀錄。</w:t>
            </w:r>
          </w:p>
          <w:p w14:paraId="77F14E61"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二、公司或其董事、監察人、經理人及受</w:t>
            </w:r>
            <w:proofErr w:type="gramStart"/>
            <w:r w:rsidRPr="00245041">
              <w:rPr>
                <w:rFonts w:ascii="微軟正黑體" w:eastAsia="微軟正黑體" w:hAnsi="微軟正黑體" w:hint="eastAsia"/>
                <w:spacing w:val="10"/>
                <w:szCs w:val="24"/>
              </w:rPr>
              <w:t>僱</w:t>
            </w:r>
            <w:proofErr w:type="gramEnd"/>
            <w:r w:rsidRPr="00245041">
              <w:rPr>
                <w:rFonts w:ascii="微軟正黑體" w:eastAsia="微軟正黑體" w:hAnsi="微軟正黑體" w:hint="eastAsia"/>
                <w:spacing w:val="10"/>
                <w:szCs w:val="24"/>
              </w:rPr>
              <w:t>人，因經營或從事受託買賣外國有價證券業務，發生訴訟、仲裁或為強制執行之債務人，或公司為破產人、有銀行退票或拒絕往來之情事者，公司是否依規定將其情形函報券商公會轉報主管機關。</w:t>
            </w:r>
          </w:p>
        </w:tc>
        <w:tc>
          <w:tcPr>
            <w:tcW w:w="567" w:type="dxa"/>
          </w:tcPr>
          <w:p w14:paraId="7F58DACB"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Pr>
          <w:p w14:paraId="0ECE8BD2"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Pr>
          <w:p w14:paraId="24D6A453"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right w:val="single" w:sz="12" w:space="0" w:color="auto"/>
            </w:tcBorders>
          </w:tcPr>
          <w:p w14:paraId="596ABDFF" w14:textId="77777777" w:rsidR="004F3614" w:rsidRPr="00245041" w:rsidRDefault="004F3614" w:rsidP="00327427">
            <w:pPr>
              <w:spacing w:line="400" w:lineRule="exact"/>
              <w:rPr>
                <w:rFonts w:ascii="微軟正黑體" w:eastAsia="微軟正黑體" w:hAnsi="微軟正黑體"/>
                <w:spacing w:val="10"/>
                <w:szCs w:val="24"/>
              </w:rPr>
            </w:pPr>
          </w:p>
        </w:tc>
      </w:tr>
      <w:tr w:rsidR="004F3614" w:rsidRPr="00245041" w14:paraId="72C23B20" w14:textId="77777777" w:rsidTr="00327427">
        <w:trPr>
          <w:cantSplit/>
          <w:trHeight w:hRule="exact" w:val="1013"/>
        </w:trPr>
        <w:tc>
          <w:tcPr>
            <w:tcW w:w="14176" w:type="dxa"/>
            <w:gridSpan w:val="6"/>
            <w:tcBorders>
              <w:left w:val="single" w:sz="12" w:space="0" w:color="auto"/>
              <w:bottom w:val="single" w:sz="12" w:space="0" w:color="auto"/>
              <w:right w:val="single" w:sz="12" w:space="0" w:color="auto"/>
            </w:tcBorders>
          </w:tcPr>
          <w:p w14:paraId="17B0BFFE" w14:textId="378E94DE" w:rsidR="004F3614" w:rsidRPr="00245041" w:rsidRDefault="004F3614" w:rsidP="008B6BAA">
            <w:pPr>
              <w:spacing w:line="400" w:lineRule="exact"/>
              <w:ind w:leftChars="100" w:left="1280" w:hangingChars="400" w:hanging="104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：本查核項目稽核人員應每</w:t>
            </w:r>
            <w:r w:rsidR="00E45D23"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00DD3713"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查核報告敘明即可。</w:t>
            </w:r>
          </w:p>
        </w:tc>
      </w:tr>
    </w:tbl>
    <w:p w14:paraId="2063423F" w14:textId="77777777" w:rsidR="004F3614" w:rsidRPr="00245041" w:rsidRDefault="004F3614" w:rsidP="004F3614">
      <w:pPr>
        <w:spacing w:line="500" w:lineRule="atLeast"/>
        <w:ind w:firstLine="9361"/>
        <w:jc w:val="both"/>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p>
    <w:p w14:paraId="1AF13C09" w14:textId="77777777" w:rsidR="004F3614" w:rsidRPr="00245041" w:rsidRDefault="004F3614" w:rsidP="004F3614">
      <w:pPr>
        <w:spacing w:afterLines="100" w:after="240"/>
        <w:jc w:val="both"/>
        <w:rPr>
          <w:rFonts w:ascii="微軟正黑體" w:eastAsia="微軟正黑體" w:hAnsi="微軟正黑體"/>
          <w:spacing w:val="10"/>
        </w:rPr>
      </w:pPr>
    </w:p>
    <w:p w14:paraId="3398F43F" w14:textId="77777777" w:rsidR="004F3614" w:rsidRPr="00245041" w:rsidRDefault="0000468D" w:rsidP="0000468D">
      <w:pPr>
        <w:tabs>
          <w:tab w:val="center" w:pos="7002"/>
          <w:tab w:val="left" w:pos="11124"/>
        </w:tabs>
        <w:spacing w:afterLines="100" w:after="240" w:line="400" w:lineRule="exact"/>
        <w:rPr>
          <w:rFonts w:ascii="微軟正黑體" w:eastAsia="微軟正黑體" w:hAnsi="微軟正黑體"/>
          <w:spacing w:val="10"/>
          <w:sz w:val="32"/>
          <w:szCs w:val="32"/>
        </w:rPr>
      </w:pPr>
      <w:r w:rsidRPr="00245041">
        <w:rPr>
          <w:rFonts w:ascii="微軟正黑體" w:eastAsia="微軟正黑體" w:hAnsi="微軟正黑體"/>
          <w:spacing w:val="10"/>
          <w:sz w:val="32"/>
          <w:szCs w:val="32"/>
        </w:rPr>
        <w:lastRenderedPageBreak/>
        <w:tab/>
      </w:r>
      <w:r w:rsidR="004F3614" w:rsidRPr="00245041">
        <w:rPr>
          <w:rFonts w:ascii="微軟正黑體" w:eastAsia="微軟正黑體" w:hAnsi="微軟正黑體"/>
          <w:spacing w:val="10"/>
          <w:sz w:val="32"/>
          <w:szCs w:val="32"/>
        </w:rPr>
        <w:t>○</w:t>
      </w:r>
      <w:r w:rsidR="004F3614" w:rsidRPr="00245041">
        <w:rPr>
          <w:rFonts w:ascii="微軟正黑體" w:eastAsia="微軟正黑體" w:hAnsi="微軟正黑體" w:hint="eastAsia"/>
          <w:spacing w:val="10"/>
          <w:sz w:val="32"/>
          <w:szCs w:val="32"/>
        </w:rPr>
        <w:t>○</w:t>
      </w:r>
      <w:r w:rsidR="004F3614" w:rsidRPr="00245041">
        <w:rPr>
          <w:rFonts w:ascii="微軟正黑體" w:eastAsia="微軟正黑體" w:hAnsi="微軟正黑體"/>
          <w:spacing w:val="10"/>
          <w:sz w:val="32"/>
          <w:szCs w:val="32"/>
        </w:rPr>
        <w:t>證券股份有限公司</w:t>
      </w:r>
      <w:r w:rsidRPr="00245041">
        <w:rPr>
          <w:rFonts w:ascii="微軟正黑體" w:eastAsia="微軟正黑體" w:hAnsi="微軟正黑體"/>
          <w:spacing w:val="10"/>
          <w:sz w:val="32"/>
          <w:szCs w:val="32"/>
        </w:rPr>
        <w:tab/>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4361"/>
        <w:gridCol w:w="1276"/>
        <w:gridCol w:w="1275"/>
        <w:gridCol w:w="1276"/>
        <w:gridCol w:w="1276"/>
        <w:gridCol w:w="1276"/>
        <w:gridCol w:w="2835"/>
      </w:tblGrid>
      <w:tr w:rsidR="004F3614" w:rsidRPr="00245041" w14:paraId="1552A9C0" w14:textId="77777777" w:rsidTr="00327427">
        <w:tc>
          <w:tcPr>
            <w:tcW w:w="15168" w:type="dxa"/>
            <w:gridSpan w:val="8"/>
            <w:tcBorders>
              <w:top w:val="nil"/>
              <w:left w:val="nil"/>
              <w:right w:val="nil"/>
            </w:tcBorders>
          </w:tcPr>
          <w:p w14:paraId="0DDED999" w14:textId="77777777" w:rsidR="004F3614" w:rsidRPr="00245041" w:rsidRDefault="004F3614" w:rsidP="00327427">
            <w:pPr>
              <w:spacing w:afterLines="100" w:after="240" w:line="400" w:lineRule="exact"/>
              <w:jc w:val="center"/>
              <w:rPr>
                <w:rFonts w:ascii="微軟正黑體" w:eastAsia="微軟正黑體" w:hAnsi="微軟正黑體"/>
                <w:spacing w:val="10"/>
                <w:sz w:val="32"/>
                <w:szCs w:val="32"/>
              </w:rPr>
            </w:pPr>
            <w:r w:rsidRPr="00245041">
              <w:rPr>
                <w:rFonts w:ascii="微軟正黑體" w:eastAsia="微軟正黑體" w:hAnsi="微軟正黑體" w:hint="eastAsia"/>
                <w:spacing w:val="10"/>
                <w:sz w:val="32"/>
                <w:szCs w:val="32"/>
              </w:rPr>
              <w:t>受託買賣外國有價證券</w:t>
            </w:r>
            <w:r w:rsidRPr="00245041">
              <w:rPr>
                <w:rFonts w:ascii="微軟正黑體" w:eastAsia="微軟正黑體" w:hAnsi="微軟正黑體"/>
                <w:spacing w:val="10"/>
                <w:sz w:val="32"/>
                <w:szCs w:val="32"/>
              </w:rPr>
              <w:t>業務</w:t>
            </w:r>
            <w:r w:rsidRPr="00245041">
              <w:rPr>
                <w:rFonts w:ascii="微軟正黑體" w:eastAsia="微軟正黑體" w:hAnsi="微軟正黑體" w:hint="eastAsia"/>
                <w:spacing w:val="10"/>
                <w:sz w:val="32"/>
                <w:szCs w:val="32"/>
              </w:rPr>
              <w:t>約、</w:t>
            </w:r>
            <w:proofErr w:type="gramStart"/>
            <w:r w:rsidRPr="00245041">
              <w:rPr>
                <w:rFonts w:ascii="微軟正黑體" w:eastAsia="微軟正黑體" w:hAnsi="微軟正黑體" w:hint="eastAsia"/>
                <w:spacing w:val="10"/>
                <w:sz w:val="32"/>
                <w:szCs w:val="32"/>
              </w:rPr>
              <w:t>複</w:t>
            </w:r>
            <w:proofErr w:type="gramEnd"/>
            <w:r w:rsidRPr="00245041">
              <w:rPr>
                <w:rFonts w:ascii="微軟正黑體" w:eastAsia="微軟正黑體" w:hAnsi="微軟正黑體" w:hint="eastAsia"/>
                <w:spacing w:val="10"/>
                <w:sz w:val="32"/>
                <w:szCs w:val="32"/>
              </w:rPr>
              <w:t>受託、保管契約、相關機構等異常事項及營業紛爭處理作業檢視事項檢核表</w:t>
            </w:r>
          </w:p>
          <w:p w14:paraId="394E8BB6" w14:textId="568F07DB" w:rsidR="004F3614" w:rsidRPr="00245041" w:rsidRDefault="004F3614" w:rsidP="00327427">
            <w:pPr>
              <w:spacing w:afterLines="50" w:after="120" w:line="400" w:lineRule="exact"/>
              <w:rPr>
                <w:rFonts w:ascii="微軟正黑體" w:eastAsia="微軟正黑體" w:hAnsi="微軟正黑體"/>
                <w:spacing w:val="10"/>
              </w:rPr>
            </w:pPr>
            <w:r w:rsidRPr="00245041">
              <w:rPr>
                <w:rFonts w:ascii="微軟正黑體" w:eastAsia="微軟正黑體" w:hAnsi="微軟正黑體"/>
                <w:spacing w:val="10"/>
              </w:rPr>
              <w:t xml:space="preserve">作業週期：隨案查核                                         </w:t>
            </w:r>
            <w:r w:rsidR="00BD0F41">
              <w:rPr>
                <w:rFonts w:ascii="微軟正黑體" w:eastAsia="微軟正黑體" w:hAnsi="微軟正黑體"/>
                <w:spacing w:val="10"/>
              </w:rPr>
              <w:t xml:space="preserve"> </w:t>
            </w:r>
            <w:r w:rsidRPr="00245041">
              <w:rPr>
                <w:rFonts w:ascii="微軟正黑體" w:eastAsia="微軟正黑體" w:hAnsi="微軟正黑體"/>
                <w:spacing w:val="10"/>
              </w:rPr>
              <w:t>受查期間：    年    月    日至    年    月    日</w:t>
            </w:r>
          </w:p>
        </w:tc>
      </w:tr>
      <w:tr w:rsidR="004F3614" w:rsidRPr="00245041" w14:paraId="40A0AC59" w14:textId="77777777" w:rsidTr="008B6BAA">
        <w:tc>
          <w:tcPr>
            <w:tcW w:w="1593" w:type="dxa"/>
            <w:vMerge w:val="restart"/>
            <w:vAlign w:val="center"/>
          </w:tcPr>
          <w:p w14:paraId="1F46DC0E"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編  號</w:t>
            </w:r>
          </w:p>
        </w:tc>
        <w:tc>
          <w:tcPr>
            <w:tcW w:w="4361" w:type="dxa"/>
            <w:vMerge w:val="restart"/>
            <w:vAlign w:val="center"/>
          </w:tcPr>
          <w:p w14:paraId="7C74CC7D"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作業項目及目的</w:t>
            </w:r>
          </w:p>
        </w:tc>
        <w:tc>
          <w:tcPr>
            <w:tcW w:w="6379" w:type="dxa"/>
            <w:gridSpan w:val="5"/>
            <w:vAlign w:val="center"/>
          </w:tcPr>
          <w:p w14:paraId="27D5DB96" w14:textId="2B46B5CD"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實際</w:t>
            </w:r>
            <w:r w:rsidR="00BD0F41" w:rsidRPr="00467637">
              <w:rPr>
                <w:rFonts w:ascii="微軟正黑體" w:eastAsia="微軟正黑體" w:hAnsi="微軟正黑體" w:hint="eastAsia"/>
                <w:color w:val="000000" w:themeColor="text1"/>
                <w:spacing w:val="10"/>
              </w:rPr>
              <w:t>發生</w:t>
            </w:r>
            <w:r w:rsidRPr="00245041">
              <w:rPr>
                <w:rFonts w:ascii="微軟正黑體" w:eastAsia="微軟正黑體" w:hAnsi="微軟正黑體"/>
                <w:spacing w:val="10"/>
              </w:rPr>
              <w:t>日期</w:t>
            </w:r>
          </w:p>
        </w:tc>
        <w:tc>
          <w:tcPr>
            <w:tcW w:w="2835" w:type="dxa"/>
            <w:vMerge w:val="restart"/>
            <w:vAlign w:val="center"/>
          </w:tcPr>
          <w:p w14:paraId="5255CCD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說明</w:t>
            </w:r>
          </w:p>
        </w:tc>
      </w:tr>
      <w:tr w:rsidR="004F3614" w:rsidRPr="00245041" w14:paraId="75F5C9CD" w14:textId="77777777" w:rsidTr="008B6BAA">
        <w:tc>
          <w:tcPr>
            <w:tcW w:w="1593" w:type="dxa"/>
            <w:vMerge/>
          </w:tcPr>
          <w:p w14:paraId="6F00B469" w14:textId="77777777" w:rsidR="004F3614" w:rsidRPr="00245041" w:rsidRDefault="004F3614" w:rsidP="00327427">
            <w:pPr>
              <w:rPr>
                <w:rFonts w:ascii="微軟正黑體" w:eastAsia="微軟正黑體" w:hAnsi="微軟正黑體"/>
                <w:spacing w:val="10"/>
              </w:rPr>
            </w:pPr>
          </w:p>
        </w:tc>
        <w:tc>
          <w:tcPr>
            <w:tcW w:w="4361" w:type="dxa"/>
            <w:vMerge/>
          </w:tcPr>
          <w:p w14:paraId="0916176F" w14:textId="77777777" w:rsidR="004F3614" w:rsidRPr="00245041" w:rsidRDefault="004F3614" w:rsidP="00327427">
            <w:pPr>
              <w:rPr>
                <w:rFonts w:ascii="微軟正黑體" w:eastAsia="微軟正黑體" w:hAnsi="微軟正黑體"/>
                <w:spacing w:val="10"/>
              </w:rPr>
            </w:pPr>
          </w:p>
        </w:tc>
        <w:tc>
          <w:tcPr>
            <w:tcW w:w="1276" w:type="dxa"/>
          </w:tcPr>
          <w:p w14:paraId="2F8DB765" w14:textId="3A788499" w:rsidR="004F3614" w:rsidRPr="00245041" w:rsidRDefault="004F3614" w:rsidP="00327427">
            <w:pPr>
              <w:jc w:val="center"/>
              <w:rPr>
                <w:rFonts w:ascii="微軟正黑體" w:eastAsia="微軟正黑體" w:hAnsi="微軟正黑體"/>
                <w:spacing w:val="10"/>
              </w:rPr>
            </w:pPr>
          </w:p>
        </w:tc>
        <w:tc>
          <w:tcPr>
            <w:tcW w:w="1275" w:type="dxa"/>
          </w:tcPr>
          <w:p w14:paraId="6AC16EC3" w14:textId="7C113057" w:rsidR="004F3614" w:rsidRPr="00245041" w:rsidRDefault="004F3614" w:rsidP="00327427">
            <w:pPr>
              <w:jc w:val="center"/>
              <w:rPr>
                <w:rFonts w:ascii="微軟正黑體" w:eastAsia="微軟正黑體" w:hAnsi="微軟正黑體"/>
                <w:spacing w:val="10"/>
              </w:rPr>
            </w:pPr>
          </w:p>
        </w:tc>
        <w:tc>
          <w:tcPr>
            <w:tcW w:w="1276" w:type="dxa"/>
          </w:tcPr>
          <w:p w14:paraId="19C31D36" w14:textId="6C5460C4" w:rsidR="004F3614" w:rsidRPr="00245041" w:rsidRDefault="004F3614" w:rsidP="00327427">
            <w:pPr>
              <w:jc w:val="center"/>
              <w:rPr>
                <w:rFonts w:ascii="微軟正黑體" w:eastAsia="微軟正黑體" w:hAnsi="微軟正黑體"/>
                <w:spacing w:val="10"/>
              </w:rPr>
            </w:pPr>
          </w:p>
        </w:tc>
        <w:tc>
          <w:tcPr>
            <w:tcW w:w="1276" w:type="dxa"/>
          </w:tcPr>
          <w:p w14:paraId="6D446972" w14:textId="270B01E4" w:rsidR="004F3614" w:rsidRPr="00245041" w:rsidRDefault="004F3614" w:rsidP="00327427">
            <w:pPr>
              <w:jc w:val="center"/>
              <w:rPr>
                <w:rFonts w:ascii="微軟正黑體" w:eastAsia="微軟正黑體" w:hAnsi="微軟正黑體"/>
                <w:spacing w:val="10"/>
              </w:rPr>
            </w:pPr>
          </w:p>
        </w:tc>
        <w:tc>
          <w:tcPr>
            <w:tcW w:w="1276" w:type="dxa"/>
          </w:tcPr>
          <w:p w14:paraId="748E2988" w14:textId="2020D7FE" w:rsidR="004F3614" w:rsidRPr="00245041" w:rsidRDefault="004F3614" w:rsidP="00327427">
            <w:pPr>
              <w:jc w:val="center"/>
              <w:rPr>
                <w:rFonts w:ascii="微軟正黑體" w:eastAsia="微軟正黑體" w:hAnsi="微軟正黑體"/>
                <w:spacing w:val="10"/>
              </w:rPr>
            </w:pPr>
          </w:p>
        </w:tc>
        <w:tc>
          <w:tcPr>
            <w:tcW w:w="2835" w:type="dxa"/>
            <w:vMerge/>
          </w:tcPr>
          <w:p w14:paraId="0CDC2EA3" w14:textId="77777777" w:rsidR="004F3614" w:rsidRPr="00245041" w:rsidRDefault="004F3614" w:rsidP="00327427">
            <w:pPr>
              <w:rPr>
                <w:rFonts w:ascii="微軟正黑體" w:eastAsia="微軟正黑體" w:hAnsi="微軟正黑體"/>
                <w:spacing w:val="10"/>
              </w:rPr>
            </w:pPr>
          </w:p>
        </w:tc>
      </w:tr>
      <w:tr w:rsidR="004F3614" w:rsidRPr="00245041" w14:paraId="27E93C3D" w14:textId="77777777" w:rsidTr="008B6BAA">
        <w:trPr>
          <w:trHeight w:val="617"/>
        </w:trPr>
        <w:tc>
          <w:tcPr>
            <w:tcW w:w="1593" w:type="dxa"/>
            <w:vAlign w:val="center"/>
          </w:tcPr>
          <w:p w14:paraId="714BAC37"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AA-18350</w:t>
            </w:r>
          </w:p>
        </w:tc>
        <w:tc>
          <w:tcPr>
            <w:tcW w:w="4361" w:type="dxa"/>
            <w:vAlign w:val="center"/>
          </w:tcPr>
          <w:p w14:paraId="7F1AA5CC"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違約處理作業</w:t>
            </w:r>
          </w:p>
        </w:tc>
        <w:tc>
          <w:tcPr>
            <w:tcW w:w="1276" w:type="dxa"/>
          </w:tcPr>
          <w:p w14:paraId="3C579200" w14:textId="77777777" w:rsidR="004F3614" w:rsidRPr="00245041" w:rsidRDefault="004F3614" w:rsidP="00327427">
            <w:pPr>
              <w:jc w:val="center"/>
              <w:rPr>
                <w:rFonts w:ascii="微軟正黑體" w:eastAsia="微軟正黑體" w:hAnsi="微軟正黑體"/>
                <w:spacing w:val="10"/>
              </w:rPr>
            </w:pPr>
          </w:p>
        </w:tc>
        <w:tc>
          <w:tcPr>
            <w:tcW w:w="1275" w:type="dxa"/>
          </w:tcPr>
          <w:p w14:paraId="0688CC77" w14:textId="77777777" w:rsidR="004F3614" w:rsidRPr="00245041" w:rsidRDefault="004F3614" w:rsidP="00327427">
            <w:pPr>
              <w:jc w:val="center"/>
              <w:rPr>
                <w:rFonts w:ascii="微軟正黑體" w:eastAsia="微軟正黑體" w:hAnsi="微軟正黑體"/>
                <w:spacing w:val="10"/>
              </w:rPr>
            </w:pPr>
          </w:p>
        </w:tc>
        <w:tc>
          <w:tcPr>
            <w:tcW w:w="1276" w:type="dxa"/>
          </w:tcPr>
          <w:p w14:paraId="4918A920" w14:textId="77777777" w:rsidR="004F3614" w:rsidRPr="00245041" w:rsidRDefault="004F3614" w:rsidP="00327427">
            <w:pPr>
              <w:jc w:val="center"/>
              <w:rPr>
                <w:rFonts w:ascii="微軟正黑體" w:eastAsia="微軟正黑體" w:hAnsi="微軟正黑體"/>
                <w:spacing w:val="10"/>
              </w:rPr>
            </w:pPr>
          </w:p>
        </w:tc>
        <w:tc>
          <w:tcPr>
            <w:tcW w:w="1276" w:type="dxa"/>
          </w:tcPr>
          <w:p w14:paraId="521D1DCB" w14:textId="77777777" w:rsidR="004F3614" w:rsidRPr="00245041" w:rsidRDefault="004F3614" w:rsidP="00327427">
            <w:pPr>
              <w:jc w:val="center"/>
              <w:rPr>
                <w:rFonts w:ascii="微軟正黑體" w:eastAsia="微軟正黑體" w:hAnsi="微軟正黑體"/>
                <w:spacing w:val="10"/>
              </w:rPr>
            </w:pPr>
          </w:p>
        </w:tc>
        <w:tc>
          <w:tcPr>
            <w:tcW w:w="1276" w:type="dxa"/>
          </w:tcPr>
          <w:p w14:paraId="420CE789" w14:textId="77777777" w:rsidR="004F3614" w:rsidRPr="00245041" w:rsidRDefault="004F3614" w:rsidP="00327427">
            <w:pPr>
              <w:jc w:val="center"/>
              <w:rPr>
                <w:rFonts w:ascii="微軟正黑體" w:eastAsia="微軟正黑體" w:hAnsi="微軟正黑體"/>
                <w:spacing w:val="10"/>
              </w:rPr>
            </w:pPr>
          </w:p>
        </w:tc>
        <w:tc>
          <w:tcPr>
            <w:tcW w:w="2835" w:type="dxa"/>
            <w:vMerge w:val="restart"/>
          </w:tcPr>
          <w:p w14:paraId="041B571A" w14:textId="77777777" w:rsidR="004F3614" w:rsidRPr="00245041" w:rsidRDefault="004F3614" w:rsidP="00327427">
            <w:pPr>
              <w:rPr>
                <w:rFonts w:ascii="微軟正黑體" w:eastAsia="微軟正黑體" w:hAnsi="微軟正黑體"/>
                <w:spacing w:val="10"/>
              </w:rPr>
            </w:pPr>
            <w:r w:rsidRPr="00245041">
              <w:rPr>
                <w:rFonts w:ascii="微軟正黑體" w:eastAsia="微軟正黑體" w:hAnsi="微軟正黑體"/>
                <w:spacing w:val="10"/>
              </w:rPr>
              <w:t>如有發生相關事項，另依規定查核明</w:t>
            </w:r>
            <w:proofErr w:type="gramStart"/>
            <w:r w:rsidRPr="00245041">
              <w:rPr>
                <w:rFonts w:ascii="微軟正黑體" w:eastAsia="微軟正黑體" w:hAnsi="微軟正黑體"/>
                <w:spacing w:val="10"/>
              </w:rPr>
              <w:t>細表隨案</w:t>
            </w:r>
            <w:proofErr w:type="gramEnd"/>
            <w:r w:rsidRPr="00245041">
              <w:rPr>
                <w:rFonts w:ascii="微軟正黑體" w:eastAsia="微軟正黑體" w:hAnsi="微軟正黑體"/>
                <w:spacing w:val="10"/>
              </w:rPr>
              <w:t>查核。</w:t>
            </w:r>
          </w:p>
        </w:tc>
      </w:tr>
      <w:tr w:rsidR="004F3614" w:rsidRPr="00245041" w14:paraId="24A61321" w14:textId="77777777" w:rsidTr="008B6BAA">
        <w:trPr>
          <w:trHeight w:val="840"/>
        </w:trPr>
        <w:tc>
          <w:tcPr>
            <w:tcW w:w="1593" w:type="dxa"/>
            <w:vAlign w:val="center"/>
          </w:tcPr>
          <w:p w14:paraId="39B8C80D"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hint="eastAsia"/>
                <w:spacing w:val="10"/>
              </w:rPr>
              <w:t>AA-18360</w:t>
            </w:r>
          </w:p>
        </w:tc>
        <w:tc>
          <w:tcPr>
            <w:tcW w:w="4361" w:type="dxa"/>
            <w:vAlign w:val="center"/>
          </w:tcPr>
          <w:p w14:paraId="00DF770A" w14:textId="77777777" w:rsidR="004F3614" w:rsidRPr="00245041" w:rsidRDefault="004F3614" w:rsidP="00327427">
            <w:pPr>
              <w:jc w:val="both"/>
              <w:rPr>
                <w:rFonts w:ascii="微軟正黑體" w:eastAsia="微軟正黑體" w:hAnsi="微軟正黑體"/>
                <w:spacing w:val="10"/>
              </w:rPr>
            </w:pP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1276" w:type="dxa"/>
          </w:tcPr>
          <w:p w14:paraId="17E665B8" w14:textId="77777777" w:rsidR="004F3614" w:rsidRPr="00245041" w:rsidRDefault="004F3614" w:rsidP="00327427">
            <w:pPr>
              <w:jc w:val="center"/>
              <w:rPr>
                <w:rFonts w:ascii="微軟正黑體" w:eastAsia="微軟正黑體" w:hAnsi="微軟正黑體"/>
                <w:spacing w:val="10"/>
              </w:rPr>
            </w:pPr>
          </w:p>
        </w:tc>
        <w:tc>
          <w:tcPr>
            <w:tcW w:w="1275" w:type="dxa"/>
          </w:tcPr>
          <w:p w14:paraId="7CD90853" w14:textId="77777777" w:rsidR="004F3614" w:rsidRPr="00245041" w:rsidRDefault="004F3614" w:rsidP="00327427">
            <w:pPr>
              <w:jc w:val="center"/>
              <w:rPr>
                <w:rFonts w:ascii="微軟正黑體" w:eastAsia="微軟正黑體" w:hAnsi="微軟正黑體"/>
                <w:spacing w:val="10"/>
              </w:rPr>
            </w:pPr>
          </w:p>
        </w:tc>
        <w:tc>
          <w:tcPr>
            <w:tcW w:w="1276" w:type="dxa"/>
          </w:tcPr>
          <w:p w14:paraId="2D21649B" w14:textId="77777777" w:rsidR="004F3614" w:rsidRPr="00245041" w:rsidRDefault="004F3614" w:rsidP="00327427">
            <w:pPr>
              <w:jc w:val="center"/>
              <w:rPr>
                <w:rFonts w:ascii="微軟正黑體" w:eastAsia="微軟正黑體" w:hAnsi="微軟正黑體"/>
                <w:spacing w:val="10"/>
              </w:rPr>
            </w:pPr>
          </w:p>
        </w:tc>
        <w:tc>
          <w:tcPr>
            <w:tcW w:w="1276" w:type="dxa"/>
          </w:tcPr>
          <w:p w14:paraId="751D67B2" w14:textId="77777777" w:rsidR="004F3614" w:rsidRPr="00245041" w:rsidRDefault="004F3614" w:rsidP="00327427">
            <w:pPr>
              <w:jc w:val="center"/>
              <w:rPr>
                <w:rFonts w:ascii="微軟正黑體" w:eastAsia="微軟正黑體" w:hAnsi="微軟正黑體"/>
                <w:spacing w:val="10"/>
              </w:rPr>
            </w:pPr>
          </w:p>
        </w:tc>
        <w:tc>
          <w:tcPr>
            <w:tcW w:w="1276" w:type="dxa"/>
          </w:tcPr>
          <w:p w14:paraId="04200C42"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5C82E55D" w14:textId="77777777" w:rsidR="004F3614" w:rsidRPr="00245041" w:rsidRDefault="004F3614" w:rsidP="00327427">
            <w:pPr>
              <w:rPr>
                <w:rFonts w:ascii="微軟正黑體" w:eastAsia="微軟正黑體" w:hAnsi="微軟正黑體"/>
                <w:spacing w:val="10"/>
              </w:rPr>
            </w:pPr>
          </w:p>
        </w:tc>
      </w:tr>
      <w:tr w:rsidR="004F3614" w:rsidRPr="00245041" w14:paraId="49CF73B0" w14:textId="77777777" w:rsidTr="008B6BAA">
        <w:trPr>
          <w:trHeight w:val="840"/>
        </w:trPr>
        <w:tc>
          <w:tcPr>
            <w:tcW w:w="1593" w:type="dxa"/>
            <w:vAlign w:val="center"/>
          </w:tcPr>
          <w:p w14:paraId="12389383"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AA-18370</w:t>
            </w:r>
          </w:p>
        </w:tc>
        <w:tc>
          <w:tcPr>
            <w:tcW w:w="4361" w:type="dxa"/>
            <w:vAlign w:val="center"/>
          </w:tcPr>
          <w:p w14:paraId="1F7FB6BF"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與委託人發生交易糾紛或訴訟之處理作業</w:t>
            </w:r>
          </w:p>
        </w:tc>
        <w:tc>
          <w:tcPr>
            <w:tcW w:w="1276" w:type="dxa"/>
          </w:tcPr>
          <w:p w14:paraId="01929309" w14:textId="77777777" w:rsidR="004F3614" w:rsidRPr="00245041" w:rsidRDefault="004F3614" w:rsidP="00327427">
            <w:pPr>
              <w:jc w:val="center"/>
              <w:rPr>
                <w:rFonts w:ascii="微軟正黑體" w:eastAsia="微軟正黑體" w:hAnsi="微軟正黑體"/>
                <w:spacing w:val="10"/>
              </w:rPr>
            </w:pPr>
          </w:p>
        </w:tc>
        <w:tc>
          <w:tcPr>
            <w:tcW w:w="1275" w:type="dxa"/>
          </w:tcPr>
          <w:p w14:paraId="6F1F64FB" w14:textId="77777777" w:rsidR="004F3614" w:rsidRPr="00245041" w:rsidRDefault="004F3614" w:rsidP="00327427">
            <w:pPr>
              <w:jc w:val="center"/>
              <w:rPr>
                <w:rFonts w:ascii="微軟正黑體" w:eastAsia="微軟正黑體" w:hAnsi="微軟正黑體"/>
                <w:spacing w:val="10"/>
              </w:rPr>
            </w:pPr>
          </w:p>
        </w:tc>
        <w:tc>
          <w:tcPr>
            <w:tcW w:w="1276" w:type="dxa"/>
          </w:tcPr>
          <w:p w14:paraId="2271F18A" w14:textId="77777777" w:rsidR="004F3614" w:rsidRPr="00245041" w:rsidRDefault="004F3614" w:rsidP="00327427">
            <w:pPr>
              <w:jc w:val="center"/>
              <w:rPr>
                <w:rFonts w:ascii="微軟正黑體" w:eastAsia="微軟正黑體" w:hAnsi="微軟正黑體"/>
                <w:spacing w:val="10"/>
              </w:rPr>
            </w:pPr>
          </w:p>
        </w:tc>
        <w:tc>
          <w:tcPr>
            <w:tcW w:w="1276" w:type="dxa"/>
          </w:tcPr>
          <w:p w14:paraId="084BFFFF" w14:textId="77777777" w:rsidR="004F3614" w:rsidRPr="00245041" w:rsidRDefault="004F3614" w:rsidP="00327427">
            <w:pPr>
              <w:jc w:val="center"/>
              <w:rPr>
                <w:rFonts w:ascii="微軟正黑體" w:eastAsia="微軟正黑體" w:hAnsi="微軟正黑體"/>
                <w:spacing w:val="10"/>
              </w:rPr>
            </w:pPr>
          </w:p>
        </w:tc>
        <w:tc>
          <w:tcPr>
            <w:tcW w:w="1276" w:type="dxa"/>
          </w:tcPr>
          <w:p w14:paraId="66A88A57"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6AD007FD" w14:textId="77777777" w:rsidR="004F3614" w:rsidRPr="00245041" w:rsidRDefault="004F3614" w:rsidP="00327427">
            <w:pPr>
              <w:rPr>
                <w:rFonts w:ascii="微軟正黑體" w:eastAsia="微軟正黑體" w:hAnsi="微軟正黑體"/>
                <w:spacing w:val="10"/>
              </w:rPr>
            </w:pPr>
          </w:p>
        </w:tc>
      </w:tr>
      <w:tr w:rsidR="004F3614" w:rsidRPr="00245041" w14:paraId="4F83D581" w14:textId="77777777" w:rsidTr="00327427">
        <w:trPr>
          <w:trHeight w:val="795"/>
        </w:trPr>
        <w:tc>
          <w:tcPr>
            <w:tcW w:w="5954" w:type="dxa"/>
            <w:gridSpan w:val="2"/>
            <w:vAlign w:val="center"/>
          </w:tcPr>
          <w:p w14:paraId="36960DA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稽核人員</w:t>
            </w:r>
          </w:p>
        </w:tc>
        <w:tc>
          <w:tcPr>
            <w:tcW w:w="1276" w:type="dxa"/>
          </w:tcPr>
          <w:p w14:paraId="35970DB9" w14:textId="77777777" w:rsidR="004F3614" w:rsidRPr="00245041" w:rsidRDefault="004F3614" w:rsidP="00327427">
            <w:pPr>
              <w:jc w:val="center"/>
              <w:rPr>
                <w:rFonts w:ascii="微軟正黑體" w:eastAsia="微軟正黑體" w:hAnsi="微軟正黑體"/>
                <w:spacing w:val="10"/>
              </w:rPr>
            </w:pPr>
          </w:p>
        </w:tc>
        <w:tc>
          <w:tcPr>
            <w:tcW w:w="1275" w:type="dxa"/>
          </w:tcPr>
          <w:p w14:paraId="7EF6394F" w14:textId="77777777" w:rsidR="004F3614" w:rsidRPr="00245041" w:rsidRDefault="004F3614" w:rsidP="00327427">
            <w:pPr>
              <w:jc w:val="center"/>
              <w:rPr>
                <w:rFonts w:ascii="微軟正黑體" w:eastAsia="微軟正黑體" w:hAnsi="微軟正黑體"/>
                <w:spacing w:val="10"/>
              </w:rPr>
            </w:pPr>
          </w:p>
        </w:tc>
        <w:tc>
          <w:tcPr>
            <w:tcW w:w="1276" w:type="dxa"/>
          </w:tcPr>
          <w:p w14:paraId="47019A5D" w14:textId="77777777" w:rsidR="004F3614" w:rsidRPr="00245041" w:rsidRDefault="004F3614" w:rsidP="00327427">
            <w:pPr>
              <w:jc w:val="center"/>
              <w:rPr>
                <w:rFonts w:ascii="微軟正黑體" w:eastAsia="微軟正黑體" w:hAnsi="微軟正黑體"/>
                <w:spacing w:val="10"/>
              </w:rPr>
            </w:pPr>
          </w:p>
        </w:tc>
        <w:tc>
          <w:tcPr>
            <w:tcW w:w="1276" w:type="dxa"/>
          </w:tcPr>
          <w:p w14:paraId="238BB5A2" w14:textId="77777777" w:rsidR="004F3614" w:rsidRPr="00245041" w:rsidRDefault="004F3614" w:rsidP="00327427">
            <w:pPr>
              <w:jc w:val="center"/>
              <w:rPr>
                <w:rFonts w:ascii="微軟正黑體" w:eastAsia="微軟正黑體" w:hAnsi="微軟正黑體"/>
                <w:spacing w:val="10"/>
              </w:rPr>
            </w:pPr>
          </w:p>
        </w:tc>
        <w:tc>
          <w:tcPr>
            <w:tcW w:w="1276" w:type="dxa"/>
          </w:tcPr>
          <w:p w14:paraId="41C3C525"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0E6EE640" w14:textId="77777777" w:rsidR="004F3614" w:rsidRPr="00245041" w:rsidRDefault="004F3614" w:rsidP="00327427">
            <w:pPr>
              <w:rPr>
                <w:rFonts w:ascii="微軟正黑體" w:eastAsia="微軟正黑體" w:hAnsi="微軟正黑體"/>
                <w:spacing w:val="10"/>
              </w:rPr>
            </w:pPr>
          </w:p>
        </w:tc>
      </w:tr>
    </w:tbl>
    <w:p w14:paraId="0FA28ECE" w14:textId="42E62817" w:rsidR="004F3614" w:rsidRPr="00245041" w:rsidRDefault="004F3614" w:rsidP="004F3614">
      <w:pPr>
        <w:rPr>
          <w:rFonts w:ascii="微軟正黑體" w:eastAsia="微軟正黑體" w:hAnsi="微軟正黑體"/>
          <w:spacing w:val="10"/>
        </w:rPr>
      </w:pPr>
      <w:r w:rsidRPr="00245041">
        <w:rPr>
          <w:rFonts w:ascii="微軟正黑體" w:eastAsia="微軟正黑體" w:hAnsi="微軟正黑體"/>
          <w:spacing w:val="10"/>
        </w:rPr>
        <w:t>說明：檢核結果，請於「實際</w:t>
      </w:r>
      <w:r w:rsidR="00EC3300" w:rsidRPr="00467637">
        <w:rPr>
          <w:rFonts w:ascii="微軟正黑體" w:eastAsia="微軟正黑體" w:hAnsi="微軟正黑體" w:hint="eastAsia"/>
          <w:color w:val="000000" w:themeColor="text1"/>
          <w:spacing w:val="10"/>
        </w:rPr>
        <w:t>發生</w:t>
      </w:r>
      <w:r w:rsidRPr="00245041">
        <w:rPr>
          <w:rFonts w:ascii="微軟正黑體" w:eastAsia="微軟正黑體" w:hAnsi="微軟正黑體"/>
          <w:spacing w:val="10"/>
        </w:rPr>
        <w:t xml:space="preserve">日期」欄內註記： </w:t>
      </w:r>
      <w:r w:rsidRPr="00245041">
        <w:rPr>
          <w:rFonts w:ascii="微軟正黑體" w:eastAsia="微軟正黑體" w:hAnsi="微軟正黑體" w:hint="eastAsia"/>
          <w:spacing w:val="10"/>
        </w:rPr>
        <w:t>有</w:t>
      </w:r>
      <w:r w:rsidRPr="00245041">
        <w:rPr>
          <w:rFonts w:ascii="微軟正黑體" w:eastAsia="微軟正黑體" w:hAnsi="微軟正黑體"/>
          <w:spacing w:val="10"/>
        </w:rPr>
        <w:t xml:space="preserve">發生：V ；未發生： </w:t>
      </w:r>
      <w:proofErr w:type="gramStart"/>
      <w:r w:rsidRPr="00245041">
        <w:rPr>
          <w:rFonts w:ascii="微軟正黑體" w:eastAsia="微軟正黑體" w:hAnsi="微軟正黑體"/>
          <w:spacing w:val="10"/>
        </w:rPr>
        <w:t>─</w:t>
      </w:r>
      <w:proofErr w:type="gramEnd"/>
      <w:r w:rsidRPr="00245041">
        <w:rPr>
          <w:rFonts w:ascii="微軟正黑體" w:eastAsia="微軟正黑體" w:hAnsi="微軟正黑體"/>
          <w:spacing w:val="10"/>
        </w:rPr>
        <w:t xml:space="preserve"> 。</w:t>
      </w:r>
    </w:p>
    <w:p w14:paraId="6A4D3F9D" w14:textId="59B0BB5C" w:rsidR="004F3614" w:rsidRDefault="004F3614" w:rsidP="004F3614">
      <w:pPr>
        <w:rPr>
          <w:rFonts w:ascii="微軟正黑體" w:eastAsia="微軟正黑體" w:hAnsi="微軟正黑體"/>
          <w:spacing w:val="10"/>
        </w:rPr>
      </w:pPr>
      <w:r w:rsidRPr="00245041">
        <w:rPr>
          <w:rFonts w:ascii="微軟正黑體" w:eastAsia="微軟正黑體" w:hAnsi="微軟正黑體"/>
          <w:spacing w:val="10"/>
        </w:rPr>
        <w:t xml:space="preserve">                                                             </w:t>
      </w:r>
    </w:p>
    <w:p w14:paraId="6C10A7FD" w14:textId="77777777" w:rsidR="00BD0F41" w:rsidRPr="00245041" w:rsidRDefault="00BD0F41" w:rsidP="004F3614">
      <w:pPr>
        <w:rPr>
          <w:rFonts w:ascii="微軟正黑體" w:eastAsia="微軟正黑體" w:hAnsi="微軟正黑體"/>
          <w:spacing w:val="10"/>
        </w:rPr>
      </w:pPr>
    </w:p>
    <w:p w14:paraId="034A3295" w14:textId="77777777" w:rsidR="00467637" w:rsidRDefault="004F3614" w:rsidP="004F3614">
      <w:pPr>
        <w:spacing w:line="500" w:lineRule="exact"/>
        <w:rPr>
          <w:rFonts w:ascii="微軟正黑體" w:eastAsia="微軟正黑體" w:hAnsi="微軟正黑體"/>
          <w:spacing w:val="10"/>
        </w:rPr>
      </w:pPr>
      <w:r w:rsidRPr="00245041">
        <w:rPr>
          <w:rFonts w:ascii="微軟正黑體" w:eastAsia="微軟正黑體" w:hAnsi="微軟正黑體"/>
          <w:spacing w:val="10"/>
        </w:rPr>
        <w:t xml:space="preserve">日期：                  底稿編號：AA- </w:t>
      </w:r>
      <w:r w:rsidRPr="00245041">
        <w:rPr>
          <w:rFonts w:ascii="微軟正黑體" w:eastAsia="微軟正黑體" w:hAnsi="微軟正黑體" w:hint="eastAsia"/>
          <w:spacing w:val="10"/>
        </w:rPr>
        <w:t xml:space="preserve">   </w:t>
      </w:r>
    </w:p>
    <w:p w14:paraId="308E4E84" w14:textId="16BD9D5A" w:rsidR="00AC5C82" w:rsidRPr="00245041" w:rsidRDefault="004F3614" w:rsidP="004F3614">
      <w:pPr>
        <w:spacing w:line="500" w:lineRule="exact"/>
        <w:rPr>
          <w:rFonts w:ascii="微軟正黑體" w:eastAsia="微軟正黑體" w:hAnsi="微軟正黑體"/>
          <w:spacing w:val="10"/>
        </w:rPr>
      </w:pPr>
      <w:r w:rsidRPr="00245041">
        <w:rPr>
          <w:rFonts w:ascii="微軟正黑體" w:eastAsia="微軟正黑體" w:hAnsi="微軟正黑體" w:hint="eastAsia"/>
          <w:spacing w:val="10"/>
        </w:rPr>
        <w:t xml:space="preserve"> </w:t>
      </w:r>
    </w:p>
    <w:p w14:paraId="5E66E7AE" w14:textId="77777777" w:rsidR="00AC5C82" w:rsidRPr="00245041" w:rsidRDefault="00AC5C82" w:rsidP="004F3614">
      <w:pPr>
        <w:spacing w:line="500" w:lineRule="exact"/>
        <w:rPr>
          <w:rFonts w:ascii="微軟正黑體" w:eastAsia="微軟正黑體" w:hAnsi="微軟正黑體"/>
          <w:spacing w:val="10"/>
        </w:rPr>
      </w:pPr>
    </w:p>
    <w:p w14:paraId="2CD2F439" w14:textId="77777777" w:rsidR="00AC5C82" w:rsidRPr="00245041" w:rsidRDefault="00AC5C82" w:rsidP="004F3614">
      <w:pPr>
        <w:spacing w:line="500" w:lineRule="exact"/>
        <w:rPr>
          <w:rFonts w:ascii="微軟正黑體" w:eastAsia="微軟正黑體" w:hAnsi="微軟正黑體"/>
          <w:spacing w:val="10"/>
        </w:rPr>
      </w:pPr>
    </w:p>
    <w:p w14:paraId="33F00BC5" w14:textId="77777777" w:rsidR="008473AB" w:rsidRDefault="008473AB" w:rsidP="00AC5C82">
      <w:pPr>
        <w:spacing w:line="400" w:lineRule="exact"/>
        <w:jc w:val="center"/>
        <w:rPr>
          <w:rFonts w:ascii="微軟正黑體" w:eastAsia="微軟正黑體" w:hAnsi="微軟正黑體"/>
          <w:spacing w:val="24"/>
        </w:rPr>
      </w:pPr>
    </w:p>
    <w:p w14:paraId="1B004EF9" w14:textId="77777777" w:rsidR="00AC5C82" w:rsidRPr="00245041" w:rsidRDefault="00AC5C82" w:rsidP="00AC5C82">
      <w:pPr>
        <w:spacing w:line="400" w:lineRule="exact"/>
        <w:jc w:val="center"/>
        <w:rPr>
          <w:rFonts w:ascii="微軟正黑體" w:eastAsia="微軟正黑體" w:hAnsi="微軟正黑體"/>
          <w:spacing w:val="24"/>
        </w:rPr>
      </w:pPr>
      <w:r w:rsidRPr="00245041">
        <w:rPr>
          <w:rFonts w:ascii="微軟正黑體" w:eastAsia="微軟正黑體" w:hAnsi="微軟正黑體" w:hint="eastAsia"/>
          <w:spacing w:val="24"/>
        </w:rPr>
        <w:lastRenderedPageBreak/>
        <w:t>證券股份有限公司</w:t>
      </w:r>
    </w:p>
    <w:p w14:paraId="75E26817" w14:textId="0D03CCD2" w:rsidR="00AC5C82" w:rsidRPr="00245041" w:rsidRDefault="00352019" w:rsidP="00AC5C82">
      <w:pPr>
        <w:spacing w:line="400" w:lineRule="exact"/>
        <w:jc w:val="center"/>
        <w:rPr>
          <w:rFonts w:ascii="微軟正黑體" w:eastAsia="微軟正黑體" w:hAnsi="微軟正黑體"/>
          <w:spacing w:val="24"/>
        </w:rPr>
      </w:pPr>
      <w:r w:rsidRPr="00245041">
        <w:rPr>
          <w:rFonts w:ascii="微軟正黑體" w:eastAsia="微軟正黑體" w:hAnsi="微軟正黑體"/>
          <w:noProof/>
        </w:rPr>
        <mc:AlternateContent>
          <mc:Choice Requires="wps">
            <w:drawing>
              <wp:anchor distT="0" distB="0" distL="114300" distR="114300" simplePos="0" relativeHeight="251662336" behindDoc="0" locked="0" layoutInCell="0" allowOverlap="1" wp14:anchorId="5E89F107" wp14:editId="43256796">
                <wp:simplePos x="0" y="0"/>
                <wp:positionH relativeFrom="column">
                  <wp:posOffset>0</wp:posOffset>
                </wp:positionH>
                <wp:positionV relativeFrom="paragraph">
                  <wp:posOffset>-184150</wp:posOffset>
                </wp:positionV>
                <wp:extent cx="2172335" cy="34353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F107" id="Rectangle 31" o:spid="_x0000_s1035" style="position:absolute;left:0;text-align:left;margin-left:0;margin-top:-14.5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" o:allowincell="f" filled="f" strokecolor="white" strokeweight="4pt">
                <v:textbox inset="1pt,1pt,1pt,1pt">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00AC5C82" w:rsidRPr="00245041">
        <w:rPr>
          <w:rFonts w:ascii="微軟正黑體" w:eastAsia="微軟正黑體" w:hAnsi="微軟正黑體" w:hint="eastAsia"/>
        </w:rPr>
        <w:t>業務及收入循環：經紀</w:t>
      </w:r>
      <w:r w:rsidR="00AC5C82" w:rsidRPr="00245041">
        <w:rPr>
          <w:rFonts w:ascii="微軟正黑體" w:eastAsia="微軟正黑體" w:hAnsi="微軟正黑體"/>
        </w:rPr>
        <w:t>(</w:t>
      </w:r>
      <w:r w:rsidR="00AC5C82" w:rsidRPr="00245041">
        <w:rPr>
          <w:rFonts w:ascii="微軟正黑體" w:eastAsia="微軟正黑體" w:hAnsi="微軟正黑體" w:hint="eastAsia"/>
          <w:spacing w:val="10"/>
        </w:rPr>
        <w:t>受託買賣外國有價證券</w:t>
      </w:r>
      <w:r w:rsidR="00AC5C82" w:rsidRPr="00245041">
        <w:rPr>
          <w:rFonts w:ascii="微軟正黑體" w:eastAsia="微軟正黑體" w:hAnsi="微軟正黑體"/>
        </w:rPr>
        <w:t>)</w:t>
      </w:r>
    </w:p>
    <w:p w14:paraId="09C03F0F" w14:textId="77777777" w:rsidR="00AC5C82" w:rsidRPr="00245041" w:rsidRDefault="00AC5C82" w:rsidP="00AC5C82">
      <w:pPr>
        <w:spacing w:afterLines="50" w:after="120" w:line="400" w:lineRule="exact"/>
        <w:jc w:val="center"/>
        <w:rPr>
          <w:rFonts w:ascii="微軟正黑體" w:eastAsia="微軟正黑體" w:hAnsi="微軟正黑體"/>
        </w:rPr>
      </w:pPr>
      <w:r w:rsidRPr="00245041">
        <w:rPr>
          <w:rFonts w:ascii="微軟正黑體" w:eastAsia="微軟正黑體" w:hAnsi="微軟正黑體" w:hint="eastAsia"/>
        </w:rPr>
        <w:t>業務收入與記錄查核明細表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AC5C82" w:rsidRPr="00245041" w14:paraId="2A1DB526" w14:textId="77777777" w:rsidTr="00D20E0B">
        <w:trPr>
          <w:cantSplit/>
          <w:trHeight w:hRule="exact" w:val="400"/>
        </w:trPr>
        <w:tc>
          <w:tcPr>
            <w:tcW w:w="1985" w:type="dxa"/>
            <w:vMerge w:val="restart"/>
            <w:tcBorders>
              <w:top w:val="single" w:sz="12" w:space="0" w:color="auto"/>
              <w:left w:val="single" w:sz="12" w:space="0" w:color="auto"/>
            </w:tcBorders>
            <w:vAlign w:val="center"/>
          </w:tcPr>
          <w:p w14:paraId="2F3FC9F0"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rPr>
              <w:t>項</w:t>
            </w:r>
            <w:r w:rsidRPr="00245041">
              <w:rPr>
                <w:rFonts w:ascii="微軟正黑體" w:eastAsia="微軟正黑體" w:hAnsi="微軟正黑體"/>
              </w:rPr>
              <w:t xml:space="preserve">     </w:t>
            </w:r>
            <w:r w:rsidRPr="00245041">
              <w:rPr>
                <w:rFonts w:ascii="微軟正黑體" w:eastAsia="微軟正黑體" w:hAnsi="微軟正黑體" w:hint="eastAsia"/>
              </w:rPr>
              <w:t>目</w:t>
            </w:r>
          </w:p>
        </w:tc>
        <w:tc>
          <w:tcPr>
            <w:tcW w:w="7938" w:type="dxa"/>
            <w:vMerge w:val="restart"/>
            <w:tcBorders>
              <w:top w:val="single" w:sz="12" w:space="0" w:color="auto"/>
            </w:tcBorders>
            <w:vAlign w:val="center"/>
          </w:tcPr>
          <w:p w14:paraId="3D32CB76"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rPr>
              <w:t>查</w:t>
            </w:r>
            <w:r w:rsidRPr="00245041">
              <w:rPr>
                <w:rFonts w:ascii="微軟正黑體" w:eastAsia="微軟正黑體" w:hAnsi="微軟正黑體"/>
              </w:rPr>
              <w:t xml:space="preserve">          </w:t>
            </w:r>
            <w:r w:rsidRPr="00245041">
              <w:rPr>
                <w:rFonts w:ascii="微軟正黑體" w:eastAsia="微軟正黑體" w:hAnsi="微軟正黑體" w:hint="eastAsia"/>
              </w:rPr>
              <w:t>核</w:t>
            </w:r>
            <w:r w:rsidRPr="00245041">
              <w:rPr>
                <w:rFonts w:ascii="微軟正黑體" w:eastAsia="微軟正黑體" w:hAnsi="微軟正黑體"/>
              </w:rPr>
              <w:t xml:space="preserve">          </w:t>
            </w:r>
            <w:r w:rsidRPr="00245041">
              <w:rPr>
                <w:rFonts w:ascii="微軟正黑體" w:eastAsia="微軟正黑體" w:hAnsi="微軟正黑體" w:hint="eastAsia"/>
              </w:rPr>
              <w:t>程</w:t>
            </w:r>
            <w:r w:rsidRPr="00245041">
              <w:rPr>
                <w:rFonts w:ascii="微軟正黑體" w:eastAsia="微軟正黑體" w:hAnsi="微軟正黑體"/>
              </w:rPr>
              <w:t xml:space="preserve">          </w:t>
            </w:r>
            <w:r w:rsidRPr="00245041">
              <w:rPr>
                <w:rFonts w:ascii="微軟正黑體" w:eastAsia="微軟正黑體" w:hAnsi="微軟正黑體" w:hint="eastAsia"/>
              </w:rPr>
              <w:t>序</w:t>
            </w:r>
          </w:p>
        </w:tc>
        <w:tc>
          <w:tcPr>
            <w:tcW w:w="2268" w:type="dxa"/>
            <w:gridSpan w:val="3"/>
            <w:tcBorders>
              <w:top w:val="single" w:sz="12" w:space="0" w:color="auto"/>
            </w:tcBorders>
            <w:vAlign w:val="center"/>
          </w:tcPr>
          <w:p w14:paraId="60B44E73" w14:textId="77777777" w:rsidR="00AC5C82" w:rsidRPr="00245041" w:rsidRDefault="00AC5C82" w:rsidP="006F52CF">
            <w:pPr>
              <w:spacing w:line="400" w:lineRule="exact"/>
              <w:jc w:val="center"/>
              <w:rPr>
                <w:rFonts w:ascii="微軟正黑體" w:eastAsia="微軟正黑體" w:hAnsi="微軟正黑體"/>
                <w:spacing w:val="60"/>
                <w:szCs w:val="24"/>
              </w:rPr>
            </w:pPr>
            <w:r w:rsidRPr="00245041">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003270CA"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spacing w:val="60"/>
              </w:rPr>
              <w:t>底稿索引</w:t>
            </w:r>
          </w:p>
        </w:tc>
      </w:tr>
      <w:tr w:rsidR="00AC5C82" w:rsidRPr="00245041" w14:paraId="707E4AC4" w14:textId="77777777" w:rsidTr="00D20E0B">
        <w:trPr>
          <w:cantSplit/>
          <w:trHeight w:hRule="exact" w:val="400"/>
        </w:trPr>
        <w:tc>
          <w:tcPr>
            <w:tcW w:w="1985" w:type="dxa"/>
            <w:vMerge/>
            <w:tcBorders>
              <w:left w:val="single" w:sz="12" w:space="0" w:color="auto"/>
            </w:tcBorders>
          </w:tcPr>
          <w:p w14:paraId="50BB3C63" w14:textId="77777777" w:rsidR="00AC5C82" w:rsidRPr="00245041" w:rsidRDefault="00AC5C82" w:rsidP="006F52CF">
            <w:pPr>
              <w:spacing w:line="400" w:lineRule="exact"/>
              <w:rPr>
                <w:rFonts w:ascii="微軟正黑體" w:eastAsia="微軟正黑體" w:hAnsi="微軟正黑體"/>
              </w:rPr>
            </w:pPr>
          </w:p>
        </w:tc>
        <w:tc>
          <w:tcPr>
            <w:tcW w:w="7938" w:type="dxa"/>
            <w:vMerge/>
          </w:tcPr>
          <w:p w14:paraId="3A087210" w14:textId="77777777" w:rsidR="00AC5C82" w:rsidRPr="00245041" w:rsidRDefault="00AC5C82" w:rsidP="006F52CF">
            <w:pPr>
              <w:spacing w:line="400" w:lineRule="exact"/>
              <w:rPr>
                <w:rFonts w:ascii="微軟正黑體" w:eastAsia="微軟正黑體" w:hAnsi="微軟正黑體"/>
              </w:rPr>
            </w:pPr>
          </w:p>
        </w:tc>
        <w:tc>
          <w:tcPr>
            <w:tcW w:w="567" w:type="dxa"/>
          </w:tcPr>
          <w:p w14:paraId="710CB051"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是</w:t>
            </w:r>
          </w:p>
        </w:tc>
        <w:tc>
          <w:tcPr>
            <w:tcW w:w="567" w:type="dxa"/>
          </w:tcPr>
          <w:p w14:paraId="0ED511D5"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否</w:t>
            </w:r>
          </w:p>
        </w:tc>
        <w:tc>
          <w:tcPr>
            <w:tcW w:w="1134" w:type="dxa"/>
          </w:tcPr>
          <w:p w14:paraId="1F19DC57"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不適用</w:t>
            </w:r>
          </w:p>
        </w:tc>
        <w:tc>
          <w:tcPr>
            <w:tcW w:w="1985" w:type="dxa"/>
            <w:vMerge/>
            <w:tcBorders>
              <w:right w:val="single" w:sz="12" w:space="0" w:color="auto"/>
            </w:tcBorders>
          </w:tcPr>
          <w:p w14:paraId="3E26C5C7" w14:textId="77777777" w:rsidR="00AC5C82" w:rsidRPr="00245041" w:rsidRDefault="00AC5C82" w:rsidP="006F52CF">
            <w:pPr>
              <w:spacing w:line="400" w:lineRule="exact"/>
              <w:rPr>
                <w:rFonts w:ascii="微軟正黑體" w:eastAsia="微軟正黑體" w:hAnsi="微軟正黑體"/>
              </w:rPr>
            </w:pPr>
          </w:p>
        </w:tc>
      </w:tr>
      <w:tr w:rsidR="00AC5C82" w:rsidRPr="00245041" w14:paraId="3315217D" w14:textId="77777777" w:rsidTr="00D20E0B">
        <w:trPr>
          <w:trHeight w:hRule="exact" w:val="7701"/>
        </w:trPr>
        <w:tc>
          <w:tcPr>
            <w:tcW w:w="1985" w:type="dxa"/>
            <w:tcBorders>
              <w:left w:val="single" w:sz="12" w:space="0" w:color="auto"/>
            </w:tcBorders>
          </w:tcPr>
          <w:p w14:paraId="38073B7D" w14:textId="77777777" w:rsidR="00AC5C82" w:rsidRPr="00245041" w:rsidRDefault="00AC5C82" w:rsidP="006F52CF">
            <w:pPr>
              <w:spacing w:line="400" w:lineRule="exact"/>
              <w:jc w:val="both"/>
              <w:rPr>
                <w:rFonts w:ascii="微軟正黑體" w:eastAsia="微軟正黑體" w:hAnsi="微軟正黑體"/>
              </w:rPr>
            </w:pPr>
            <w:r w:rsidRPr="00245041">
              <w:rPr>
                <w:rFonts w:ascii="微軟正黑體" w:eastAsia="微軟正黑體" w:hAnsi="微軟正黑體" w:hint="eastAsia"/>
              </w:rPr>
              <w:t>業務收入與記錄</w:t>
            </w:r>
          </w:p>
          <w:p w14:paraId="0881EEAC" w14:textId="77777777" w:rsidR="00AC5C82" w:rsidRPr="00245041" w:rsidRDefault="00AC5C82" w:rsidP="006F52CF">
            <w:pPr>
              <w:spacing w:line="400" w:lineRule="exact"/>
              <w:jc w:val="both"/>
              <w:rPr>
                <w:rFonts w:ascii="微軟正黑體" w:eastAsia="微軟正黑體" w:hAnsi="微軟正黑體"/>
              </w:rPr>
            </w:pPr>
          </w:p>
          <w:p w14:paraId="7BAE022A" w14:textId="77777777" w:rsidR="00AC5C82" w:rsidRPr="00245041" w:rsidRDefault="00AC5C82" w:rsidP="006F52CF">
            <w:pPr>
              <w:spacing w:line="400" w:lineRule="exact"/>
              <w:jc w:val="both"/>
              <w:rPr>
                <w:rFonts w:ascii="微軟正黑體" w:eastAsia="微軟正黑體" w:hAnsi="微軟正黑體"/>
              </w:rPr>
            </w:pPr>
          </w:p>
          <w:p w14:paraId="5D96029D" w14:textId="77777777" w:rsidR="00AC5C82" w:rsidRPr="00245041" w:rsidRDefault="00AC5C82" w:rsidP="006F52CF">
            <w:pPr>
              <w:spacing w:line="400" w:lineRule="exact"/>
              <w:jc w:val="both"/>
              <w:rPr>
                <w:rFonts w:ascii="微軟正黑體" w:eastAsia="微軟正黑體" w:hAnsi="微軟正黑體"/>
              </w:rPr>
            </w:pPr>
          </w:p>
          <w:p w14:paraId="5EEF1687" w14:textId="77777777" w:rsidR="00AC5C82" w:rsidRPr="00245041" w:rsidRDefault="00AC5C82" w:rsidP="006F52CF">
            <w:pPr>
              <w:spacing w:line="400" w:lineRule="exact"/>
              <w:jc w:val="both"/>
              <w:rPr>
                <w:rFonts w:ascii="微軟正黑體" w:eastAsia="微軟正黑體" w:hAnsi="微軟正黑體"/>
              </w:rPr>
            </w:pPr>
          </w:p>
          <w:p w14:paraId="15401C8D" w14:textId="77777777" w:rsidR="00AC5C82" w:rsidRPr="00245041" w:rsidRDefault="00AC5C82" w:rsidP="006F52CF">
            <w:pPr>
              <w:spacing w:line="400" w:lineRule="exact"/>
              <w:jc w:val="both"/>
              <w:rPr>
                <w:rFonts w:ascii="微軟正黑體" w:eastAsia="微軟正黑體" w:hAnsi="微軟正黑體"/>
              </w:rPr>
            </w:pPr>
          </w:p>
          <w:p w14:paraId="57940917" w14:textId="77777777" w:rsidR="00AC5C82" w:rsidRPr="00245041" w:rsidRDefault="00AC5C82" w:rsidP="006F52CF">
            <w:pPr>
              <w:spacing w:line="400" w:lineRule="exact"/>
              <w:jc w:val="both"/>
              <w:rPr>
                <w:rFonts w:ascii="微軟正黑體" w:eastAsia="微軟正黑體" w:hAnsi="微軟正黑體"/>
              </w:rPr>
            </w:pPr>
          </w:p>
          <w:p w14:paraId="652D9636" w14:textId="77777777" w:rsidR="00AC5C82" w:rsidRPr="00245041" w:rsidRDefault="00AC5C82" w:rsidP="006F52CF">
            <w:pPr>
              <w:spacing w:line="400" w:lineRule="exact"/>
              <w:jc w:val="both"/>
              <w:rPr>
                <w:rFonts w:ascii="微軟正黑體" w:eastAsia="微軟正黑體" w:hAnsi="微軟正黑體"/>
              </w:rPr>
            </w:pPr>
          </w:p>
        </w:tc>
        <w:tc>
          <w:tcPr>
            <w:tcW w:w="7938" w:type="dxa"/>
          </w:tcPr>
          <w:p w14:paraId="20E8942C"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一、公司是否除確實符合證券商管理規則第五條規定外，權責單位是否定期審視經紀手續費率及折讓定價政策內容，適時檢討修正，定期向董事會報告。</w:t>
            </w:r>
          </w:p>
          <w:p w14:paraId="15892DCF"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二、公司向委託人收取之手續費及其他費用，是否以新台幣或公司與委託人雙方合意指定之外幣為之；且是否</w:t>
            </w:r>
            <w:proofErr w:type="gramStart"/>
            <w:r w:rsidRPr="00245041">
              <w:rPr>
                <w:rFonts w:ascii="微軟正黑體" w:eastAsia="微軟正黑體" w:hAnsi="微軟正黑體" w:hint="eastAsia"/>
              </w:rPr>
              <w:t>存撥於</w:t>
            </w:r>
            <w:proofErr w:type="gramEnd"/>
            <w:r w:rsidRPr="00245041">
              <w:rPr>
                <w:rFonts w:ascii="微軟正黑體" w:eastAsia="微軟正黑體" w:hAnsi="微軟正黑體" w:hint="eastAsia"/>
              </w:rPr>
              <w:t>委託人在公司所指定金融機構開立之新台幣或委託人在公司所指定之指定銀行開立之外匯存款帳戶。</w:t>
            </w:r>
          </w:p>
          <w:p w14:paraId="4AAF1F29"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三、</w:t>
            </w:r>
            <w:r w:rsidRPr="00245041">
              <w:rPr>
                <w:rFonts w:ascii="微軟正黑體" w:eastAsia="微軟正黑體" w:hAnsi="微軟正黑體" w:hint="eastAsia"/>
                <w:szCs w:val="24"/>
              </w:rPr>
              <w:t>對辦理境外基金業務人員或境外結構型商品業務</w:t>
            </w:r>
            <w:proofErr w:type="gramStart"/>
            <w:r w:rsidRPr="00245041">
              <w:rPr>
                <w:rFonts w:ascii="微軟正黑體" w:eastAsia="微軟正黑體" w:hAnsi="微軟正黑體" w:hint="eastAsia"/>
                <w:szCs w:val="24"/>
              </w:rPr>
              <w:t>人員之薪酬</w:t>
            </w:r>
            <w:proofErr w:type="gramEnd"/>
            <w:r w:rsidRPr="00245041">
              <w:rPr>
                <w:rFonts w:ascii="微軟正黑體" w:eastAsia="微軟正黑體" w:hAnsi="微軟正黑體" w:hint="eastAsia"/>
                <w:szCs w:val="24"/>
              </w:rPr>
              <w:t>結構是否無以受託金額多寡為主要考量因素。</w:t>
            </w:r>
          </w:p>
          <w:p w14:paraId="3B4B543E"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四、公司</w:t>
            </w:r>
            <w:r w:rsidRPr="00245041">
              <w:rPr>
                <w:rFonts w:ascii="微軟正黑體" w:eastAsia="微軟正黑體" w:hAnsi="微軟正黑體"/>
              </w:rPr>
              <w:t>辦理受託買賣外國有價證券業務，自交易相對人取得之報酬、費用、折讓等各項利益，</w:t>
            </w:r>
            <w:r w:rsidRPr="00245041">
              <w:rPr>
                <w:rFonts w:ascii="微軟正黑體" w:eastAsia="微軟正黑體" w:hAnsi="微軟正黑體" w:hint="eastAsia"/>
              </w:rPr>
              <w:t>是否</w:t>
            </w:r>
            <w:r w:rsidRPr="00245041">
              <w:rPr>
                <w:rFonts w:ascii="微軟正黑體" w:eastAsia="微軟正黑體" w:hAnsi="微軟正黑體"/>
              </w:rPr>
              <w:t>明定收取費率之範圍。</w:t>
            </w:r>
            <w:r w:rsidRPr="00245041">
              <w:rPr>
                <w:rFonts w:ascii="微軟正黑體" w:eastAsia="微軟正黑體" w:hAnsi="微軟正黑體" w:hint="eastAsia"/>
              </w:rPr>
              <w:t>公司是否</w:t>
            </w:r>
            <w:r w:rsidRPr="00245041">
              <w:rPr>
                <w:rFonts w:ascii="微軟正黑體" w:eastAsia="微軟正黑體" w:hAnsi="微軟正黑體"/>
              </w:rPr>
              <w:t>於收取前</w:t>
            </w:r>
            <w:r w:rsidRPr="00245041">
              <w:rPr>
                <w:rFonts w:ascii="微軟正黑體" w:eastAsia="微軟正黑體" w:hAnsi="微軟正黑體" w:hint="eastAsia"/>
              </w:rPr>
              <w:t>開</w:t>
            </w:r>
            <w:r w:rsidRPr="00245041">
              <w:rPr>
                <w:rFonts w:ascii="微軟正黑體" w:eastAsia="微軟正黑體" w:hAnsi="微軟正黑體"/>
              </w:rPr>
              <w:t>利益後，</w:t>
            </w:r>
            <w:r w:rsidRPr="00245041">
              <w:rPr>
                <w:rFonts w:ascii="微軟正黑體" w:eastAsia="微軟正黑體" w:hAnsi="微軟正黑體" w:hint="eastAsia"/>
              </w:rPr>
              <w:t>將實際收取之費率（有價證券有年限者應包含年化費率）告知委託人。</w:t>
            </w:r>
          </w:p>
          <w:p w14:paraId="53EB9B06" w14:textId="77777777" w:rsidR="00AC5C82" w:rsidRPr="00245041" w:rsidRDefault="00AC5C82" w:rsidP="00D20E0B">
            <w:pPr>
              <w:pStyle w:val="a5"/>
              <w:spacing w:beforeLines="50" w:before="120" w:line="400" w:lineRule="exact"/>
              <w:ind w:leftChars="150" w:left="792" w:hanging="432"/>
              <w:rPr>
                <w:rFonts w:ascii="微軟正黑體" w:eastAsia="微軟正黑體" w:hAnsi="微軟正黑體"/>
              </w:rPr>
            </w:pPr>
            <w:r w:rsidRPr="00245041">
              <w:rPr>
                <w:rFonts w:ascii="微軟正黑體" w:eastAsia="微軟正黑體" w:hAnsi="微軟正黑體" w:hint="eastAsia"/>
              </w:rPr>
              <w:t>境外基金或境外結構型商品另有規定者，是否從其規定辦理。</w:t>
            </w:r>
          </w:p>
          <w:p w14:paraId="10A7207B" w14:textId="77777777" w:rsidR="00AC5C82" w:rsidRPr="00245041" w:rsidRDefault="00AC5C82" w:rsidP="00D20E0B">
            <w:pPr>
              <w:pStyle w:val="a5"/>
              <w:spacing w:beforeLines="50" w:before="120" w:line="400" w:lineRule="exact"/>
              <w:ind w:left="425" w:hanging="432"/>
              <w:rPr>
                <w:rFonts w:ascii="微軟正黑體" w:eastAsia="微軟正黑體" w:hAnsi="微軟正黑體"/>
                <w:strike/>
              </w:rPr>
            </w:pPr>
            <w:r w:rsidRPr="00245041">
              <w:rPr>
                <w:rFonts w:ascii="微軟正黑體" w:eastAsia="微軟正黑體" w:hAnsi="微軟正黑體" w:hint="eastAsia"/>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w:t>
            </w:r>
          </w:p>
        </w:tc>
        <w:tc>
          <w:tcPr>
            <w:tcW w:w="567" w:type="dxa"/>
          </w:tcPr>
          <w:p w14:paraId="7695C65A" w14:textId="77777777" w:rsidR="00AC5C82" w:rsidRPr="00245041" w:rsidRDefault="00AC5C82" w:rsidP="006F52CF">
            <w:pPr>
              <w:spacing w:line="400" w:lineRule="exact"/>
              <w:rPr>
                <w:rFonts w:ascii="微軟正黑體" w:eastAsia="微軟正黑體" w:hAnsi="微軟正黑體"/>
              </w:rPr>
            </w:pPr>
          </w:p>
        </w:tc>
        <w:tc>
          <w:tcPr>
            <w:tcW w:w="567" w:type="dxa"/>
          </w:tcPr>
          <w:p w14:paraId="6AE76952" w14:textId="77777777" w:rsidR="00AC5C82" w:rsidRPr="00245041" w:rsidRDefault="00AC5C82" w:rsidP="006F52CF">
            <w:pPr>
              <w:spacing w:line="400" w:lineRule="exact"/>
              <w:rPr>
                <w:rFonts w:ascii="微軟正黑體" w:eastAsia="微軟正黑體" w:hAnsi="微軟正黑體"/>
              </w:rPr>
            </w:pPr>
          </w:p>
        </w:tc>
        <w:tc>
          <w:tcPr>
            <w:tcW w:w="1134" w:type="dxa"/>
          </w:tcPr>
          <w:p w14:paraId="4AC06E18" w14:textId="77777777" w:rsidR="00AC5C82" w:rsidRPr="00245041" w:rsidRDefault="00AC5C82" w:rsidP="006F52CF">
            <w:pPr>
              <w:spacing w:line="400" w:lineRule="exact"/>
              <w:rPr>
                <w:rFonts w:ascii="微軟正黑體" w:eastAsia="微軟正黑體" w:hAnsi="微軟正黑體"/>
              </w:rPr>
            </w:pPr>
          </w:p>
        </w:tc>
        <w:tc>
          <w:tcPr>
            <w:tcW w:w="1985" w:type="dxa"/>
            <w:tcBorders>
              <w:right w:val="single" w:sz="12" w:space="0" w:color="auto"/>
            </w:tcBorders>
          </w:tcPr>
          <w:p w14:paraId="534C5992" w14:textId="77777777" w:rsidR="00AC5C82" w:rsidRPr="00245041" w:rsidRDefault="00AC5C82" w:rsidP="006F52CF">
            <w:pPr>
              <w:spacing w:line="400" w:lineRule="exact"/>
              <w:rPr>
                <w:rFonts w:ascii="微軟正黑體" w:eastAsia="微軟正黑體" w:hAnsi="微軟正黑體"/>
              </w:rPr>
            </w:pPr>
          </w:p>
        </w:tc>
      </w:tr>
    </w:tbl>
    <w:p w14:paraId="2B62BC75" w14:textId="77777777" w:rsidR="00D20E0B" w:rsidRDefault="00D20E0B" w:rsidP="00AC5C82">
      <w:pPr>
        <w:spacing w:line="400" w:lineRule="exact"/>
        <w:ind w:firstLine="9240"/>
        <w:jc w:val="both"/>
        <w:rPr>
          <w:rFonts w:ascii="微軟正黑體" w:eastAsia="微軟正黑體" w:hAnsi="微軟正黑體"/>
          <w:spacing w:val="24"/>
        </w:rPr>
      </w:pPr>
    </w:p>
    <w:p w14:paraId="737EF2A4" w14:textId="6EB185B1" w:rsidR="00093452" w:rsidRDefault="00AC5C82" w:rsidP="00AC5C82">
      <w:pPr>
        <w:spacing w:line="400" w:lineRule="exact"/>
        <w:ind w:firstLine="9240"/>
        <w:jc w:val="both"/>
        <w:rPr>
          <w:rFonts w:ascii="微軟正黑體" w:eastAsia="微軟正黑體" w:hAnsi="微軟正黑體"/>
          <w:spacing w:val="10"/>
        </w:rPr>
      </w:pPr>
      <w:r w:rsidRPr="00245041">
        <w:rPr>
          <w:rFonts w:ascii="微軟正黑體" w:eastAsia="微軟正黑體" w:hAnsi="微軟正黑體" w:hint="eastAsia"/>
          <w:spacing w:val="24"/>
        </w:rPr>
        <w:t xml:space="preserve">　　　</w:t>
      </w:r>
      <w:r w:rsidR="004F3614" w:rsidRPr="00245041">
        <w:rPr>
          <w:rFonts w:ascii="微軟正黑體" w:eastAsia="微軟正黑體" w:hAnsi="微軟正黑體" w:hint="eastAsia"/>
          <w:spacing w:val="10"/>
        </w:rPr>
        <w:t xml:space="preserve"> </w:t>
      </w:r>
    </w:p>
    <w:p w14:paraId="2C921D15" w14:textId="77777777" w:rsidR="00D20E0B" w:rsidRPr="00245041" w:rsidRDefault="00D20E0B" w:rsidP="00D20E0B">
      <w:pPr>
        <w:spacing w:line="400" w:lineRule="exact"/>
        <w:jc w:val="center"/>
        <w:rPr>
          <w:rFonts w:ascii="微軟正黑體" w:eastAsia="微軟正黑體" w:hAnsi="微軟正黑體"/>
          <w:spacing w:val="24"/>
        </w:rPr>
      </w:pPr>
      <w:r w:rsidRPr="00245041">
        <w:rPr>
          <w:rFonts w:ascii="微軟正黑體" w:eastAsia="微軟正黑體" w:hAnsi="微軟正黑體" w:hint="eastAsia"/>
          <w:spacing w:val="24"/>
        </w:rPr>
        <w:lastRenderedPageBreak/>
        <w:t>證券股份有限公司</w:t>
      </w:r>
    </w:p>
    <w:p w14:paraId="7C727C40" w14:textId="77777777" w:rsidR="00D20E0B" w:rsidRPr="00245041" w:rsidRDefault="00D20E0B" w:rsidP="00D20E0B">
      <w:pPr>
        <w:spacing w:line="400" w:lineRule="exact"/>
        <w:jc w:val="center"/>
        <w:rPr>
          <w:rFonts w:ascii="微軟正黑體" w:eastAsia="微軟正黑體" w:hAnsi="微軟正黑體"/>
          <w:spacing w:val="24"/>
        </w:rPr>
      </w:pPr>
      <w:r w:rsidRPr="00245041">
        <w:rPr>
          <w:rFonts w:ascii="微軟正黑體" w:eastAsia="微軟正黑體" w:hAnsi="微軟正黑體"/>
          <w:noProof/>
        </w:rPr>
        <mc:AlternateContent>
          <mc:Choice Requires="wps">
            <w:drawing>
              <wp:anchor distT="0" distB="0" distL="114300" distR="114300" simplePos="0" relativeHeight="251664384" behindDoc="0" locked="0" layoutInCell="0" allowOverlap="1" wp14:anchorId="5D9933DC" wp14:editId="59676712">
                <wp:simplePos x="0" y="0"/>
                <wp:positionH relativeFrom="column">
                  <wp:posOffset>0</wp:posOffset>
                </wp:positionH>
                <wp:positionV relativeFrom="paragraph">
                  <wp:posOffset>-184150</wp:posOffset>
                </wp:positionV>
                <wp:extent cx="2172335" cy="343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33DC" id="_x0000_s1036" style="position:absolute;left:0;text-align:left;margin-left:0;margin-top:-14.5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" o:allowincell="f" filled="f" strokecolor="white" strokeweight="4pt">
                <v:textbox inset="1pt,1pt,1pt,1pt">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Pr="00245041">
        <w:rPr>
          <w:rFonts w:ascii="微軟正黑體" w:eastAsia="微軟正黑體" w:hAnsi="微軟正黑體" w:hint="eastAsia"/>
        </w:rPr>
        <w:t>業務及收入循環：經紀</w:t>
      </w:r>
      <w:r w:rsidRPr="00245041">
        <w:rPr>
          <w:rFonts w:ascii="微軟正黑體" w:eastAsia="微軟正黑體" w:hAnsi="微軟正黑體"/>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rPr>
        <w:t>)</w:t>
      </w:r>
    </w:p>
    <w:p w14:paraId="4F15AA58" w14:textId="77777777" w:rsidR="00D20E0B" w:rsidRPr="00245041" w:rsidRDefault="00D20E0B" w:rsidP="00D20E0B">
      <w:pPr>
        <w:spacing w:afterLines="50" w:after="120" w:line="400" w:lineRule="exact"/>
        <w:jc w:val="center"/>
        <w:rPr>
          <w:rFonts w:ascii="微軟正黑體" w:eastAsia="微軟正黑體" w:hAnsi="微軟正黑體"/>
        </w:rPr>
      </w:pPr>
      <w:r w:rsidRPr="00245041">
        <w:rPr>
          <w:rFonts w:ascii="微軟正黑體" w:eastAsia="微軟正黑體" w:hAnsi="微軟正黑體" w:hint="eastAsia"/>
        </w:rPr>
        <w:t>業務收入與記錄查核明細表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D20E0B" w:rsidRPr="00245041" w14:paraId="10A65A29" w14:textId="77777777" w:rsidTr="00077372">
        <w:trPr>
          <w:cantSplit/>
          <w:trHeight w:hRule="exact" w:val="400"/>
        </w:trPr>
        <w:tc>
          <w:tcPr>
            <w:tcW w:w="1985" w:type="dxa"/>
            <w:vMerge w:val="restart"/>
            <w:tcBorders>
              <w:top w:val="single" w:sz="12" w:space="0" w:color="auto"/>
              <w:left w:val="single" w:sz="12" w:space="0" w:color="auto"/>
            </w:tcBorders>
            <w:vAlign w:val="center"/>
          </w:tcPr>
          <w:p w14:paraId="0D34DEFE"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rPr>
              <w:t>項</w:t>
            </w:r>
            <w:r w:rsidRPr="00245041">
              <w:rPr>
                <w:rFonts w:ascii="微軟正黑體" w:eastAsia="微軟正黑體" w:hAnsi="微軟正黑體"/>
              </w:rPr>
              <w:t xml:space="preserve">     </w:t>
            </w:r>
            <w:r w:rsidRPr="00245041">
              <w:rPr>
                <w:rFonts w:ascii="微軟正黑體" w:eastAsia="微軟正黑體" w:hAnsi="微軟正黑體" w:hint="eastAsia"/>
              </w:rPr>
              <w:t>目</w:t>
            </w:r>
          </w:p>
        </w:tc>
        <w:tc>
          <w:tcPr>
            <w:tcW w:w="7938" w:type="dxa"/>
            <w:vMerge w:val="restart"/>
            <w:tcBorders>
              <w:top w:val="single" w:sz="12" w:space="0" w:color="auto"/>
            </w:tcBorders>
            <w:vAlign w:val="center"/>
          </w:tcPr>
          <w:p w14:paraId="405B74C4"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rPr>
              <w:t>查</w:t>
            </w:r>
            <w:r w:rsidRPr="00245041">
              <w:rPr>
                <w:rFonts w:ascii="微軟正黑體" w:eastAsia="微軟正黑體" w:hAnsi="微軟正黑體"/>
              </w:rPr>
              <w:t xml:space="preserve">          </w:t>
            </w:r>
            <w:r w:rsidRPr="00245041">
              <w:rPr>
                <w:rFonts w:ascii="微軟正黑體" w:eastAsia="微軟正黑體" w:hAnsi="微軟正黑體" w:hint="eastAsia"/>
              </w:rPr>
              <w:t>核</w:t>
            </w:r>
            <w:r w:rsidRPr="00245041">
              <w:rPr>
                <w:rFonts w:ascii="微軟正黑體" w:eastAsia="微軟正黑體" w:hAnsi="微軟正黑體"/>
              </w:rPr>
              <w:t xml:space="preserve">          </w:t>
            </w:r>
            <w:r w:rsidRPr="00245041">
              <w:rPr>
                <w:rFonts w:ascii="微軟正黑體" w:eastAsia="微軟正黑體" w:hAnsi="微軟正黑體" w:hint="eastAsia"/>
              </w:rPr>
              <w:t>程</w:t>
            </w:r>
            <w:r w:rsidRPr="00245041">
              <w:rPr>
                <w:rFonts w:ascii="微軟正黑體" w:eastAsia="微軟正黑體" w:hAnsi="微軟正黑體"/>
              </w:rPr>
              <w:t xml:space="preserve">          </w:t>
            </w:r>
            <w:r w:rsidRPr="00245041">
              <w:rPr>
                <w:rFonts w:ascii="微軟正黑體" w:eastAsia="微軟正黑體" w:hAnsi="微軟正黑體" w:hint="eastAsia"/>
              </w:rPr>
              <w:t>序</w:t>
            </w:r>
          </w:p>
        </w:tc>
        <w:tc>
          <w:tcPr>
            <w:tcW w:w="2268" w:type="dxa"/>
            <w:gridSpan w:val="3"/>
            <w:tcBorders>
              <w:top w:val="single" w:sz="12" w:space="0" w:color="auto"/>
            </w:tcBorders>
            <w:vAlign w:val="center"/>
          </w:tcPr>
          <w:p w14:paraId="0F9B496A" w14:textId="77777777" w:rsidR="00D20E0B" w:rsidRPr="00245041" w:rsidRDefault="00D20E0B" w:rsidP="00077372">
            <w:pPr>
              <w:spacing w:line="400" w:lineRule="exact"/>
              <w:jc w:val="center"/>
              <w:rPr>
                <w:rFonts w:ascii="微軟正黑體" w:eastAsia="微軟正黑體" w:hAnsi="微軟正黑體"/>
                <w:spacing w:val="60"/>
                <w:szCs w:val="24"/>
              </w:rPr>
            </w:pPr>
            <w:r w:rsidRPr="00245041">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535C228D"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spacing w:val="60"/>
              </w:rPr>
              <w:t>底稿索引</w:t>
            </w:r>
          </w:p>
        </w:tc>
      </w:tr>
      <w:tr w:rsidR="00D20E0B" w:rsidRPr="00245041" w14:paraId="13FF067E" w14:textId="77777777" w:rsidTr="00077372">
        <w:trPr>
          <w:cantSplit/>
          <w:trHeight w:hRule="exact" w:val="400"/>
        </w:trPr>
        <w:tc>
          <w:tcPr>
            <w:tcW w:w="1985" w:type="dxa"/>
            <w:vMerge/>
            <w:tcBorders>
              <w:left w:val="single" w:sz="12" w:space="0" w:color="auto"/>
            </w:tcBorders>
          </w:tcPr>
          <w:p w14:paraId="58DD8FB0" w14:textId="77777777" w:rsidR="00D20E0B" w:rsidRPr="00245041" w:rsidRDefault="00D20E0B" w:rsidP="00077372">
            <w:pPr>
              <w:spacing w:line="400" w:lineRule="exact"/>
              <w:rPr>
                <w:rFonts w:ascii="微軟正黑體" w:eastAsia="微軟正黑體" w:hAnsi="微軟正黑體"/>
              </w:rPr>
            </w:pPr>
          </w:p>
        </w:tc>
        <w:tc>
          <w:tcPr>
            <w:tcW w:w="7938" w:type="dxa"/>
            <w:vMerge/>
          </w:tcPr>
          <w:p w14:paraId="46DE4700" w14:textId="77777777" w:rsidR="00D20E0B" w:rsidRPr="00245041" w:rsidRDefault="00D20E0B" w:rsidP="00077372">
            <w:pPr>
              <w:spacing w:line="400" w:lineRule="exact"/>
              <w:rPr>
                <w:rFonts w:ascii="微軟正黑體" w:eastAsia="微軟正黑體" w:hAnsi="微軟正黑體"/>
              </w:rPr>
            </w:pPr>
          </w:p>
        </w:tc>
        <w:tc>
          <w:tcPr>
            <w:tcW w:w="567" w:type="dxa"/>
          </w:tcPr>
          <w:p w14:paraId="5856B2B3"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是</w:t>
            </w:r>
          </w:p>
        </w:tc>
        <w:tc>
          <w:tcPr>
            <w:tcW w:w="567" w:type="dxa"/>
          </w:tcPr>
          <w:p w14:paraId="111265DB"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否</w:t>
            </w:r>
          </w:p>
        </w:tc>
        <w:tc>
          <w:tcPr>
            <w:tcW w:w="1134" w:type="dxa"/>
          </w:tcPr>
          <w:p w14:paraId="09DA3A75"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不適用</w:t>
            </w:r>
          </w:p>
        </w:tc>
        <w:tc>
          <w:tcPr>
            <w:tcW w:w="1985" w:type="dxa"/>
            <w:vMerge/>
            <w:tcBorders>
              <w:right w:val="single" w:sz="12" w:space="0" w:color="auto"/>
            </w:tcBorders>
          </w:tcPr>
          <w:p w14:paraId="14016150" w14:textId="77777777" w:rsidR="00D20E0B" w:rsidRPr="00245041" w:rsidRDefault="00D20E0B" w:rsidP="00077372">
            <w:pPr>
              <w:spacing w:line="400" w:lineRule="exact"/>
              <w:rPr>
                <w:rFonts w:ascii="微軟正黑體" w:eastAsia="微軟正黑體" w:hAnsi="微軟正黑體"/>
              </w:rPr>
            </w:pPr>
          </w:p>
        </w:tc>
      </w:tr>
      <w:tr w:rsidR="00D20E0B" w:rsidRPr="00245041" w14:paraId="400F03B4" w14:textId="77777777" w:rsidTr="00077372">
        <w:trPr>
          <w:trHeight w:hRule="exact" w:val="6970"/>
        </w:trPr>
        <w:tc>
          <w:tcPr>
            <w:tcW w:w="1985" w:type="dxa"/>
            <w:tcBorders>
              <w:left w:val="single" w:sz="12" w:space="0" w:color="auto"/>
            </w:tcBorders>
          </w:tcPr>
          <w:p w14:paraId="39A8CDBD" w14:textId="77777777" w:rsidR="00D20E0B" w:rsidRPr="00245041" w:rsidRDefault="00D20E0B" w:rsidP="00077372">
            <w:pPr>
              <w:spacing w:line="400" w:lineRule="exact"/>
              <w:jc w:val="both"/>
              <w:rPr>
                <w:rFonts w:ascii="微軟正黑體" w:eastAsia="微軟正黑體" w:hAnsi="微軟正黑體"/>
              </w:rPr>
            </w:pPr>
            <w:r w:rsidRPr="00245041">
              <w:rPr>
                <w:rFonts w:ascii="微軟正黑體" w:eastAsia="微軟正黑體" w:hAnsi="微軟正黑體" w:hint="eastAsia"/>
              </w:rPr>
              <w:t>業務收入與記錄</w:t>
            </w:r>
          </w:p>
          <w:p w14:paraId="1BE9ADD2" w14:textId="77777777" w:rsidR="00D20E0B" w:rsidRPr="00245041" w:rsidRDefault="00D20E0B" w:rsidP="00077372">
            <w:pPr>
              <w:spacing w:line="400" w:lineRule="exact"/>
              <w:jc w:val="both"/>
              <w:rPr>
                <w:rFonts w:ascii="微軟正黑體" w:eastAsia="微軟正黑體" w:hAnsi="微軟正黑體"/>
              </w:rPr>
            </w:pPr>
          </w:p>
          <w:p w14:paraId="6EBE02D0" w14:textId="77777777" w:rsidR="00D20E0B" w:rsidRPr="00245041" w:rsidRDefault="00D20E0B" w:rsidP="00077372">
            <w:pPr>
              <w:spacing w:line="400" w:lineRule="exact"/>
              <w:jc w:val="both"/>
              <w:rPr>
                <w:rFonts w:ascii="微軟正黑體" w:eastAsia="微軟正黑體" w:hAnsi="微軟正黑體"/>
              </w:rPr>
            </w:pPr>
          </w:p>
          <w:p w14:paraId="0A7EE83E" w14:textId="77777777" w:rsidR="00D20E0B" w:rsidRPr="00245041" w:rsidRDefault="00D20E0B" w:rsidP="00077372">
            <w:pPr>
              <w:spacing w:line="400" w:lineRule="exact"/>
              <w:jc w:val="both"/>
              <w:rPr>
                <w:rFonts w:ascii="微軟正黑體" w:eastAsia="微軟正黑體" w:hAnsi="微軟正黑體"/>
              </w:rPr>
            </w:pPr>
          </w:p>
          <w:p w14:paraId="41A03D9C" w14:textId="77777777" w:rsidR="00D20E0B" w:rsidRPr="00245041" w:rsidRDefault="00D20E0B" w:rsidP="00077372">
            <w:pPr>
              <w:spacing w:line="400" w:lineRule="exact"/>
              <w:jc w:val="both"/>
              <w:rPr>
                <w:rFonts w:ascii="微軟正黑體" w:eastAsia="微軟正黑體" w:hAnsi="微軟正黑體"/>
              </w:rPr>
            </w:pPr>
          </w:p>
          <w:p w14:paraId="3B684E28" w14:textId="77777777" w:rsidR="00D20E0B" w:rsidRPr="00245041" w:rsidRDefault="00D20E0B" w:rsidP="00077372">
            <w:pPr>
              <w:spacing w:line="400" w:lineRule="exact"/>
              <w:jc w:val="both"/>
              <w:rPr>
                <w:rFonts w:ascii="微軟正黑體" w:eastAsia="微軟正黑體" w:hAnsi="微軟正黑體"/>
              </w:rPr>
            </w:pPr>
          </w:p>
          <w:p w14:paraId="2B8B2F1F" w14:textId="77777777" w:rsidR="00D20E0B" w:rsidRPr="00245041" w:rsidRDefault="00D20E0B" w:rsidP="00077372">
            <w:pPr>
              <w:spacing w:line="400" w:lineRule="exact"/>
              <w:jc w:val="both"/>
              <w:rPr>
                <w:rFonts w:ascii="微軟正黑體" w:eastAsia="微軟正黑體" w:hAnsi="微軟正黑體"/>
              </w:rPr>
            </w:pPr>
          </w:p>
          <w:p w14:paraId="159B82E5" w14:textId="77777777" w:rsidR="00D20E0B" w:rsidRPr="00245041" w:rsidRDefault="00D20E0B" w:rsidP="00077372">
            <w:pPr>
              <w:spacing w:line="400" w:lineRule="exact"/>
              <w:jc w:val="both"/>
              <w:rPr>
                <w:rFonts w:ascii="微軟正黑體" w:eastAsia="微軟正黑體" w:hAnsi="微軟正黑體"/>
              </w:rPr>
            </w:pPr>
          </w:p>
        </w:tc>
        <w:tc>
          <w:tcPr>
            <w:tcW w:w="7938" w:type="dxa"/>
          </w:tcPr>
          <w:p w14:paraId="170E3D88" w14:textId="355D3D34" w:rsidR="00D20E0B" w:rsidRPr="00D20E0B" w:rsidRDefault="00D20E0B" w:rsidP="00D20E0B">
            <w:pPr>
              <w:pStyle w:val="a5"/>
              <w:spacing w:line="400" w:lineRule="exact"/>
              <w:ind w:left="425" w:hanging="425"/>
              <w:rPr>
                <w:rFonts w:ascii="微軟正黑體" w:eastAsia="微軟正黑體" w:hAnsi="微軟正黑體"/>
                <w:color w:val="FF0000"/>
                <w:u w:val="single"/>
              </w:rPr>
            </w:pPr>
            <w:r w:rsidRPr="00D20E0B">
              <w:rPr>
                <w:rFonts w:ascii="微軟正黑體" w:eastAsia="微軟正黑體" w:hAnsi="微軟正黑體" w:hint="eastAsia"/>
                <w:color w:val="FF0000"/>
                <w:u w:val="single"/>
              </w:rPr>
              <w:t>六、有關公司提供客戶禮券、贊助物品或其他形式之款待等，相關行銷推廣活動費用支出，若以交際費支應者，公司是否依照證券商內部控制制度標準規範CP-11000採購及付款作業規定辦理。</w:t>
            </w:r>
          </w:p>
          <w:p w14:paraId="34C70D6E" w14:textId="185B4F6B" w:rsidR="00D20E0B" w:rsidRPr="00245041" w:rsidRDefault="00D20E0B" w:rsidP="00D20E0B">
            <w:pPr>
              <w:pStyle w:val="a5"/>
              <w:spacing w:line="400" w:lineRule="exact"/>
              <w:ind w:left="425" w:hanging="23"/>
              <w:rPr>
                <w:rFonts w:ascii="微軟正黑體" w:eastAsia="微軟正黑體" w:hAnsi="微軟正黑體"/>
                <w:strike/>
              </w:rPr>
            </w:pPr>
            <w:r w:rsidRPr="00D20E0B">
              <w:rPr>
                <w:rFonts w:ascii="微軟正黑體" w:eastAsia="微軟正黑體" w:hAnsi="微軟正黑體" w:hint="eastAsia"/>
                <w:color w:val="FF0000"/>
                <w:u w:val="single"/>
              </w:rPr>
              <w:t>若以業務推廣費或其他名目等方式支應者，公司是否直接支付予銀行業等金融機構，不得直接或變相間接(例如透過業務人員個人獎金方式)支付予該機構之從業人員。是否訂定相關處理作業程序，並確實執行。</w:t>
            </w:r>
          </w:p>
        </w:tc>
        <w:tc>
          <w:tcPr>
            <w:tcW w:w="567" w:type="dxa"/>
          </w:tcPr>
          <w:p w14:paraId="535B1026" w14:textId="77777777" w:rsidR="00D20E0B" w:rsidRPr="00245041" w:rsidRDefault="00D20E0B" w:rsidP="00077372">
            <w:pPr>
              <w:spacing w:line="400" w:lineRule="exact"/>
              <w:rPr>
                <w:rFonts w:ascii="微軟正黑體" w:eastAsia="微軟正黑體" w:hAnsi="微軟正黑體"/>
              </w:rPr>
            </w:pPr>
          </w:p>
        </w:tc>
        <w:tc>
          <w:tcPr>
            <w:tcW w:w="567" w:type="dxa"/>
          </w:tcPr>
          <w:p w14:paraId="67875DD1" w14:textId="77777777" w:rsidR="00D20E0B" w:rsidRPr="00245041" w:rsidRDefault="00D20E0B" w:rsidP="00077372">
            <w:pPr>
              <w:spacing w:line="400" w:lineRule="exact"/>
              <w:rPr>
                <w:rFonts w:ascii="微軟正黑體" w:eastAsia="微軟正黑體" w:hAnsi="微軟正黑體"/>
              </w:rPr>
            </w:pPr>
          </w:p>
        </w:tc>
        <w:tc>
          <w:tcPr>
            <w:tcW w:w="1134" w:type="dxa"/>
          </w:tcPr>
          <w:p w14:paraId="4F26F6DD" w14:textId="77777777" w:rsidR="00D20E0B" w:rsidRPr="00245041" w:rsidRDefault="00D20E0B" w:rsidP="00077372">
            <w:pPr>
              <w:spacing w:line="400" w:lineRule="exact"/>
              <w:rPr>
                <w:rFonts w:ascii="微軟正黑體" w:eastAsia="微軟正黑體" w:hAnsi="微軟正黑體"/>
              </w:rPr>
            </w:pPr>
          </w:p>
        </w:tc>
        <w:tc>
          <w:tcPr>
            <w:tcW w:w="1985" w:type="dxa"/>
            <w:tcBorders>
              <w:right w:val="single" w:sz="12" w:space="0" w:color="auto"/>
            </w:tcBorders>
          </w:tcPr>
          <w:p w14:paraId="24D95141" w14:textId="77777777" w:rsidR="00D20E0B" w:rsidRPr="00245041" w:rsidRDefault="00D20E0B" w:rsidP="00077372">
            <w:pPr>
              <w:spacing w:line="400" w:lineRule="exact"/>
              <w:rPr>
                <w:rFonts w:ascii="微軟正黑體" w:eastAsia="微軟正黑體" w:hAnsi="微軟正黑體"/>
              </w:rPr>
            </w:pPr>
          </w:p>
        </w:tc>
      </w:tr>
      <w:tr w:rsidR="00D20E0B" w:rsidRPr="00245041" w14:paraId="7FB48D0B" w14:textId="77777777" w:rsidTr="00077372">
        <w:trPr>
          <w:cantSplit/>
          <w:trHeight w:hRule="exact" w:val="991"/>
        </w:trPr>
        <w:tc>
          <w:tcPr>
            <w:tcW w:w="14176" w:type="dxa"/>
            <w:gridSpan w:val="6"/>
            <w:tcBorders>
              <w:left w:val="single" w:sz="12" w:space="0" w:color="auto"/>
              <w:bottom w:val="single" w:sz="12" w:space="0" w:color="auto"/>
              <w:right w:val="single" w:sz="12" w:space="0" w:color="auto"/>
            </w:tcBorders>
          </w:tcPr>
          <w:p w14:paraId="1B0DE91C" w14:textId="77777777" w:rsidR="00D20E0B" w:rsidRPr="00245041" w:rsidRDefault="00D20E0B" w:rsidP="00077372">
            <w:pPr>
              <w:spacing w:line="400" w:lineRule="exact"/>
              <w:ind w:firstLine="180"/>
              <w:rPr>
                <w:rFonts w:ascii="微軟正黑體" w:eastAsia="微軟正黑體" w:hAnsi="微軟正黑體"/>
              </w:rPr>
            </w:pPr>
            <w:r w:rsidRPr="00245041">
              <w:rPr>
                <w:rFonts w:ascii="微軟正黑體" w:eastAsia="微軟正黑體" w:hAnsi="微軟正黑體" w:hint="eastAsia"/>
                <w:spacing w:val="24"/>
              </w:rPr>
              <w:t>備</w:t>
            </w:r>
            <w:r w:rsidRPr="00245041">
              <w:rPr>
                <w:rFonts w:ascii="微軟正黑體" w:eastAsia="微軟正黑體" w:hAnsi="微軟正黑體"/>
                <w:spacing w:val="24"/>
              </w:rPr>
              <w:t xml:space="preserve">  </w:t>
            </w:r>
            <w:proofErr w:type="gramStart"/>
            <w:r w:rsidRPr="00245041">
              <w:rPr>
                <w:rFonts w:ascii="微軟正黑體" w:eastAsia="微軟正黑體" w:hAnsi="微軟正黑體" w:hint="eastAsia"/>
                <w:spacing w:val="24"/>
              </w:rPr>
              <w:t>註</w:t>
            </w:r>
            <w:proofErr w:type="gramEnd"/>
            <w:r w:rsidRPr="00245041">
              <w:rPr>
                <w:rFonts w:ascii="微軟正黑體" w:eastAsia="微軟正黑體" w:hAnsi="微軟正黑體" w:hint="eastAsia"/>
                <w:spacing w:val="24"/>
              </w:rPr>
              <w:t>：</w:t>
            </w:r>
          </w:p>
        </w:tc>
      </w:tr>
    </w:tbl>
    <w:p w14:paraId="4C93CFD6" w14:textId="77777777" w:rsidR="00D20E0B" w:rsidRPr="00245041" w:rsidRDefault="00D20E0B" w:rsidP="00D20E0B">
      <w:pPr>
        <w:spacing w:line="400" w:lineRule="exact"/>
        <w:ind w:firstLine="9240"/>
        <w:jc w:val="both"/>
        <w:rPr>
          <w:rFonts w:ascii="微軟正黑體" w:eastAsia="微軟正黑體" w:hAnsi="微軟正黑體"/>
          <w:spacing w:val="10"/>
        </w:rPr>
      </w:pPr>
      <w:r w:rsidRPr="00245041">
        <w:rPr>
          <w:rFonts w:ascii="微軟正黑體" w:eastAsia="微軟正黑體" w:hAnsi="微軟正黑體" w:hint="eastAsia"/>
          <w:spacing w:val="24"/>
        </w:rPr>
        <w:t>稽核人員</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日</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期</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hint="eastAsia"/>
          <w:spacing w:val="10"/>
        </w:rPr>
        <w:t xml:space="preserve"> </w:t>
      </w:r>
    </w:p>
    <w:sectPr w:rsidR="00D20E0B" w:rsidRPr="00245041">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5668" w14:textId="77777777" w:rsidR="00177FBE" w:rsidRDefault="00177FBE">
      <w:pPr>
        <w:spacing w:line="240" w:lineRule="auto"/>
      </w:pPr>
      <w:r>
        <w:separator/>
      </w:r>
    </w:p>
  </w:endnote>
  <w:endnote w:type="continuationSeparator" w:id="0">
    <w:p w14:paraId="2414B67B" w14:textId="77777777" w:rsidR="00177FBE" w:rsidRDefault="00177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BE48" w14:textId="77777777" w:rsidR="00177FBE" w:rsidRDefault="00177FBE">
      <w:pPr>
        <w:spacing w:line="240" w:lineRule="auto"/>
      </w:pPr>
      <w:r>
        <w:separator/>
      </w:r>
    </w:p>
  </w:footnote>
  <w:footnote w:type="continuationSeparator" w:id="0">
    <w:p w14:paraId="5F1D548D" w14:textId="77777777" w:rsidR="00177FBE" w:rsidRDefault="00177F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384B5250"/>
    <w:multiLevelType w:val="hybridMultilevel"/>
    <w:tmpl w:val="5852D902"/>
    <w:lvl w:ilvl="0" w:tplc="499EC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7"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8"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309672854">
    <w:abstractNumId w:val="7"/>
  </w:num>
  <w:num w:numId="2" w16cid:durableId="1415542564">
    <w:abstractNumId w:val="6"/>
  </w:num>
  <w:num w:numId="3" w16cid:durableId="410549106">
    <w:abstractNumId w:val="5"/>
  </w:num>
  <w:num w:numId="4" w16cid:durableId="756290098">
    <w:abstractNumId w:val="8"/>
  </w:num>
  <w:num w:numId="5" w16cid:durableId="2117362679">
    <w:abstractNumId w:val="1"/>
  </w:num>
  <w:num w:numId="6" w16cid:durableId="1931692124">
    <w:abstractNumId w:val="0"/>
  </w:num>
  <w:num w:numId="7" w16cid:durableId="1181774518">
    <w:abstractNumId w:val="2"/>
  </w:num>
  <w:num w:numId="8" w16cid:durableId="1079986361">
    <w:abstractNumId w:val="3"/>
  </w:num>
  <w:num w:numId="9" w16cid:durableId="1033338777">
    <w:abstractNumId w:val="9"/>
  </w:num>
  <w:num w:numId="10" w16cid:durableId="2023388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468D"/>
    <w:rsid w:val="000154A0"/>
    <w:rsid w:val="00015D34"/>
    <w:rsid w:val="00031352"/>
    <w:rsid w:val="00037211"/>
    <w:rsid w:val="00042CF6"/>
    <w:rsid w:val="00043C95"/>
    <w:rsid w:val="00060C46"/>
    <w:rsid w:val="00061EF6"/>
    <w:rsid w:val="00067AAE"/>
    <w:rsid w:val="00086E43"/>
    <w:rsid w:val="00087993"/>
    <w:rsid w:val="00093452"/>
    <w:rsid w:val="000A68F0"/>
    <w:rsid w:val="000A70DD"/>
    <w:rsid w:val="000B2A61"/>
    <w:rsid w:val="000B465B"/>
    <w:rsid w:val="000B4D89"/>
    <w:rsid w:val="000C0458"/>
    <w:rsid w:val="000C7DCF"/>
    <w:rsid w:val="000D2B8E"/>
    <w:rsid w:val="000D2E05"/>
    <w:rsid w:val="000D5BB3"/>
    <w:rsid w:val="000D609A"/>
    <w:rsid w:val="000E13D6"/>
    <w:rsid w:val="000E143F"/>
    <w:rsid w:val="00101976"/>
    <w:rsid w:val="00107A1D"/>
    <w:rsid w:val="00124D51"/>
    <w:rsid w:val="0013266C"/>
    <w:rsid w:val="00133C09"/>
    <w:rsid w:val="00140186"/>
    <w:rsid w:val="00146398"/>
    <w:rsid w:val="00151545"/>
    <w:rsid w:val="00151F63"/>
    <w:rsid w:val="00164AC8"/>
    <w:rsid w:val="00166BFC"/>
    <w:rsid w:val="0017473E"/>
    <w:rsid w:val="00175F83"/>
    <w:rsid w:val="00177FBE"/>
    <w:rsid w:val="001802C9"/>
    <w:rsid w:val="001817E7"/>
    <w:rsid w:val="00181C11"/>
    <w:rsid w:val="00195E67"/>
    <w:rsid w:val="0019620F"/>
    <w:rsid w:val="001A09EC"/>
    <w:rsid w:val="001B26CB"/>
    <w:rsid w:val="001C4942"/>
    <w:rsid w:val="001C5A22"/>
    <w:rsid w:val="001C6862"/>
    <w:rsid w:val="001C6C2A"/>
    <w:rsid w:val="001C7513"/>
    <w:rsid w:val="001D34E6"/>
    <w:rsid w:val="001D6FE1"/>
    <w:rsid w:val="001E004D"/>
    <w:rsid w:val="001E0BAF"/>
    <w:rsid w:val="001E107D"/>
    <w:rsid w:val="001E3105"/>
    <w:rsid w:val="001E4A5C"/>
    <w:rsid w:val="001E694F"/>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4422F"/>
    <w:rsid w:val="00245041"/>
    <w:rsid w:val="00252A7F"/>
    <w:rsid w:val="002668F8"/>
    <w:rsid w:val="0027423A"/>
    <w:rsid w:val="00277D29"/>
    <w:rsid w:val="002924B4"/>
    <w:rsid w:val="0029316E"/>
    <w:rsid w:val="00297C47"/>
    <w:rsid w:val="002A0447"/>
    <w:rsid w:val="002A062E"/>
    <w:rsid w:val="002A6FA6"/>
    <w:rsid w:val="002B4F42"/>
    <w:rsid w:val="002C1403"/>
    <w:rsid w:val="002C27F7"/>
    <w:rsid w:val="002C3D29"/>
    <w:rsid w:val="002C60E7"/>
    <w:rsid w:val="002C63A9"/>
    <w:rsid w:val="002C666D"/>
    <w:rsid w:val="002D19F0"/>
    <w:rsid w:val="002D4147"/>
    <w:rsid w:val="002D769A"/>
    <w:rsid w:val="002D7861"/>
    <w:rsid w:val="002E2020"/>
    <w:rsid w:val="002F2E62"/>
    <w:rsid w:val="002F3129"/>
    <w:rsid w:val="00300FCB"/>
    <w:rsid w:val="00302A82"/>
    <w:rsid w:val="00302C16"/>
    <w:rsid w:val="00304675"/>
    <w:rsid w:val="00311A2D"/>
    <w:rsid w:val="00312839"/>
    <w:rsid w:val="00322A41"/>
    <w:rsid w:val="00323157"/>
    <w:rsid w:val="003245DC"/>
    <w:rsid w:val="00325D4D"/>
    <w:rsid w:val="00327427"/>
    <w:rsid w:val="003318E8"/>
    <w:rsid w:val="00335C46"/>
    <w:rsid w:val="00346F0E"/>
    <w:rsid w:val="00352019"/>
    <w:rsid w:val="00354808"/>
    <w:rsid w:val="0036033C"/>
    <w:rsid w:val="00367157"/>
    <w:rsid w:val="003807E2"/>
    <w:rsid w:val="00380A8F"/>
    <w:rsid w:val="00380BA4"/>
    <w:rsid w:val="0038122A"/>
    <w:rsid w:val="00387707"/>
    <w:rsid w:val="00396C6E"/>
    <w:rsid w:val="003A561D"/>
    <w:rsid w:val="003B5F1A"/>
    <w:rsid w:val="003B6DEE"/>
    <w:rsid w:val="003D496F"/>
    <w:rsid w:val="003D4C0F"/>
    <w:rsid w:val="003D52D3"/>
    <w:rsid w:val="003E2AD5"/>
    <w:rsid w:val="003E41A8"/>
    <w:rsid w:val="003E4BA7"/>
    <w:rsid w:val="003F2BFE"/>
    <w:rsid w:val="003F5B27"/>
    <w:rsid w:val="004032B8"/>
    <w:rsid w:val="004036F3"/>
    <w:rsid w:val="00403CDE"/>
    <w:rsid w:val="00425A01"/>
    <w:rsid w:val="004311A5"/>
    <w:rsid w:val="00440882"/>
    <w:rsid w:val="004431A6"/>
    <w:rsid w:val="004554A3"/>
    <w:rsid w:val="004633A2"/>
    <w:rsid w:val="00465F2C"/>
    <w:rsid w:val="00467637"/>
    <w:rsid w:val="0047395F"/>
    <w:rsid w:val="00475F23"/>
    <w:rsid w:val="004945D5"/>
    <w:rsid w:val="004A1D92"/>
    <w:rsid w:val="004A553C"/>
    <w:rsid w:val="004B3DB8"/>
    <w:rsid w:val="004C038A"/>
    <w:rsid w:val="004C5509"/>
    <w:rsid w:val="004D2F20"/>
    <w:rsid w:val="004D32CE"/>
    <w:rsid w:val="004D35C7"/>
    <w:rsid w:val="004D7776"/>
    <w:rsid w:val="004F3614"/>
    <w:rsid w:val="004F3BB9"/>
    <w:rsid w:val="005111DD"/>
    <w:rsid w:val="0051457C"/>
    <w:rsid w:val="0051478F"/>
    <w:rsid w:val="00514FDA"/>
    <w:rsid w:val="0052667B"/>
    <w:rsid w:val="00541598"/>
    <w:rsid w:val="00554399"/>
    <w:rsid w:val="00554ED4"/>
    <w:rsid w:val="00572E5D"/>
    <w:rsid w:val="005838BB"/>
    <w:rsid w:val="005865AA"/>
    <w:rsid w:val="00594CF5"/>
    <w:rsid w:val="005A27BE"/>
    <w:rsid w:val="005A296A"/>
    <w:rsid w:val="005B51A6"/>
    <w:rsid w:val="005B665B"/>
    <w:rsid w:val="005C4F34"/>
    <w:rsid w:val="005D6829"/>
    <w:rsid w:val="005E45EA"/>
    <w:rsid w:val="00600D7B"/>
    <w:rsid w:val="00606FC4"/>
    <w:rsid w:val="00622F04"/>
    <w:rsid w:val="00623974"/>
    <w:rsid w:val="00624275"/>
    <w:rsid w:val="006463C5"/>
    <w:rsid w:val="0065515A"/>
    <w:rsid w:val="0066393B"/>
    <w:rsid w:val="00666610"/>
    <w:rsid w:val="00672C7A"/>
    <w:rsid w:val="00675726"/>
    <w:rsid w:val="00685D00"/>
    <w:rsid w:val="006A73CF"/>
    <w:rsid w:val="006B0790"/>
    <w:rsid w:val="006B4B62"/>
    <w:rsid w:val="006B5C07"/>
    <w:rsid w:val="006D209B"/>
    <w:rsid w:val="006D313E"/>
    <w:rsid w:val="006D66FB"/>
    <w:rsid w:val="006E2161"/>
    <w:rsid w:val="006E53DB"/>
    <w:rsid w:val="006F2EF8"/>
    <w:rsid w:val="006F52CF"/>
    <w:rsid w:val="00703FA3"/>
    <w:rsid w:val="00707810"/>
    <w:rsid w:val="00712E21"/>
    <w:rsid w:val="00717186"/>
    <w:rsid w:val="007269B1"/>
    <w:rsid w:val="007329A0"/>
    <w:rsid w:val="00742491"/>
    <w:rsid w:val="00756D4F"/>
    <w:rsid w:val="00760AE4"/>
    <w:rsid w:val="00763ADD"/>
    <w:rsid w:val="007727A7"/>
    <w:rsid w:val="00777C65"/>
    <w:rsid w:val="00784A85"/>
    <w:rsid w:val="007971E5"/>
    <w:rsid w:val="007A03B6"/>
    <w:rsid w:val="007A52D4"/>
    <w:rsid w:val="007B53D3"/>
    <w:rsid w:val="007C128D"/>
    <w:rsid w:val="007D175F"/>
    <w:rsid w:val="007D28D4"/>
    <w:rsid w:val="007D6224"/>
    <w:rsid w:val="007E35D2"/>
    <w:rsid w:val="007E7E14"/>
    <w:rsid w:val="007E7E97"/>
    <w:rsid w:val="007F29EA"/>
    <w:rsid w:val="007F7A61"/>
    <w:rsid w:val="00802AC5"/>
    <w:rsid w:val="008039AE"/>
    <w:rsid w:val="00803A56"/>
    <w:rsid w:val="00814CAB"/>
    <w:rsid w:val="0081682A"/>
    <w:rsid w:val="00816F34"/>
    <w:rsid w:val="00817C5D"/>
    <w:rsid w:val="0082358A"/>
    <w:rsid w:val="00823C16"/>
    <w:rsid w:val="00827118"/>
    <w:rsid w:val="008272CC"/>
    <w:rsid w:val="00835FAA"/>
    <w:rsid w:val="00837DF0"/>
    <w:rsid w:val="008473AB"/>
    <w:rsid w:val="00856B32"/>
    <w:rsid w:val="00865586"/>
    <w:rsid w:val="00872FDF"/>
    <w:rsid w:val="00876245"/>
    <w:rsid w:val="008762E5"/>
    <w:rsid w:val="00880974"/>
    <w:rsid w:val="00885307"/>
    <w:rsid w:val="0089285C"/>
    <w:rsid w:val="008B1351"/>
    <w:rsid w:val="008B6BAA"/>
    <w:rsid w:val="008B72C1"/>
    <w:rsid w:val="008C064F"/>
    <w:rsid w:val="008C66D5"/>
    <w:rsid w:val="008D796C"/>
    <w:rsid w:val="008E1704"/>
    <w:rsid w:val="008E31DE"/>
    <w:rsid w:val="008E414F"/>
    <w:rsid w:val="008F2835"/>
    <w:rsid w:val="008F6048"/>
    <w:rsid w:val="008F6E9C"/>
    <w:rsid w:val="00900403"/>
    <w:rsid w:val="0090119F"/>
    <w:rsid w:val="00901F3D"/>
    <w:rsid w:val="009106F1"/>
    <w:rsid w:val="00912938"/>
    <w:rsid w:val="009172E6"/>
    <w:rsid w:val="009209B6"/>
    <w:rsid w:val="009270BA"/>
    <w:rsid w:val="00944724"/>
    <w:rsid w:val="00951387"/>
    <w:rsid w:val="00951A22"/>
    <w:rsid w:val="00956511"/>
    <w:rsid w:val="0096668B"/>
    <w:rsid w:val="00967BFA"/>
    <w:rsid w:val="0097368A"/>
    <w:rsid w:val="009740A3"/>
    <w:rsid w:val="00976291"/>
    <w:rsid w:val="00984196"/>
    <w:rsid w:val="00995B71"/>
    <w:rsid w:val="009A4FDF"/>
    <w:rsid w:val="009B5B87"/>
    <w:rsid w:val="009B65A1"/>
    <w:rsid w:val="009C0E8F"/>
    <w:rsid w:val="009C3022"/>
    <w:rsid w:val="009C4BE3"/>
    <w:rsid w:val="009C551B"/>
    <w:rsid w:val="009C5CDB"/>
    <w:rsid w:val="009C6988"/>
    <w:rsid w:val="009D682B"/>
    <w:rsid w:val="009F1972"/>
    <w:rsid w:val="00A03FED"/>
    <w:rsid w:val="00A13B6E"/>
    <w:rsid w:val="00A25C79"/>
    <w:rsid w:val="00A32A90"/>
    <w:rsid w:val="00A4605C"/>
    <w:rsid w:val="00A52F46"/>
    <w:rsid w:val="00A60C89"/>
    <w:rsid w:val="00A6642A"/>
    <w:rsid w:val="00A70814"/>
    <w:rsid w:val="00A71C47"/>
    <w:rsid w:val="00A72A05"/>
    <w:rsid w:val="00A76E93"/>
    <w:rsid w:val="00A77CCF"/>
    <w:rsid w:val="00A86D23"/>
    <w:rsid w:val="00A9052F"/>
    <w:rsid w:val="00A90E07"/>
    <w:rsid w:val="00AA67A1"/>
    <w:rsid w:val="00AC5C82"/>
    <w:rsid w:val="00AD197A"/>
    <w:rsid w:val="00AD6AA7"/>
    <w:rsid w:val="00AD75AA"/>
    <w:rsid w:val="00AF5B0E"/>
    <w:rsid w:val="00B01998"/>
    <w:rsid w:val="00B027AE"/>
    <w:rsid w:val="00B1281C"/>
    <w:rsid w:val="00B1330F"/>
    <w:rsid w:val="00B17F2F"/>
    <w:rsid w:val="00B274C1"/>
    <w:rsid w:val="00B34455"/>
    <w:rsid w:val="00B424B2"/>
    <w:rsid w:val="00B44F55"/>
    <w:rsid w:val="00B4639E"/>
    <w:rsid w:val="00B505AD"/>
    <w:rsid w:val="00B53299"/>
    <w:rsid w:val="00B63008"/>
    <w:rsid w:val="00B63788"/>
    <w:rsid w:val="00B63BED"/>
    <w:rsid w:val="00B666CC"/>
    <w:rsid w:val="00B70C19"/>
    <w:rsid w:val="00B740EF"/>
    <w:rsid w:val="00B74E08"/>
    <w:rsid w:val="00B76C6F"/>
    <w:rsid w:val="00B90FB0"/>
    <w:rsid w:val="00B913B4"/>
    <w:rsid w:val="00B95273"/>
    <w:rsid w:val="00B9669F"/>
    <w:rsid w:val="00B9684D"/>
    <w:rsid w:val="00BA1CBF"/>
    <w:rsid w:val="00BA1EF3"/>
    <w:rsid w:val="00BA331E"/>
    <w:rsid w:val="00BB0A31"/>
    <w:rsid w:val="00BB690C"/>
    <w:rsid w:val="00BC522E"/>
    <w:rsid w:val="00BC6538"/>
    <w:rsid w:val="00BD0986"/>
    <w:rsid w:val="00BD0F41"/>
    <w:rsid w:val="00BD1B08"/>
    <w:rsid w:val="00BF08E4"/>
    <w:rsid w:val="00BF16DC"/>
    <w:rsid w:val="00C04729"/>
    <w:rsid w:val="00C06D5D"/>
    <w:rsid w:val="00C1132F"/>
    <w:rsid w:val="00C129A4"/>
    <w:rsid w:val="00C21042"/>
    <w:rsid w:val="00C257A5"/>
    <w:rsid w:val="00C2659E"/>
    <w:rsid w:val="00C4371E"/>
    <w:rsid w:val="00C4640A"/>
    <w:rsid w:val="00C512E7"/>
    <w:rsid w:val="00C54CA2"/>
    <w:rsid w:val="00C63148"/>
    <w:rsid w:val="00C658E0"/>
    <w:rsid w:val="00C71D90"/>
    <w:rsid w:val="00C76816"/>
    <w:rsid w:val="00C770D3"/>
    <w:rsid w:val="00C77E90"/>
    <w:rsid w:val="00C847F6"/>
    <w:rsid w:val="00C864CF"/>
    <w:rsid w:val="00C87466"/>
    <w:rsid w:val="00C87E14"/>
    <w:rsid w:val="00C907DE"/>
    <w:rsid w:val="00CA555A"/>
    <w:rsid w:val="00CC03B8"/>
    <w:rsid w:val="00CC4482"/>
    <w:rsid w:val="00CD5922"/>
    <w:rsid w:val="00CE0685"/>
    <w:rsid w:val="00CE5B01"/>
    <w:rsid w:val="00CF220C"/>
    <w:rsid w:val="00D113AC"/>
    <w:rsid w:val="00D12623"/>
    <w:rsid w:val="00D152F9"/>
    <w:rsid w:val="00D16EFD"/>
    <w:rsid w:val="00D20E0B"/>
    <w:rsid w:val="00D239F7"/>
    <w:rsid w:val="00D25CE6"/>
    <w:rsid w:val="00D25D62"/>
    <w:rsid w:val="00D3773F"/>
    <w:rsid w:val="00D43368"/>
    <w:rsid w:val="00D47BC4"/>
    <w:rsid w:val="00D6063C"/>
    <w:rsid w:val="00D65EBF"/>
    <w:rsid w:val="00D759DB"/>
    <w:rsid w:val="00D813B2"/>
    <w:rsid w:val="00D81562"/>
    <w:rsid w:val="00D87F17"/>
    <w:rsid w:val="00DA6B4C"/>
    <w:rsid w:val="00DA7A5B"/>
    <w:rsid w:val="00DB0FFE"/>
    <w:rsid w:val="00DB2D80"/>
    <w:rsid w:val="00DB70AB"/>
    <w:rsid w:val="00DC0C5F"/>
    <w:rsid w:val="00DC3D56"/>
    <w:rsid w:val="00DC58AD"/>
    <w:rsid w:val="00DD0B6A"/>
    <w:rsid w:val="00DD3713"/>
    <w:rsid w:val="00DD7409"/>
    <w:rsid w:val="00DE064C"/>
    <w:rsid w:val="00DE3D6D"/>
    <w:rsid w:val="00DE5053"/>
    <w:rsid w:val="00DF3FCB"/>
    <w:rsid w:val="00DF409B"/>
    <w:rsid w:val="00DF421C"/>
    <w:rsid w:val="00E066EE"/>
    <w:rsid w:val="00E07CA9"/>
    <w:rsid w:val="00E07DBA"/>
    <w:rsid w:val="00E16925"/>
    <w:rsid w:val="00E2036E"/>
    <w:rsid w:val="00E3618E"/>
    <w:rsid w:val="00E42B56"/>
    <w:rsid w:val="00E4528D"/>
    <w:rsid w:val="00E45D23"/>
    <w:rsid w:val="00E47934"/>
    <w:rsid w:val="00E5251D"/>
    <w:rsid w:val="00E6668E"/>
    <w:rsid w:val="00E73A5E"/>
    <w:rsid w:val="00E853A9"/>
    <w:rsid w:val="00E85E3D"/>
    <w:rsid w:val="00E92DCD"/>
    <w:rsid w:val="00EA0B7D"/>
    <w:rsid w:val="00EB4F9F"/>
    <w:rsid w:val="00EB59D0"/>
    <w:rsid w:val="00EB72FB"/>
    <w:rsid w:val="00EC3300"/>
    <w:rsid w:val="00EC5450"/>
    <w:rsid w:val="00EF00F4"/>
    <w:rsid w:val="00F0425F"/>
    <w:rsid w:val="00F071FB"/>
    <w:rsid w:val="00F21B99"/>
    <w:rsid w:val="00F264B6"/>
    <w:rsid w:val="00F346FA"/>
    <w:rsid w:val="00F43C23"/>
    <w:rsid w:val="00F44507"/>
    <w:rsid w:val="00F469B3"/>
    <w:rsid w:val="00F534FB"/>
    <w:rsid w:val="00F5606D"/>
    <w:rsid w:val="00F703B5"/>
    <w:rsid w:val="00F71FAF"/>
    <w:rsid w:val="00F764E8"/>
    <w:rsid w:val="00F7739C"/>
    <w:rsid w:val="00F807F2"/>
    <w:rsid w:val="00F8437A"/>
    <w:rsid w:val="00F90DA0"/>
    <w:rsid w:val="00F9534A"/>
    <w:rsid w:val="00F9546B"/>
    <w:rsid w:val="00F979E3"/>
    <w:rsid w:val="00FA0B07"/>
    <w:rsid w:val="00FA0B6F"/>
    <w:rsid w:val="00FA234E"/>
    <w:rsid w:val="00FA3B16"/>
    <w:rsid w:val="00FB5220"/>
    <w:rsid w:val="00FC4F0D"/>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73D4"/>
  <w15:chartTrackingRefBased/>
  <w15:docId w15:val="{57404B60-0CB7-4C05-92F2-EEA101F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link w:val="a6"/>
    <w:semiHidden/>
    <w:pPr>
      <w:spacing w:line="260" w:lineRule="exact"/>
      <w:jc w:val="both"/>
    </w:pPr>
    <w:rPr>
      <w:rFonts w:ascii="新細明體"/>
    </w:rPr>
  </w:style>
  <w:style w:type="paragraph" w:styleId="a7">
    <w:name w:val="Body Text Indent"/>
    <w:basedOn w:val="a"/>
    <w:link w:val="a8"/>
    <w:uiPriority w:val="99"/>
    <w:unhideWhenUsed/>
    <w:rsid w:val="00B63BED"/>
    <w:pPr>
      <w:spacing w:after="120"/>
      <w:ind w:leftChars="200" w:left="480"/>
    </w:pPr>
    <w:rPr>
      <w:lang w:val="x-none" w:eastAsia="x-none"/>
    </w:rPr>
  </w:style>
  <w:style w:type="character" w:customStyle="1" w:styleId="a8">
    <w:name w:val="本文縮排 字元"/>
    <w:link w:val="a7"/>
    <w:uiPriority w:val="99"/>
    <w:rsid w:val="00B63BED"/>
    <w:rPr>
      <w:sz w:val="24"/>
    </w:rPr>
  </w:style>
  <w:style w:type="paragraph" w:customStyle="1" w:styleId="HTML1">
    <w:name w:val="HTML 預設格式1"/>
    <w:basedOn w:val="a"/>
    <w:rsid w:val="004F3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6">
    <w:name w:val="本文 字元"/>
    <w:link w:val="a5"/>
    <w:semiHidden/>
    <w:rsid w:val="0000468D"/>
    <w:rPr>
      <w:rFonts w:ascii="新細明體"/>
      <w:sz w:val="24"/>
    </w:rPr>
  </w:style>
  <w:style w:type="paragraph" w:styleId="a9">
    <w:name w:val="List Paragraph"/>
    <w:basedOn w:val="a"/>
    <w:uiPriority w:val="34"/>
    <w:qFormat/>
    <w:rsid w:val="00C77E90"/>
    <w:pPr>
      <w:ind w:leftChars="200" w:left="480"/>
    </w:pPr>
  </w:style>
  <w:style w:type="paragraph" w:styleId="aa">
    <w:name w:val="Balloon Text"/>
    <w:basedOn w:val="a"/>
    <w:link w:val="ab"/>
    <w:uiPriority w:val="99"/>
    <w:semiHidden/>
    <w:unhideWhenUsed/>
    <w:rsid w:val="009C551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5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6AA2-9DD9-40F6-8C87-B78E39AD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2816</Words>
  <Characters>3014</Characters>
  <Application>Microsoft Office Word</Application>
  <DocSecurity>0</DocSecurity>
  <Lines>137</Lines>
  <Paragraphs>112</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2</cp:revision>
  <cp:lastPrinted>2020-12-02T03:30:00Z</cp:lastPrinted>
  <dcterms:created xsi:type="dcterms:W3CDTF">2022-12-22T06:27:00Z</dcterms:created>
  <dcterms:modified xsi:type="dcterms:W3CDTF">2022-12-22T06:27:00Z</dcterms:modified>
</cp:coreProperties>
</file>