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1"/>
        <w:gridCol w:w="3119"/>
      </w:tblGrid>
      <w:tr w:rsidR="009E7BC8" w:rsidRPr="009E7BC8" w14:paraId="1B1C2E44" w14:textId="77777777">
        <w:trPr>
          <w:trHeight w:val="560"/>
          <w:tblHeader/>
        </w:trPr>
        <w:tc>
          <w:tcPr>
            <w:tcW w:w="1418" w:type="dxa"/>
            <w:vAlign w:val="center"/>
          </w:tcPr>
          <w:p w14:paraId="333330BB" w14:textId="77777777" w:rsidR="00514B1F" w:rsidRPr="009E7BC8" w:rsidRDefault="00514B1F">
            <w:pPr>
              <w:spacing w:line="400" w:lineRule="atLeast"/>
              <w:jc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編</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號</w:t>
            </w:r>
          </w:p>
        </w:tc>
        <w:tc>
          <w:tcPr>
            <w:tcW w:w="2268" w:type="dxa"/>
            <w:vAlign w:val="center"/>
          </w:tcPr>
          <w:p w14:paraId="4DE13F70" w14:textId="77777777" w:rsidR="00514B1F" w:rsidRPr="009E7BC8" w:rsidRDefault="00514B1F">
            <w:pPr>
              <w:spacing w:line="400" w:lineRule="atLeast"/>
              <w:jc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作</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業</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項</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目</w:t>
            </w:r>
          </w:p>
        </w:tc>
        <w:tc>
          <w:tcPr>
            <w:tcW w:w="7371" w:type="dxa"/>
            <w:vAlign w:val="center"/>
          </w:tcPr>
          <w:p w14:paraId="554B8CCB" w14:textId="77777777" w:rsidR="00514B1F" w:rsidRPr="009E7BC8" w:rsidRDefault="00514B1F">
            <w:pPr>
              <w:spacing w:line="400" w:lineRule="atLeast"/>
              <w:jc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作</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業</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程</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序</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及</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控</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制</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重</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點</w:t>
            </w:r>
          </w:p>
        </w:tc>
        <w:tc>
          <w:tcPr>
            <w:tcW w:w="3119" w:type="dxa"/>
            <w:vAlign w:val="center"/>
          </w:tcPr>
          <w:p w14:paraId="4E65312B" w14:textId="77777777" w:rsidR="00514B1F" w:rsidRPr="009E7BC8" w:rsidRDefault="00514B1F">
            <w:pPr>
              <w:tabs>
                <w:tab w:val="left" w:pos="719"/>
                <w:tab w:val="left" w:pos="1259"/>
                <w:tab w:val="left" w:pos="1439"/>
              </w:tabs>
              <w:spacing w:line="400" w:lineRule="atLeast"/>
              <w:ind w:hanging="1"/>
              <w:jc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依</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據</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資</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料</w:t>
            </w:r>
          </w:p>
        </w:tc>
      </w:tr>
      <w:tr w:rsidR="00514B1F" w:rsidRPr="009E7BC8" w14:paraId="38C56085" w14:textId="77777777">
        <w:trPr>
          <w:trHeight w:val="8031"/>
        </w:trPr>
        <w:tc>
          <w:tcPr>
            <w:tcW w:w="1418" w:type="dxa"/>
          </w:tcPr>
          <w:p w14:paraId="2327B2E8" w14:textId="77777777" w:rsidR="009130B8" w:rsidRPr="009E7BC8" w:rsidRDefault="009130B8">
            <w:pPr>
              <w:spacing w:before="120" w:line="400" w:lineRule="atLeast"/>
              <w:jc w:val="both"/>
              <w:rPr>
                <w:rFonts w:ascii="微軟正黑體" w:eastAsia="微軟正黑體" w:hAnsi="微軟正黑體"/>
                <w:color w:val="000000" w:themeColor="text1"/>
                <w:spacing w:val="24"/>
              </w:rPr>
            </w:pPr>
          </w:p>
          <w:p w14:paraId="45073DB5" w14:textId="77777777" w:rsidR="009130B8" w:rsidRPr="009E7BC8" w:rsidRDefault="009130B8">
            <w:pPr>
              <w:spacing w:before="120" w:line="400" w:lineRule="atLeast"/>
              <w:jc w:val="both"/>
              <w:rPr>
                <w:rFonts w:ascii="微軟正黑體" w:eastAsia="微軟正黑體" w:hAnsi="微軟正黑體"/>
                <w:color w:val="000000" w:themeColor="text1"/>
                <w:spacing w:val="24"/>
              </w:rPr>
            </w:pPr>
          </w:p>
          <w:p w14:paraId="41D710E9" w14:textId="77777777" w:rsidR="009130B8" w:rsidRPr="009E7BC8" w:rsidRDefault="009130B8" w:rsidP="009253E1">
            <w:pPr>
              <w:spacing w:before="120" w:afterLines="50" w:after="120" w:line="400" w:lineRule="atLeast"/>
              <w:jc w:val="both"/>
              <w:rPr>
                <w:rFonts w:ascii="微軟正黑體" w:eastAsia="微軟正黑體" w:hAnsi="微軟正黑體"/>
                <w:color w:val="000000" w:themeColor="text1"/>
                <w:spacing w:val="24"/>
              </w:rPr>
            </w:pPr>
          </w:p>
          <w:p w14:paraId="72B09169"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t>CA-18910</w:t>
            </w:r>
          </w:p>
          <w:p w14:paraId="7AC7500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B55B8C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29F09A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A42379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95A7EB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FBCA999"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3C3082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C1CBB8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551F69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46DD79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4F3D84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EDDB3E8" w14:textId="77777777" w:rsidR="00C400CD" w:rsidRPr="009E7BC8" w:rsidRDefault="00C400CD" w:rsidP="00C400CD">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CA-18910</w:t>
            </w:r>
          </w:p>
          <w:p w14:paraId="0A4BA16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27AAE6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78166A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A4D031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77B858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8BF856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66CD08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78983C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191E30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4BF6D0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EC70F3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5A0AC0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FF4F8D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3FB179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02ACEAC"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CA-18910</w:t>
            </w:r>
          </w:p>
          <w:p w14:paraId="75475BA5"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4D93CDDD"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3A4D7A1E"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49529AC7"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0108A1E2"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4337098F"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31767E1B"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29D097DE"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425EF31E"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4FA1AD13"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08799051"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3AA221CF" w14:textId="77777777" w:rsidR="005E387E" w:rsidRPr="009E7BC8" w:rsidRDefault="005E387E">
            <w:pPr>
              <w:spacing w:before="120" w:line="400" w:lineRule="atLeast"/>
              <w:jc w:val="both"/>
              <w:rPr>
                <w:rFonts w:ascii="微軟正黑體" w:eastAsia="微軟正黑體" w:hAnsi="微軟正黑體"/>
                <w:color w:val="000000" w:themeColor="text1"/>
                <w:spacing w:val="24"/>
              </w:rPr>
            </w:pPr>
          </w:p>
          <w:p w14:paraId="78F7C661" w14:textId="77777777" w:rsidR="00296277" w:rsidRPr="009E7BC8" w:rsidRDefault="00296277">
            <w:pPr>
              <w:spacing w:before="120" w:line="400" w:lineRule="atLeast"/>
              <w:jc w:val="both"/>
              <w:rPr>
                <w:rFonts w:ascii="微軟正黑體" w:eastAsia="微軟正黑體" w:hAnsi="微軟正黑體"/>
                <w:color w:val="000000" w:themeColor="text1"/>
                <w:spacing w:val="24"/>
              </w:rPr>
            </w:pPr>
          </w:p>
          <w:p w14:paraId="548282AE" w14:textId="77777777" w:rsidR="00296277" w:rsidRPr="009E7BC8" w:rsidRDefault="00296277">
            <w:pPr>
              <w:spacing w:before="120" w:line="400" w:lineRule="atLeast"/>
              <w:jc w:val="both"/>
              <w:rPr>
                <w:rFonts w:ascii="微軟正黑體" w:eastAsia="微軟正黑體" w:hAnsi="微軟正黑體"/>
                <w:color w:val="000000" w:themeColor="text1"/>
                <w:spacing w:val="24"/>
              </w:rPr>
            </w:pPr>
          </w:p>
          <w:p w14:paraId="7206AD1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CA-18920</w:t>
            </w:r>
          </w:p>
          <w:p w14:paraId="052A411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110CA9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C386FD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C26C63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6903B7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647647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BE5B6D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6A53EE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C6A54F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649908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F3A188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2CBE78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37F1DB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EA4856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08378D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CA-18920</w:t>
            </w:r>
          </w:p>
          <w:p w14:paraId="2EC0A15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EFB0F8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09078D9"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1791AD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E0857D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11EBEE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38F728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12A46A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DE4DCF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FFEC6D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C1E829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984B0F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28528C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97B281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E38418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CA-18930</w:t>
            </w:r>
          </w:p>
          <w:p w14:paraId="1F362E3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C987FF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1734F6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FBAD0C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CE752E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163741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F69044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AD6BA1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AACEBB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6DC185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49E65F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BB9D26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2CA6D7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AD5A40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A9EFA6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CA-18930</w:t>
            </w:r>
          </w:p>
          <w:p w14:paraId="2FF9C80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C7C1A6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00E859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826C77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2BF1E7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901575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38135D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EFC707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57492B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42DB44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869BEF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BCEF16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D0FCBC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20905C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98A1E8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CA-18930</w:t>
            </w:r>
          </w:p>
          <w:p w14:paraId="32C117E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4BFA98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7D67B8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A4CBBD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CCECE8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4D58CA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F80947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2CC77D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91F42E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F57A90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0FB97E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F00560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AF06EA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4D2FA5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0470F1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CA-18940</w:t>
            </w:r>
          </w:p>
          <w:p w14:paraId="011A41E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75F8B1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766FBF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4DC400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090AFC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9B3FBF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8D740E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4E19A8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DF2519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430BCD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CC9334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DC2482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1579E19"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958DDF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5F6FBC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CA-18950</w:t>
            </w:r>
          </w:p>
          <w:p w14:paraId="5F25F92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ED3C0B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C9599E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23F0AB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789E9D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0DD9AA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082E19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8145CE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03CF2F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D41E0E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35D9200"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7B6D78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C7815F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5F055C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tc>
        <w:tc>
          <w:tcPr>
            <w:tcW w:w="2268" w:type="dxa"/>
          </w:tcPr>
          <w:p w14:paraId="50170549" w14:textId="77777777" w:rsidR="009130B8" w:rsidRPr="009E7BC8" w:rsidRDefault="009130B8">
            <w:pPr>
              <w:pStyle w:val="20"/>
              <w:spacing w:before="120" w:line="400" w:lineRule="atLeast"/>
              <w:rPr>
                <w:rFonts w:ascii="微軟正黑體" w:eastAsia="微軟正黑體" w:hAnsi="微軟正黑體"/>
                <w:color w:val="000000" w:themeColor="text1"/>
                <w:sz w:val="24"/>
              </w:rPr>
            </w:pPr>
          </w:p>
          <w:p w14:paraId="1E32AD7E" w14:textId="77777777" w:rsidR="009130B8" w:rsidRPr="009E7BC8" w:rsidRDefault="009130B8">
            <w:pPr>
              <w:pStyle w:val="20"/>
              <w:spacing w:before="120" w:line="400" w:lineRule="atLeast"/>
              <w:rPr>
                <w:rFonts w:ascii="微軟正黑體" w:eastAsia="微軟正黑體" w:hAnsi="微軟正黑體"/>
                <w:color w:val="000000" w:themeColor="text1"/>
                <w:sz w:val="24"/>
              </w:rPr>
            </w:pPr>
          </w:p>
          <w:p w14:paraId="19368ACD" w14:textId="77777777" w:rsidR="009130B8" w:rsidRPr="009E7BC8" w:rsidRDefault="009130B8" w:rsidP="009253E1">
            <w:pPr>
              <w:spacing w:before="120" w:afterLines="50" w:after="120" w:line="400" w:lineRule="atLeast"/>
              <w:jc w:val="both"/>
              <w:rPr>
                <w:rFonts w:ascii="微軟正黑體" w:eastAsia="微軟正黑體" w:hAnsi="微軟正黑體"/>
                <w:color w:val="000000" w:themeColor="text1"/>
              </w:rPr>
            </w:pPr>
          </w:p>
          <w:p w14:paraId="5C778DA6" w14:textId="77777777" w:rsidR="00514B1F" w:rsidRPr="009E7BC8" w:rsidRDefault="00514B1F">
            <w:pPr>
              <w:pStyle w:val="20"/>
              <w:spacing w:before="120" w:line="400" w:lineRule="atLeast"/>
              <w:rPr>
                <w:rFonts w:ascii="微軟正黑體" w:eastAsia="微軟正黑體" w:hAnsi="微軟正黑體"/>
                <w:color w:val="000000" w:themeColor="text1"/>
                <w:sz w:val="24"/>
              </w:rPr>
            </w:pPr>
            <w:r w:rsidRPr="009E7BC8">
              <w:rPr>
                <w:rFonts w:ascii="微軟正黑體" w:eastAsia="微軟正黑體" w:hAnsi="微軟正黑體" w:hint="eastAsia"/>
                <w:color w:val="000000" w:themeColor="text1"/>
                <w:sz w:val="24"/>
              </w:rPr>
              <w:t>代理買賣契約之簽訂</w:t>
            </w:r>
          </w:p>
          <w:p w14:paraId="7181F577"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21B2C01B"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6180989C"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1D6B797B"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3F20313C"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510DA48F"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136EF305"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226DBDF7"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671D7A94"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70F47566" w14:textId="77777777" w:rsidR="00514B1F" w:rsidRPr="009E7BC8" w:rsidRDefault="00514B1F">
            <w:pPr>
              <w:pStyle w:val="20"/>
              <w:spacing w:before="120" w:line="400" w:lineRule="atLeast"/>
              <w:rPr>
                <w:rFonts w:ascii="微軟正黑體" w:eastAsia="微軟正黑體" w:hAnsi="微軟正黑體"/>
                <w:color w:val="000000" w:themeColor="text1"/>
                <w:sz w:val="24"/>
              </w:rPr>
            </w:pPr>
          </w:p>
          <w:p w14:paraId="1D86CC16" w14:textId="77777777" w:rsidR="00514B1F" w:rsidRPr="009E7BC8" w:rsidRDefault="00C400CD">
            <w:pPr>
              <w:pStyle w:val="20"/>
              <w:spacing w:before="120" w:line="400" w:lineRule="atLeast"/>
              <w:rPr>
                <w:rFonts w:ascii="微軟正黑體" w:eastAsia="微軟正黑體" w:hAnsi="微軟正黑體"/>
                <w:color w:val="000000" w:themeColor="text1"/>
                <w:sz w:val="24"/>
              </w:rPr>
            </w:pPr>
            <w:r w:rsidRPr="009E7BC8">
              <w:rPr>
                <w:rFonts w:ascii="微軟正黑體" w:eastAsia="微軟正黑體" w:hAnsi="微軟正黑體" w:hint="eastAsia"/>
                <w:color w:val="000000" w:themeColor="text1"/>
                <w:sz w:val="24"/>
              </w:rPr>
              <w:lastRenderedPageBreak/>
              <w:t>代理買賣契約之簽訂</w:t>
            </w:r>
          </w:p>
          <w:p w14:paraId="57502EC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A203AE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1806DE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704594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CE110D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150FC6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AF0AB07"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DDE05A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98CD1C2"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A57C861"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4AF2754"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E847F2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C0FF45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B1E2F6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000E9024" w14:textId="77777777" w:rsidR="005E387E" w:rsidRPr="009E7BC8" w:rsidRDefault="005E387E" w:rsidP="005E387E">
            <w:pPr>
              <w:pStyle w:val="20"/>
              <w:spacing w:before="120" w:line="400" w:lineRule="atLeast"/>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sz w:val="24"/>
              </w:rPr>
              <w:lastRenderedPageBreak/>
              <w:t>代理買賣契約之簽訂</w:t>
            </w:r>
          </w:p>
          <w:p w14:paraId="49BC6E40"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5CDE576E"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58CCF7B1"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4A472E3F"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27C604C6"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72B1EA41"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2E74C703"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51037A42"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0D760A59"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0477C00B"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010F12F5" w14:textId="77777777" w:rsidR="005E387E" w:rsidRPr="009E7BC8" w:rsidRDefault="005E387E">
            <w:pPr>
              <w:spacing w:before="120" w:line="400" w:lineRule="atLeast"/>
              <w:ind w:left="22"/>
              <w:jc w:val="both"/>
              <w:rPr>
                <w:rFonts w:ascii="微軟正黑體" w:eastAsia="微軟正黑體" w:hAnsi="微軟正黑體"/>
                <w:color w:val="000000" w:themeColor="text1"/>
              </w:rPr>
            </w:pPr>
          </w:p>
          <w:p w14:paraId="3A56F3E2" w14:textId="77777777" w:rsidR="00296277" w:rsidRPr="009E7BC8" w:rsidRDefault="00296277">
            <w:pPr>
              <w:spacing w:before="120" w:line="400" w:lineRule="atLeast"/>
              <w:ind w:left="22"/>
              <w:jc w:val="both"/>
              <w:rPr>
                <w:rFonts w:ascii="微軟正黑體" w:eastAsia="微軟正黑體" w:hAnsi="微軟正黑體"/>
                <w:color w:val="000000" w:themeColor="text1"/>
              </w:rPr>
            </w:pPr>
          </w:p>
          <w:p w14:paraId="34D6E564" w14:textId="77777777" w:rsidR="00296277" w:rsidRPr="009E7BC8" w:rsidRDefault="00296277">
            <w:pPr>
              <w:spacing w:before="120" w:line="400" w:lineRule="atLeast"/>
              <w:ind w:left="22"/>
              <w:jc w:val="both"/>
              <w:rPr>
                <w:rFonts w:ascii="微軟正黑體" w:eastAsia="微軟正黑體" w:hAnsi="微軟正黑體"/>
                <w:color w:val="000000" w:themeColor="text1"/>
              </w:rPr>
            </w:pPr>
          </w:p>
          <w:p w14:paraId="332B0CCA" w14:textId="77777777" w:rsidR="00296277" w:rsidRPr="009E7BC8" w:rsidRDefault="00296277">
            <w:pPr>
              <w:spacing w:before="120" w:line="400" w:lineRule="atLeast"/>
              <w:ind w:left="22"/>
              <w:jc w:val="both"/>
              <w:rPr>
                <w:rFonts w:ascii="微軟正黑體" w:eastAsia="微軟正黑體" w:hAnsi="微軟正黑體"/>
                <w:color w:val="000000" w:themeColor="text1"/>
              </w:rPr>
            </w:pPr>
          </w:p>
          <w:p w14:paraId="15966499"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rPr>
              <w:lastRenderedPageBreak/>
              <w:t>開戶作業</w:t>
            </w:r>
          </w:p>
          <w:p w14:paraId="459DF26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76A76A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A568E7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5A4C5CC"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D44F70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9C5B22A"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4050E14E"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9E04453"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2BAA1FEF"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897F05D"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37ECDFC6"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15518D6B"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74AAF738"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5DDB05C5" w14:textId="77777777" w:rsidR="00514B1F" w:rsidRPr="009E7BC8" w:rsidRDefault="00514B1F">
            <w:pPr>
              <w:spacing w:before="120" w:line="400" w:lineRule="atLeast"/>
              <w:jc w:val="both"/>
              <w:rPr>
                <w:rFonts w:ascii="微軟正黑體" w:eastAsia="微軟正黑體" w:hAnsi="微軟正黑體"/>
                <w:color w:val="000000" w:themeColor="text1"/>
                <w:spacing w:val="24"/>
              </w:rPr>
            </w:pPr>
          </w:p>
          <w:p w14:paraId="64034347" w14:textId="77777777" w:rsidR="00514B1F" w:rsidRPr="009E7BC8" w:rsidRDefault="00514B1F">
            <w:pPr>
              <w:spacing w:before="120" w:line="400" w:lineRule="atLeast"/>
              <w:ind w:left="22" w:hanging="22"/>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開戶作業</w:t>
            </w:r>
          </w:p>
          <w:p w14:paraId="6C38DD79" w14:textId="77777777" w:rsidR="00514B1F" w:rsidRPr="009E7BC8" w:rsidRDefault="00514B1F">
            <w:pPr>
              <w:spacing w:before="120" w:line="400" w:lineRule="atLeast"/>
              <w:jc w:val="both"/>
              <w:rPr>
                <w:rFonts w:ascii="微軟正黑體" w:eastAsia="微軟正黑體" w:hAnsi="微軟正黑體"/>
                <w:color w:val="000000" w:themeColor="text1"/>
              </w:rPr>
            </w:pPr>
          </w:p>
          <w:p w14:paraId="5C954D43" w14:textId="77777777" w:rsidR="00514B1F" w:rsidRPr="009E7BC8" w:rsidRDefault="00514B1F">
            <w:pPr>
              <w:spacing w:before="120" w:line="400" w:lineRule="atLeast"/>
              <w:jc w:val="both"/>
              <w:rPr>
                <w:rFonts w:ascii="微軟正黑體" w:eastAsia="微軟正黑體" w:hAnsi="微軟正黑體"/>
                <w:color w:val="000000" w:themeColor="text1"/>
              </w:rPr>
            </w:pPr>
          </w:p>
          <w:p w14:paraId="66C1E92A" w14:textId="77777777" w:rsidR="00514B1F" w:rsidRPr="009E7BC8" w:rsidRDefault="00514B1F">
            <w:pPr>
              <w:spacing w:before="120" w:line="400" w:lineRule="atLeast"/>
              <w:jc w:val="both"/>
              <w:rPr>
                <w:rFonts w:ascii="微軟正黑體" w:eastAsia="微軟正黑體" w:hAnsi="微軟正黑體"/>
                <w:color w:val="000000" w:themeColor="text1"/>
              </w:rPr>
            </w:pPr>
          </w:p>
          <w:p w14:paraId="381AEAB1" w14:textId="77777777" w:rsidR="00514B1F" w:rsidRPr="009E7BC8" w:rsidRDefault="00514B1F">
            <w:pPr>
              <w:spacing w:before="120" w:line="400" w:lineRule="atLeast"/>
              <w:jc w:val="both"/>
              <w:rPr>
                <w:rFonts w:ascii="微軟正黑體" w:eastAsia="微軟正黑體" w:hAnsi="微軟正黑體"/>
                <w:color w:val="000000" w:themeColor="text1"/>
              </w:rPr>
            </w:pPr>
          </w:p>
          <w:p w14:paraId="7BAA5A7E" w14:textId="77777777" w:rsidR="00514B1F" w:rsidRPr="009E7BC8" w:rsidRDefault="00514B1F">
            <w:pPr>
              <w:spacing w:before="120" w:line="400" w:lineRule="atLeast"/>
              <w:jc w:val="both"/>
              <w:rPr>
                <w:rFonts w:ascii="微軟正黑體" w:eastAsia="微軟正黑體" w:hAnsi="微軟正黑體"/>
                <w:color w:val="000000" w:themeColor="text1"/>
              </w:rPr>
            </w:pPr>
          </w:p>
          <w:p w14:paraId="515E9DF1" w14:textId="77777777" w:rsidR="00514B1F" w:rsidRPr="009E7BC8" w:rsidRDefault="00514B1F">
            <w:pPr>
              <w:spacing w:before="120" w:line="400" w:lineRule="atLeast"/>
              <w:jc w:val="both"/>
              <w:rPr>
                <w:rFonts w:ascii="微軟正黑體" w:eastAsia="微軟正黑體" w:hAnsi="微軟正黑體"/>
                <w:color w:val="000000" w:themeColor="text1"/>
              </w:rPr>
            </w:pPr>
          </w:p>
          <w:p w14:paraId="35DDFE4B" w14:textId="77777777" w:rsidR="00514B1F" w:rsidRPr="009E7BC8" w:rsidRDefault="00514B1F">
            <w:pPr>
              <w:spacing w:before="120" w:line="400" w:lineRule="atLeast"/>
              <w:jc w:val="both"/>
              <w:rPr>
                <w:rFonts w:ascii="微軟正黑體" w:eastAsia="微軟正黑體" w:hAnsi="微軟正黑體"/>
                <w:color w:val="000000" w:themeColor="text1"/>
              </w:rPr>
            </w:pPr>
          </w:p>
          <w:p w14:paraId="207151A0" w14:textId="77777777" w:rsidR="00514B1F" w:rsidRPr="009E7BC8" w:rsidRDefault="00514B1F">
            <w:pPr>
              <w:spacing w:before="120" w:line="400" w:lineRule="atLeast"/>
              <w:jc w:val="both"/>
              <w:rPr>
                <w:rFonts w:ascii="微軟正黑體" w:eastAsia="微軟正黑體" w:hAnsi="微軟正黑體"/>
                <w:color w:val="000000" w:themeColor="text1"/>
              </w:rPr>
            </w:pPr>
          </w:p>
          <w:p w14:paraId="36551A74" w14:textId="77777777" w:rsidR="00514B1F" w:rsidRPr="009E7BC8" w:rsidRDefault="00514B1F">
            <w:pPr>
              <w:spacing w:before="120" w:line="400" w:lineRule="atLeast"/>
              <w:jc w:val="both"/>
              <w:rPr>
                <w:rFonts w:ascii="微軟正黑體" w:eastAsia="微軟正黑體" w:hAnsi="微軟正黑體"/>
                <w:color w:val="000000" w:themeColor="text1"/>
              </w:rPr>
            </w:pPr>
          </w:p>
          <w:p w14:paraId="79E497DF" w14:textId="77777777" w:rsidR="00514B1F" w:rsidRPr="009E7BC8" w:rsidRDefault="00514B1F">
            <w:pPr>
              <w:spacing w:before="120" w:line="400" w:lineRule="atLeast"/>
              <w:jc w:val="both"/>
              <w:rPr>
                <w:rFonts w:ascii="微軟正黑體" w:eastAsia="微軟正黑體" w:hAnsi="微軟正黑體"/>
                <w:color w:val="000000" w:themeColor="text1"/>
              </w:rPr>
            </w:pPr>
          </w:p>
          <w:p w14:paraId="51A34E01" w14:textId="77777777" w:rsidR="00514B1F" w:rsidRPr="009E7BC8" w:rsidRDefault="00514B1F">
            <w:pPr>
              <w:spacing w:before="120" w:line="400" w:lineRule="atLeast"/>
              <w:jc w:val="both"/>
              <w:rPr>
                <w:rFonts w:ascii="微軟正黑體" w:eastAsia="微軟正黑體" w:hAnsi="微軟正黑體"/>
                <w:color w:val="000000" w:themeColor="text1"/>
              </w:rPr>
            </w:pPr>
          </w:p>
          <w:p w14:paraId="00F47048" w14:textId="77777777" w:rsidR="00514B1F" w:rsidRPr="009E7BC8" w:rsidRDefault="00514B1F">
            <w:pPr>
              <w:spacing w:before="120" w:line="400" w:lineRule="atLeast"/>
              <w:jc w:val="both"/>
              <w:rPr>
                <w:rFonts w:ascii="微軟正黑體" w:eastAsia="微軟正黑體" w:hAnsi="微軟正黑體"/>
                <w:color w:val="000000" w:themeColor="text1"/>
              </w:rPr>
            </w:pPr>
          </w:p>
          <w:p w14:paraId="3C842D8F" w14:textId="77777777" w:rsidR="00514B1F" w:rsidRPr="009E7BC8" w:rsidRDefault="00514B1F">
            <w:pPr>
              <w:spacing w:before="120" w:line="400" w:lineRule="atLeast"/>
              <w:jc w:val="both"/>
              <w:rPr>
                <w:rFonts w:ascii="微軟正黑體" w:eastAsia="微軟正黑體" w:hAnsi="微軟正黑體"/>
                <w:color w:val="000000" w:themeColor="text1"/>
              </w:rPr>
            </w:pPr>
          </w:p>
          <w:p w14:paraId="35D491A8" w14:textId="77777777" w:rsidR="00514B1F" w:rsidRPr="009E7BC8" w:rsidRDefault="00514B1F">
            <w:pPr>
              <w:spacing w:before="120" w:line="400" w:lineRule="atLeast"/>
              <w:jc w:val="both"/>
              <w:rPr>
                <w:rFonts w:ascii="微軟正黑體" w:eastAsia="微軟正黑體" w:hAnsi="微軟正黑體"/>
                <w:color w:val="000000" w:themeColor="text1"/>
              </w:rPr>
            </w:pPr>
          </w:p>
          <w:p w14:paraId="7B5A2BC5" w14:textId="77777777" w:rsidR="00514B1F" w:rsidRPr="009E7BC8" w:rsidRDefault="00514B1F">
            <w:pPr>
              <w:spacing w:before="120" w:line="400" w:lineRule="atLeast"/>
              <w:ind w:left="22"/>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代理買賣、成交及結算作業</w:t>
            </w:r>
          </w:p>
          <w:p w14:paraId="4D4E2FDC"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B8ED82C"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207F43D"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631A359"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79546957"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65A30E8"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D130953"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1E599536"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DBE0D35"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2F0DAD3B"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ABB7764"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4E011B1"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3138F63"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070ABE0"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7D7E5ADB" w14:textId="77777777" w:rsidR="00514B1F" w:rsidRPr="009E7BC8" w:rsidRDefault="00514B1F">
            <w:pPr>
              <w:pStyle w:val="31"/>
              <w:spacing w:line="400" w:lineRule="atLeast"/>
              <w:rPr>
                <w:rFonts w:ascii="微軟正黑體" w:eastAsia="微軟正黑體" w:hAnsi="微軟正黑體"/>
                <w:color w:val="000000" w:themeColor="text1"/>
                <w:spacing w:val="0"/>
                <w:sz w:val="24"/>
              </w:rPr>
            </w:pPr>
            <w:r w:rsidRPr="009E7BC8">
              <w:rPr>
                <w:rFonts w:ascii="微軟正黑體" w:eastAsia="微軟正黑體" w:hAnsi="微軟正黑體" w:hint="eastAsia"/>
                <w:color w:val="000000" w:themeColor="text1"/>
                <w:spacing w:val="0"/>
                <w:sz w:val="24"/>
              </w:rPr>
              <w:lastRenderedPageBreak/>
              <w:t>代理買賣、成交及結算作業</w:t>
            </w:r>
          </w:p>
          <w:p w14:paraId="73708362"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E6D4DB3"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24A92B0"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1EA286F"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F1DCA2D"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4E1CC08"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55CF6C9"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A74674A"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1EAB4339"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2B3EA42C"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1D2CE3E2"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5E2F1BE8"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504E8612"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F7A44DE"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0B0DACE" w14:textId="77777777" w:rsidR="00514B1F" w:rsidRPr="009E7BC8" w:rsidRDefault="00514B1F" w:rsidP="00967E76">
            <w:pPr>
              <w:pStyle w:val="31"/>
              <w:spacing w:line="400" w:lineRule="atLeast"/>
              <w:rPr>
                <w:rFonts w:ascii="微軟正黑體" w:eastAsia="微軟正黑體" w:hAnsi="微軟正黑體"/>
                <w:color w:val="000000" w:themeColor="text1"/>
                <w:spacing w:val="0"/>
                <w:sz w:val="24"/>
              </w:rPr>
            </w:pPr>
            <w:r w:rsidRPr="009E7BC8">
              <w:rPr>
                <w:rFonts w:ascii="微軟正黑體" w:eastAsia="微軟正黑體" w:hAnsi="微軟正黑體" w:hint="eastAsia"/>
                <w:color w:val="000000" w:themeColor="text1"/>
                <w:spacing w:val="0"/>
                <w:sz w:val="24"/>
              </w:rPr>
              <w:lastRenderedPageBreak/>
              <w:t>代理買賣、成交及結算作業</w:t>
            </w:r>
          </w:p>
          <w:p w14:paraId="5BC6E8E0"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78E0C39F"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1BD9A54"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1D67430"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5B342FF3"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7C20674C"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227CFA4"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C5571F6"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0501CABB"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0CB22AE"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7BFE3045"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618EB6B5"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3B043078"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2AC448F5"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p>
          <w:p w14:paraId="472F9EEB" w14:textId="77777777" w:rsidR="00514B1F" w:rsidRPr="009E7BC8" w:rsidRDefault="00514B1F">
            <w:pPr>
              <w:spacing w:before="120" w:line="400" w:lineRule="atLeast"/>
              <w:ind w:left="576" w:hanging="576"/>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違約及爭議處理作業</w:t>
            </w:r>
          </w:p>
          <w:p w14:paraId="08F074E4"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0BC1084D"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076831AA"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4346095F"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70E24758"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33D7DFE6"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7BB547CD"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74908E16"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68A7E3B1"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0BD6E754"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4E7535D1"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019E6487"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34833B1A"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297F26CB"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p>
          <w:p w14:paraId="338AA846" w14:textId="77777777" w:rsidR="00514B1F" w:rsidRPr="009E7BC8" w:rsidRDefault="00514B1F">
            <w:pPr>
              <w:spacing w:before="120" w:line="400" w:lineRule="atLeast"/>
              <w:ind w:left="22"/>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lastRenderedPageBreak/>
              <w:t>業務收入與記錄</w:t>
            </w:r>
          </w:p>
        </w:tc>
        <w:tc>
          <w:tcPr>
            <w:tcW w:w="7371" w:type="dxa"/>
          </w:tcPr>
          <w:p w14:paraId="696654F7" w14:textId="77777777" w:rsidR="009130B8" w:rsidRPr="009E7BC8" w:rsidRDefault="009130B8" w:rsidP="009130B8">
            <w:pPr>
              <w:spacing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銀行兼營本項業務，除依據本制度規範辦理外，應依國際金融業務條例及其相關規定暨銀行經營信託或證券業務之營運範圍及風險管理準則辦理。</w:t>
            </w:r>
          </w:p>
          <w:p w14:paraId="15D66D86" w14:textId="77777777" w:rsidR="009130B8" w:rsidRPr="009E7BC8" w:rsidRDefault="009130B8" w:rsidP="00B024D1">
            <w:pPr>
              <w:spacing w:line="400" w:lineRule="atLeast"/>
              <w:ind w:left="480" w:right="28" w:hangingChars="200" w:hanging="480"/>
              <w:rPr>
                <w:rFonts w:ascii="微軟正黑體" w:eastAsia="微軟正黑體" w:hAnsi="微軟正黑體"/>
                <w:color w:val="000000" w:themeColor="text1"/>
              </w:rPr>
            </w:pPr>
          </w:p>
          <w:p w14:paraId="5E346B1F" w14:textId="77777777" w:rsidR="00D81BB2" w:rsidRPr="009E7BC8" w:rsidRDefault="00BD3D1B" w:rsidP="00B024D1">
            <w:pPr>
              <w:spacing w:before="6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一、</w:t>
            </w:r>
            <w:r w:rsidR="00D81BB2" w:rsidRPr="009E7BC8">
              <w:rPr>
                <w:rFonts w:ascii="微軟正黑體" w:eastAsia="微軟正黑體" w:hAnsi="微軟正黑體" w:hint="eastAsia"/>
                <w:color w:val="000000" w:themeColor="text1"/>
              </w:rPr>
              <w:t>證券經紀商（包含金融機構兼營證券經紀商）經營代理買賣外國債券業務應符合證券商設置標準規定，並取得金管會「代理買賣外國債券」營業項目（以下簡稱本項業務）之核准及中央銀行之許可，始得經營。</w:t>
            </w:r>
          </w:p>
          <w:p w14:paraId="1BFE5C01" w14:textId="77777777" w:rsidR="00D81BB2" w:rsidRPr="009E7BC8" w:rsidRDefault="00D81BB2"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符合前開資格規定而經營本項業務之證券經紀商，以下簡稱公司。</w:t>
            </w:r>
          </w:p>
          <w:p w14:paraId="081C60BE" w14:textId="77777777" w:rsidR="003102E0" w:rsidRPr="009E7BC8" w:rsidRDefault="00514B1F" w:rsidP="00B92DB4">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w:t>
            </w:r>
            <w:r w:rsidR="00B92DB4" w:rsidRPr="009E7BC8">
              <w:rPr>
                <w:rFonts w:ascii="微軟正黑體" w:eastAsia="微軟正黑體" w:hAnsi="微軟正黑體" w:hint="eastAsia"/>
                <w:color w:val="000000" w:themeColor="text1"/>
              </w:rPr>
              <w:t>、</w:t>
            </w:r>
            <w:r w:rsidR="003102E0" w:rsidRPr="009E7BC8">
              <w:rPr>
                <w:rFonts w:ascii="微軟正黑體" w:eastAsia="微軟正黑體" w:hAnsi="微軟正黑體" w:hint="eastAsia"/>
                <w:color w:val="000000" w:themeColor="text1"/>
              </w:rPr>
              <w:t>本國銀行或外國金融機構在臺分行申請兼營本項業務，其最近一期經會計師查核簽證財務報告之資產總額不得低於新臺幣一千五百億元；或外國金融機構在臺分行，其總行於申請前一年全世界銀行資本或資產排名居前五十名以內。</w:t>
            </w:r>
          </w:p>
          <w:p w14:paraId="43B80C59" w14:textId="77777777" w:rsidR="003102E0" w:rsidRPr="009E7BC8" w:rsidRDefault="003102E0"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銀行有下列情形之一者，不得申請兼營本項業務：</w:t>
            </w:r>
          </w:p>
          <w:p w14:paraId="06BE9C6F" w14:textId="77777777" w:rsidR="003102E0"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3102E0" w:rsidRPr="009E7BC8">
              <w:rPr>
                <w:rFonts w:ascii="微軟正黑體" w:eastAsia="微軟正黑體" w:hAnsi="微軟正黑體" w:hint="eastAsia"/>
                <w:color w:val="000000" w:themeColor="text1"/>
              </w:rPr>
              <w:t>申請日之最近一期自有資本與風險性資產比率未達</w:t>
            </w:r>
            <w:r w:rsidR="005E387E" w:rsidRPr="009E7BC8">
              <w:rPr>
                <w:rFonts w:ascii="微軟正黑體" w:eastAsia="微軟正黑體" w:hAnsi="微軟正黑體" w:hint="eastAsia"/>
                <w:color w:val="000000" w:themeColor="text1"/>
              </w:rPr>
              <w:t>金管會</w:t>
            </w:r>
            <w:r w:rsidR="003102E0" w:rsidRPr="009E7BC8">
              <w:rPr>
                <w:rFonts w:ascii="微軟正黑體" w:eastAsia="微軟正黑體" w:hAnsi="微軟正黑體" w:hint="eastAsia"/>
                <w:color w:val="000000" w:themeColor="text1"/>
              </w:rPr>
              <w:t>所規定標準。</w:t>
            </w:r>
          </w:p>
          <w:p w14:paraId="59840997" w14:textId="77777777" w:rsidR="003102E0"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2、</w:t>
            </w:r>
            <w:r w:rsidR="003102E0" w:rsidRPr="009E7BC8">
              <w:rPr>
                <w:rFonts w:ascii="微軟正黑體" w:eastAsia="微軟正黑體" w:hAnsi="微軟正黑體" w:hint="eastAsia"/>
                <w:color w:val="000000" w:themeColor="text1"/>
              </w:rPr>
              <w:t>備抵呆帳（損失）提列不足。</w:t>
            </w:r>
          </w:p>
          <w:p w14:paraId="3970D9B2" w14:textId="77777777" w:rsidR="003102E0" w:rsidRPr="009E7BC8" w:rsidRDefault="003102E0"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color w:val="000000" w:themeColor="text1"/>
              </w:rPr>
              <w:t>3</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申請日之上一曆年度有累積虧損。</w:t>
            </w:r>
          </w:p>
          <w:p w14:paraId="395C5476" w14:textId="77777777" w:rsidR="003102E0"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4、</w:t>
            </w:r>
            <w:r w:rsidR="003102E0" w:rsidRPr="009E7BC8">
              <w:rPr>
                <w:rFonts w:ascii="微軟正黑體" w:eastAsia="微軟正黑體" w:hAnsi="微軟正黑體" w:hint="eastAsia"/>
                <w:color w:val="000000" w:themeColor="text1"/>
              </w:rPr>
              <w:t>申請日上一季之逾期放款比率高於百分之三。</w:t>
            </w:r>
          </w:p>
          <w:p w14:paraId="262101B2" w14:textId="77777777" w:rsidR="003102E0"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5、</w:t>
            </w:r>
            <w:r w:rsidR="003102E0" w:rsidRPr="009E7BC8">
              <w:rPr>
                <w:rFonts w:ascii="微軟正黑體" w:eastAsia="微軟正黑體" w:hAnsi="微軟正黑體" w:hint="eastAsia"/>
                <w:color w:val="000000" w:themeColor="text1"/>
              </w:rPr>
              <w:t>申請日之上一曆年度有違反銀行法令而遭罰鍰處分一次以上。但其違法情事已具體改善，經</w:t>
            </w:r>
            <w:r w:rsidR="005E387E" w:rsidRPr="009E7BC8">
              <w:rPr>
                <w:rFonts w:ascii="微軟正黑體" w:eastAsia="微軟正黑體" w:hAnsi="微軟正黑體" w:hint="eastAsia"/>
                <w:color w:val="000000" w:themeColor="text1"/>
              </w:rPr>
              <w:t>金管會</w:t>
            </w:r>
            <w:r w:rsidR="003102E0" w:rsidRPr="009E7BC8">
              <w:rPr>
                <w:rFonts w:ascii="微軟正黑體" w:eastAsia="微軟正黑體" w:hAnsi="微軟正黑體" w:hint="eastAsia"/>
                <w:color w:val="000000" w:themeColor="text1"/>
              </w:rPr>
              <w:t>認可，不在此限。</w:t>
            </w:r>
          </w:p>
          <w:p w14:paraId="5B4AC06F" w14:textId="77777777" w:rsidR="003102E0" w:rsidRPr="009E7BC8" w:rsidRDefault="003102E0"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本國銀行總行或外國金融機構在臺分行業取得兼營證券經紀商「代理買賣外國債券」營業項目之核准者，其國際金融業務分行依照國際金融業務條例第四條第一項第四款經營上開業務，應檢附本國銀行總行或外國金融機構在臺分行經中央銀行與金管會許可經營本項業務之核准函，向金管會申請許可始得經營，並應依照證券經紀商經營本項業務相關規範辦理。</w:t>
            </w:r>
          </w:p>
          <w:p w14:paraId="5DC55A0F" w14:textId="77777777" w:rsidR="003102E0" w:rsidRPr="009E7BC8" w:rsidRDefault="003102E0"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銀行兼營本項業務，應依下列各點辦理：</w:t>
            </w:r>
          </w:p>
          <w:p w14:paraId="771CD553" w14:textId="77777777" w:rsidR="003102E0" w:rsidRPr="009E7BC8" w:rsidRDefault="003102E0"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color w:val="000000" w:themeColor="text1"/>
              </w:rPr>
              <w:t>1</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銀行兼營本項業務前應配合修正其內部控制制度。</w:t>
            </w:r>
          </w:p>
          <w:p w14:paraId="2830D63A" w14:textId="77777777" w:rsidR="003102E0" w:rsidRPr="009E7BC8" w:rsidRDefault="003102E0" w:rsidP="00B92DB4">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color w:val="000000" w:themeColor="text1"/>
              </w:rPr>
              <w:t>2</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需具有即時取得外國債券相關交易資訊之必要資訊傳輸設備。</w:t>
            </w:r>
          </w:p>
          <w:p w14:paraId="74973952" w14:textId="77777777" w:rsidR="00D81BB2" w:rsidRPr="009E7BC8" w:rsidRDefault="003102E0" w:rsidP="005E387E">
            <w:pPr>
              <w:spacing w:line="400" w:lineRule="atLeast"/>
              <w:ind w:leftChars="200" w:left="840" w:hangingChars="150" w:hanging="360"/>
              <w:rPr>
                <w:rFonts w:ascii="微軟正黑體" w:eastAsia="微軟正黑體" w:hAnsi="微軟正黑體"/>
                <w:color w:val="000000" w:themeColor="text1"/>
                <w:szCs w:val="24"/>
              </w:rPr>
            </w:pPr>
            <w:r w:rsidRPr="009E7BC8">
              <w:rPr>
                <w:rFonts w:ascii="微軟正黑體" w:eastAsia="微軟正黑體" w:hAnsi="微軟正黑體"/>
                <w:color w:val="000000" w:themeColor="text1"/>
              </w:rPr>
              <w:t>3</w:t>
            </w:r>
            <w:r w:rsidR="00B92DB4" w:rsidRPr="009E7BC8">
              <w:rPr>
                <w:rFonts w:ascii="微軟正黑體" w:eastAsia="微軟正黑體" w:hAnsi="微軟正黑體" w:hint="eastAsia"/>
                <w:color w:val="000000" w:themeColor="text1"/>
              </w:rPr>
              <w:t>、</w:t>
            </w:r>
            <w:r w:rsidR="005E387E" w:rsidRPr="009E7BC8">
              <w:rPr>
                <w:rFonts w:ascii="微軟正黑體" w:eastAsia="微軟正黑體" w:hAnsi="微軟正黑體" w:hint="eastAsia"/>
                <w:color w:val="000000" w:themeColor="text1"/>
                <w:szCs w:val="24"/>
              </w:rPr>
              <w:t>除符合下列各規定外，銀行兼營本項業務應配置適任且專任之業務人員至少三人辦理相關業務：</w:t>
            </w:r>
          </w:p>
          <w:p w14:paraId="687EFF37" w14:textId="77777777" w:rsidR="005E387E" w:rsidRPr="009E7BC8" w:rsidRDefault="005E387E" w:rsidP="005E387E">
            <w:pPr>
              <w:spacing w:afterLines="10" w:after="24" w:line="400" w:lineRule="exact"/>
              <w:ind w:leftChars="280" w:left="984" w:hangingChars="130" w:hanging="312"/>
              <w:rPr>
                <w:rFonts w:ascii="微軟正黑體" w:eastAsia="微軟正黑體" w:hAnsi="微軟正黑體"/>
                <w:color w:val="000000" w:themeColor="text1"/>
                <w:szCs w:val="24"/>
              </w:rPr>
            </w:pPr>
            <w:r w:rsidRPr="009E7BC8">
              <w:rPr>
                <w:rFonts w:ascii="微軟正黑體" w:eastAsia="微軟正黑體" w:hAnsi="微軟正黑體"/>
                <w:color w:val="000000" w:themeColor="text1"/>
                <w:szCs w:val="24"/>
              </w:rPr>
              <w:t>(1)</w:t>
            </w:r>
            <w:r w:rsidRPr="009E7BC8">
              <w:rPr>
                <w:rFonts w:ascii="微軟正黑體" w:eastAsia="微軟正黑體" w:hAnsi="微軟正黑體" w:hint="eastAsia"/>
                <w:color w:val="000000" w:themeColor="text1"/>
                <w:szCs w:val="24"/>
              </w:rPr>
              <w:t>銀行兼營本項業務，其業務人員得</w:t>
            </w:r>
            <w:r w:rsidR="00AF5F74" w:rsidRPr="009E7BC8">
              <w:rPr>
                <w:rFonts w:ascii="微軟正黑體" w:eastAsia="微軟正黑體" w:hAnsi="微軟正黑體" w:hint="eastAsia"/>
                <w:color w:val="000000" w:themeColor="text1"/>
                <w:szCs w:val="24"/>
              </w:rPr>
              <w:t>與銀行經營信託或證券業務之營運範圍及風險管理準則第五條第一項第三款第二目或第三目所列相同業務性質人員共用</w:t>
            </w:r>
            <w:r w:rsidRPr="009E7BC8">
              <w:rPr>
                <w:rFonts w:ascii="微軟正黑體" w:eastAsia="微軟正黑體" w:hAnsi="微軟正黑體" w:hint="eastAsia"/>
                <w:color w:val="000000" w:themeColor="text1"/>
                <w:szCs w:val="24"/>
              </w:rPr>
              <w:t>，並應符合證券商負責人與業務人員管理規則第四條第九項規定。同時辦理上開業務者，於計算業務人員最低人數時，應折半計算。</w:t>
            </w:r>
          </w:p>
          <w:p w14:paraId="6B11C7B4" w14:textId="77777777" w:rsidR="005E387E" w:rsidRPr="009E7BC8" w:rsidRDefault="005E387E" w:rsidP="005E387E">
            <w:pPr>
              <w:spacing w:afterLines="10" w:after="24" w:line="400" w:lineRule="exact"/>
              <w:ind w:leftChars="280" w:left="984" w:hangingChars="130" w:hanging="312"/>
              <w:rPr>
                <w:rFonts w:ascii="微軟正黑體" w:eastAsia="微軟正黑體" w:hAnsi="微軟正黑體"/>
                <w:color w:val="000000" w:themeColor="text1"/>
                <w:szCs w:val="24"/>
              </w:rPr>
            </w:pPr>
            <w:r w:rsidRPr="009E7BC8">
              <w:rPr>
                <w:rFonts w:ascii="微軟正黑體" w:eastAsia="微軟正黑體" w:hAnsi="微軟正黑體"/>
                <w:color w:val="000000" w:themeColor="text1"/>
                <w:szCs w:val="24"/>
              </w:rPr>
              <w:lastRenderedPageBreak/>
              <w:t>(2)</w:t>
            </w:r>
            <w:r w:rsidRPr="009E7BC8">
              <w:rPr>
                <w:rFonts w:ascii="微軟正黑體" w:eastAsia="微軟正黑體" w:hAnsi="微軟正黑體" w:hint="eastAsia"/>
                <w:color w:val="000000" w:themeColor="text1"/>
                <w:szCs w:val="24"/>
              </w:rPr>
              <w:t>銀行兼營證券業務其指撥營運資金達證券商設置標準第十五條第一項規定金融機構兼營證券業務應指撥之數額者，得不適用業務人員最低人數規定。</w:t>
            </w:r>
          </w:p>
          <w:p w14:paraId="242745B8" w14:textId="77777777" w:rsidR="00D81BB2" w:rsidRPr="009E7BC8" w:rsidRDefault="003102E0" w:rsidP="00B92DB4">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三</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公司經營本項業務應取得國外經當地國主管機關註冊允許經營證券業務之金融機構</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以下簡稱外國金融機構</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之書面授權並簽訂代理買賣契約。</w:t>
            </w:r>
          </w:p>
          <w:p w14:paraId="11AA6B1B" w14:textId="77777777" w:rsidR="00514B1F" w:rsidRPr="009E7BC8" w:rsidRDefault="00B92DB4" w:rsidP="00B92DB4">
            <w:pPr>
              <w:spacing w:before="6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四、</w:t>
            </w:r>
            <w:r w:rsidR="00514B1F" w:rsidRPr="009E7BC8">
              <w:rPr>
                <w:rFonts w:ascii="微軟正黑體" w:eastAsia="微軟正黑體" w:hAnsi="微軟正黑體" w:hint="eastAsia"/>
                <w:color w:val="000000" w:themeColor="text1"/>
              </w:rPr>
              <w:t>前項代理買賣契約，其應行記載事項如下：</w:t>
            </w:r>
          </w:p>
          <w:p w14:paraId="51DB9451"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514B1F" w:rsidRPr="009E7BC8">
              <w:rPr>
                <w:rFonts w:ascii="微軟正黑體" w:eastAsia="微軟正黑體" w:hAnsi="微軟正黑體" w:hint="eastAsia"/>
                <w:color w:val="000000" w:themeColor="text1"/>
              </w:rPr>
              <w:t>契約當事人。</w:t>
            </w:r>
          </w:p>
          <w:p w14:paraId="6FD5D964"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2、</w:t>
            </w:r>
            <w:r w:rsidR="00514B1F" w:rsidRPr="009E7BC8">
              <w:rPr>
                <w:rFonts w:ascii="微軟正黑體" w:eastAsia="微軟正黑體" w:hAnsi="微軟正黑體" w:hint="eastAsia"/>
                <w:color w:val="000000" w:themeColor="text1"/>
              </w:rPr>
              <w:t>外國金融機構依代理買賣標的交易量所應予支付之服務費標準等相關資訊。</w:t>
            </w:r>
          </w:p>
          <w:p w14:paraId="7A01B5BB"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3、</w:t>
            </w:r>
            <w:r w:rsidR="00514B1F" w:rsidRPr="009E7BC8">
              <w:rPr>
                <w:rFonts w:ascii="微軟正黑體" w:eastAsia="微軟正黑體" w:hAnsi="微軟正黑體" w:hint="eastAsia"/>
                <w:color w:val="000000" w:themeColor="text1"/>
              </w:rPr>
              <w:t>雙方之權利義務事項。</w:t>
            </w:r>
          </w:p>
          <w:p w14:paraId="2EA5B00F"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4、</w:t>
            </w:r>
            <w:r w:rsidR="00514B1F" w:rsidRPr="009E7BC8">
              <w:rPr>
                <w:rFonts w:ascii="微軟正黑體" w:eastAsia="微軟正黑體" w:hAnsi="微軟正黑體" w:hint="eastAsia"/>
                <w:color w:val="000000" w:themeColor="text1"/>
              </w:rPr>
              <w:t>代理買賣產生之糾紛處理事項。</w:t>
            </w:r>
          </w:p>
          <w:p w14:paraId="2560034C"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5、</w:t>
            </w:r>
            <w:r w:rsidR="00514B1F" w:rsidRPr="009E7BC8">
              <w:rPr>
                <w:rFonts w:ascii="微軟正黑體" w:eastAsia="微軟正黑體" w:hAnsi="微軟正黑體" w:hint="eastAsia"/>
                <w:color w:val="000000" w:themeColor="text1"/>
              </w:rPr>
              <w:t>其他依各外國法令及交易慣例之應行記載事項。</w:t>
            </w:r>
          </w:p>
          <w:p w14:paraId="6F6B37E6" w14:textId="77777777" w:rsidR="00C400CD" w:rsidRPr="009E7BC8" w:rsidRDefault="00C400CD" w:rsidP="003102E0">
            <w:pPr>
              <w:spacing w:before="60" w:line="400" w:lineRule="atLeast"/>
              <w:ind w:left="1234" w:right="28" w:hanging="840"/>
              <w:rPr>
                <w:rFonts w:ascii="微軟正黑體" w:eastAsia="微軟正黑體" w:hAnsi="微軟正黑體"/>
                <w:color w:val="000000" w:themeColor="text1"/>
              </w:rPr>
            </w:pPr>
          </w:p>
          <w:p w14:paraId="7F4C62B8" w14:textId="77777777" w:rsidR="00C400CD" w:rsidRPr="009E7BC8" w:rsidRDefault="00C400CD" w:rsidP="003102E0">
            <w:pPr>
              <w:spacing w:before="60" w:line="400" w:lineRule="atLeast"/>
              <w:ind w:left="1234" w:right="28" w:hanging="840"/>
              <w:rPr>
                <w:rFonts w:ascii="微軟正黑體" w:eastAsia="微軟正黑體" w:hAnsi="微軟正黑體"/>
                <w:color w:val="000000" w:themeColor="text1"/>
              </w:rPr>
            </w:pPr>
          </w:p>
          <w:p w14:paraId="307429E6" w14:textId="77777777" w:rsidR="00C400CD" w:rsidRPr="009E7BC8" w:rsidRDefault="00C400CD" w:rsidP="003102E0">
            <w:pPr>
              <w:spacing w:before="60" w:line="400" w:lineRule="atLeast"/>
              <w:ind w:left="1234" w:right="28" w:hanging="840"/>
              <w:rPr>
                <w:rFonts w:ascii="微軟正黑體" w:eastAsia="微軟正黑體" w:hAnsi="微軟正黑體"/>
                <w:color w:val="000000" w:themeColor="text1"/>
              </w:rPr>
            </w:pPr>
          </w:p>
          <w:p w14:paraId="73783C89" w14:textId="77777777" w:rsidR="005E387E" w:rsidRPr="009E7BC8" w:rsidRDefault="005E387E" w:rsidP="003102E0">
            <w:pPr>
              <w:spacing w:before="60" w:line="400" w:lineRule="atLeast"/>
              <w:ind w:left="1234" w:right="28" w:hanging="840"/>
              <w:rPr>
                <w:rFonts w:ascii="微軟正黑體" w:eastAsia="微軟正黑體" w:hAnsi="微軟正黑體"/>
                <w:color w:val="000000" w:themeColor="text1"/>
              </w:rPr>
            </w:pPr>
          </w:p>
          <w:p w14:paraId="66B747C2" w14:textId="77777777" w:rsidR="005E387E" w:rsidRPr="009E7BC8" w:rsidRDefault="005E387E" w:rsidP="003102E0">
            <w:pPr>
              <w:spacing w:before="60" w:line="400" w:lineRule="atLeast"/>
              <w:ind w:left="1234" w:right="28" w:hanging="840"/>
              <w:rPr>
                <w:rFonts w:ascii="微軟正黑體" w:eastAsia="微軟正黑體" w:hAnsi="微軟正黑體"/>
                <w:color w:val="000000" w:themeColor="text1"/>
              </w:rPr>
            </w:pPr>
          </w:p>
          <w:p w14:paraId="2048BE36" w14:textId="77777777" w:rsidR="005E387E" w:rsidRPr="009E7BC8" w:rsidRDefault="005E387E" w:rsidP="003102E0">
            <w:pPr>
              <w:spacing w:before="60" w:line="400" w:lineRule="atLeast"/>
              <w:ind w:left="1234" w:right="28" w:hanging="840"/>
              <w:rPr>
                <w:rFonts w:ascii="微軟正黑體" w:eastAsia="微軟正黑體" w:hAnsi="微軟正黑體"/>
                <w:color w:val="000000" w:themeColor="text1"/>
              </w:rPr>
            </w:pPr>
          </w:p>
          <w:p w14:paraId="49E0F4C6" w14:textId="77777777" w:rsidR="00514B1F" w:rsidRPr="009E7BC8" w:rsidRDefault="00514B1F" w:rsidP="00967E7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一</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買受人部分：</w:t>
            </w:r>
          </w:p>
          <w:p w14:paraId="561B3262" w14:textId="4292D159" w:rsidR="002577AC" w:rsidRPr="009E7BC8" w:rsidRDefault="00514B1F"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B92DB4" w:rsidRPr="009E7BC8">
              <w:rPr>
                <w:rFonts w:ascii="微軟正黑體" w:eastAsia="微軟正黑體" w:hAnsi="微軟正黑體" w:hint="eastAsia"/>
                <w:color w:val="000000" w:themeColor="text1"/>
              </w:rPr>
              <w:t>、</w:t>
            </w:r>
            <w:r w:rsidR="002577AC" w:rsidRPr="009E7BC8">
              <w:rPr>
                <w:rFonts w:ascii="微軟正黑體" w:eastAsia="微軟正黑體" w:hAnsi="微軟正黑體" w:hint="eastAsia"/>
                <w:color w:val="000000" w:themeColor="text1"/>
              </w:rPr>
              <w:t>公司代理買賣外國債券之買受人，以</w:t>
            </w:r>
            <w:r w:rsidR="009E7BC8" w:rsidRPr="009E7BC8">
              <w:rPr>
                <w:rFonts w:ascii="微軟正黑體" w:eastAsia="微軟正黑體" w:hAnsi="微軟正黑體" w:hint="eastAsia"/>
                <w:color w:val="FF0000"/>
                <w:u w:val="single"/>
              </w:rPr>
              <w:t>銀行業、保險業、證券期貨業、信託業、票券金融公司、基金管理公司、政府投資機構、政府基金、退休基金、共同基金、單位信託、辦理儲金匯兌之郵政機構及其他經主管機關核准之機構</w:t>
            </w:r>
            <w:r w:rsidR="002577AC" w:rsidRPr="009E7BC8">
              <w:rPr>
                <w:rFonts w:ascii="微軟正黑體" w:eastAsia="微軟正黑體" w:hAnsi="微軟正黑體" w:hint="eastAsia"/>
                <w:color w:val="000000" w:themeColor="text1"/>
              </w:rPr>
              <w:t>為限。</w:t>
            </w:r>
          </w:p>
          <w:p w14:paraId="6C68CD5D" w14:textId="77777777" w:rsidR="00514B1F" w:rsidRPr="009E7BC8" w:rsidRDefault="002577AC" w:rsidP="00B92DB4">
            <w:pPr>
              <w:spacing w:line="400" w:lineRule="atLeast"/>
              <w:ind w:leftChars="350" w:left="84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國際金融業務分行經營本項業務之買受人，除符合前述專業機構投資人之資格外，並以中華民國境外客戶為限。</w:t>
            </w:r>
          </w:p>
          <w:p w14:paraId="0B9B5AFB" w14:textId="77777777" w:rsidR="00514B1F" w:rsidRPr="009E7BC8" w:rsidRDefault="00B92DB4"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2、</w:t>
            </w:r>
            <w:r w:rsidR="00514B1F" w:rsidRPr="009E7BC8">
              <w:rPr>
                <w:rFonts w:ascii="微軟正黑體" w:eastAsia="微軟正黑體" w:hAnsi="微軟正黑體" w:hint="eastAsia"/>
                <w:color w:val="000000" w:themeColor="text1"/>
              </w:rPr>
              <w:t>買受人應透過</w:t>
            </w:r>
            <w:r w:rsidR="00731235" w:rsidRPr="009E7BC8">
              <w:rPr>
                <w:rFonts w:ascii="微軟正黑體" w:eastAsia="微軟正黑體" w:hAnsi="微軟正黑體" w:hint="eastAsia"/>
                <w:color w:val="000000" w:themeColor="text1"/>
              </w:rPr>
              <w:t>公司</w:t>
            </w:r>
            <w:r w:rsidR="00514B1F" w:rsidRPr="009E7BC8">
              <w:rPr>
                <w:rFonts w:ascii="微軟正黑體" w:eastAsia="微軟正黑體" w:hAnsi="微軟正黑體" w:hint="eastAsia"/>
                <w:color w:val="000000" w:themeColor="text1"/>
              </w:rPr>
              <w:t>與外國金融機構辦理相關開戶作業。</w:t>
            </w:r>
          </w:p>
          <w:p w14:paraId="61FDFBC4" w14:textId="77777777" w:rsidR="00514B1F" w:rsidRPr="009E7BC8" w:rsidRDefault="00514B1F" w:rsidP="00C9676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公司協助買受人辦理開戶作業部分：</w:t>
            </w:r>
          </w:p>
          <w:p w14:paraId="67B06AF6" w14:textId="77777777" w:rsidR="00514B1F" w:rsidRPr="009E7BC8" w:rsidRDefault="00514B1F"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應指派專人協助買受人與外國金融機構辦理相關開戶作業。</w:t>
            </w:r>
          </w:p>
          <w:p w14:paraId="76045A9F" w14:textId="77777777" w:rsidR="00514B1F" w:rsidRPr="009E7BC8" w:rsidRDefault="00514B1F"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2</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應注意檢查買受人資格是否符合</w:t>
            </w:r>
            <w:r w:rsidR="00731235" w:rsidRPr="009E7BC8">
              <w:rPr>
                <w:rFonts w:ascii="微軟正黑體" w:eastAsia="微軟正黑體" w:hAnsi="微軟正黑體" w:hint="eastAsia"/>
                <w:color w:val="000000" w:themeColor="text1"/>
              </w:rPr>
              <w:t>第（一）、</w:t>
            </w:r>
            <w:r w:rsidR="00731235" w:rsidRPr="009E7BC8">
              <w:rPr>
                <w:rFonts w:ascii="微軟正黑體" w:eastAsia="微軟正黑體" w:hAnsi="微軟正黑體"/>
                <w:color w:val="000000" w:themeColor="text1"/>
              </w:rPr>
              <w:t>1</w:t>
            </w:r>
            <w:r w:rsidR="00731235" w:rsidRPr="009E7BC8">
              <w:rPr>
                <w:rFonts w:ascii="微軟正黑體" w:eastAsia="微軟正黑體" w:hAnsi="微軟正黑體" w:hint="eastAsia"/>
                <w:color w:val="000000" w:themeColor="text1"/>
              </w:rPr>
              <w:t>點</w:t>
            </w:r>
            <w:r w:rsidRPr="009E7BC8">
              <w:rPr>
                <w:rFonts w:ascii="微軟正黑體" w:eastAsia="微軟正黑體" w:hAnsi="微軟正黑體" w:hint="eastAsia"/>
                <w:color w:val="000000" w:themeColor="text1"/>
              </w:rPr>
              <w:t>規定，若屬非上述資格之法人或自然人，不得協助其開戶。</w:t>
            </w:r>
          </w:p>
          <w:p w14:paraId="20157E40" w14:textId="77777777" w:rsidR="00514B1F" w:rsidRPr="009E7BC8" w:rsidRDefault="00514B1F"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3</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應於買受人開戶前，指派登記合格之業務人員詳細解說</w:t>
            </w:r>
            <w:r w:rsidR="00731235" w:rsidRPr="009E7BC8">
              <w:rPr>
                <w:rFonts w:ascii="微軟正黑體" w:eastAsia="微軟正黑體" w:hAnsi="微軟正黑體" w:hint="eastAsia"/>
                <w:color w:val="000000" w:themeColor="text1"/>
              </w:rPr>
              <w:t>公司</w:t>
            </w:r>
            <w:r w:rsidRPr="009E7BC8">
              <w:rPr>
                <w:rFonts w:ascii="微軟正黑體" w:eastAsia="微軟正黑體" w:hAnsi="微軟正黑體" w:hint="eastAsia"/>
                <w:color w:val="000000" w:themeColor="text1"/>
              </w:rPr>
              <w:t>、外國金融機構與買受人間三方之法律及權利義務關係，並應依外國金融機構之指示與買受人簽署書面文件</w:t>
            </w:r>
            <w:r w:rsidR="00731235" w:rsidRPr="009E7BC8">
              <w:rPr>
                <w:rFonts w:ascii="微軟正黑體" w:eastAsia="微軟正黑體" w:hAnsi="微軟正黑體" w:hint="eastAsia"/>
                <w:color w:val="000000" w:themeColor="text1"/>
              </w:rPr>
              <w:t>，並建檔備供查核</w:t>
            </w:r>
            <w:r w:rsidRPr="009E7BC8">
              <w:rPr>
                <w:rFonts w:ascii="微軟正黑體" w:eastAsia="微軟正黑體" w:hAnsi="微軟正黑體" w:hint="eastAsia"/>
                <w:color w:val="000000" w:themeColor="text1"/>
              </w:rPr>
              <w:t>。</w:t>
            </w:r>
          </w:p>
          <w:p w14:paraId="739913B8" w14:textId="77777777" w:rsidR="00514B1F" w:rsidRPr="009E7BC8" w:rsidRDefault="00514B1F" w:rsidP="00B92DB4">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4</w:t>
            </w:r>
            <w:r w:rsidR="00B92DB4"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前項書面文件應行記載事項：</w:t>
            </w:r>
          </w:p>
          <w:p w14:paraId="52967C11"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514B1F" w:rsidRPr="009E7BC8">
              <w:rPr>
                <w:rFonts w:ascii="微軟正黑體" w:eastAsia="微軟正黑體" w:hAnsi="微軟正黑體" w:hint="eastAsia"/>
                <w:color w:val="000000" w:themeColor="text1"/>
              </w:rPr>
              <w:t>確已取得外國金融機構書面授權之證明及該證明有效期間等相關事項。</w:t>
            </w:r>
          </w:p>
          <w:p w14:paraId="72228CB0"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（2）</w:t>
            </w:r>
            <w:r w:rsidR="00514B1F" w:rsidRPr="009E7BC8">
              <w:rPr>
                <w:rFonts w:ascii="微軟正黑體" w:eastAsia="微軟正黑體" w:hAnsi="微軟正黑體" w:hint="eastAsia"/>
                <w:color w:val="000000" w:themeColor="text1"/>
              </w:rPr>
              <w:t>買受人與外國金融機構間開戶及訂定買賣契約等之手續。</w:t>
            </w:r>
          </w:p>
          <w:p w14:paraId="327C2716"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（3）</w:t>
            </w:r>
            <w:r w:rsidR="00657DBD" w:rsidRPr="009E7BC8">
              <w:rPr>
                <w:rFonts w:ascii="微軟正黑體" w:eastAsia="微軟正黑體" w:hAnsi="微軟正黑體" w:hint="eastAsia"/>
                <w:color w:val="000000" w:themeColor="text1"/>
              </w:rPr>
              <w:t>公司</w:t>
            </w:r>
            <w:r w:rsidR="00514B1F" w:rsidRPr="009E7BC8">
              <w:rPr>
                <w:rFonts w:ascii="微軟正黑體" w:eastAsia="微軟正黑體" w:hAnsi="微軟正黑體" w:hint="eastAsia"/>
                <w:color w:val="000000" w:themeColor="text1"/>
              </w:rPr>
              <w:t>於代理買賣關係中之角色及與外國金融機構、買受人間三方法律及權利義務關係。</w:t>
            </w:r>
          </w:p>
          <w:p w14:paraId="5FF4473D"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（4）</w:t>
            </w:r>
            <w:r w:rsidR="00514B1F" w:rsidRPr="009E7BC8">
              <w:rPr>
                <w:rFonts w:ascii="微軟正黑體" w:eastAsia="微軟正黑體" w:hAnsi="微軟正黑體" w:hint="eastAsia"/>
                <w:color w:val="000000" w:themeColor="text1"/>
              </w:rPr>
              <w:t>買進外國債券寄存國外保管機構有關事項及證明文件之說明。</w:t>
            </w:r>
          </w:p>
          <w:p w14:paraId="395DDD9B"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（5）</w:t>
            </w:r>
            <w:r w:rsidR="00514B1F" w:rsidRPr="009E7BC8">
              <w:rPr>
                <w:rFonts w:ascii="微軟正黑體" w:eastAsia="微軟正黑體" w:hAnsi="微軟正黑體" w:hint="eastAsia"/>
                <w:color w:val="000000" w:themeColor="text1"/>
              </w:rPr>
              <w:t>代理買賣外國債券之交割期限、交割款項之收付方式、幣別、匯率及其計算、結匯授權約定事項。</w:t>
            </w:r>
          </w:p>
          <w:p w14:paraId="610B531B"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（6）</w:t>
            </w:r>
            <w:r w:rsidR="00514B1F" w:rsidRPr="009E7BC8">
              <w:rPr>
                <w:rFonts w:ascii="微軟正黑體" w:eastAsia="微軟正黑體" w:hAnsi="微軟正黑體" w:hint="eastAsia"/>
                <w:color w:val="000000" w:themeColor="text1"/>
              </w:rPr>
              <w:t>交割違約之處理事項。</w:t>
            </w:r>
          </w:p>
          <w:p w14:paraId="0A801DCF"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（7）</w:t>
            </w:r>
            <w:r w:rsidR="00514B1F" w:rsidRPr="009E7BC8">
              <w:rPr>
                <w:rFonts w:ascii="微軟正黑體" w:eastAsia="微軟正黑體" w:hAnsi="微軟正黑體" w:hint="eastAsia"/>
                <w:color w:val="000000" w:themeColor="text1"/>
              </w:rPr>
              <w:t>買受人基本資料異動申報及未申報之免責事項。</w:t>
            </w:r>
          </w:p>
          <w:p w14:paraId="7004505C"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（8）</w:t>
            </w:r>
            <w:r w:rsidR="00514B1F" w:rsidRPr="009E7BC8">
              <w:rPr>
                <w:rFonts w:ascii="微軟正黑體" w:eastAsia="微軟正黑體" w:hAnsi="微軟正黑體" w:hint="eastAsia"/>
                <w:color w:val="000000" w:themeColor="text1"/>
              </w:rPr>
              <w:t>公司應行提供之資訊及服務事項。</w:t>
            </w:r>
          </w:p>
          <w:p w14:paraId="708BC22B"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（9）</w:t>
            </w:r>
            <w:r w:rsidR="00514B1F" w:rsidRPr="009E7BC8">
              <w:rPr>
                <w:rFonts w:ascii="微軟正黑體" w:eastAsia="微軟正黑體" w:hAnsi="微軟正黑體" w:hint="eastAsia"/>
                <w:color w:val="000000" w:themeColor="text1"/>
              </w:rPr>
              <w:t>買受人與外國金融機構爭議處理方式說明及風險警語。</w:t>
            </w:r>
          </w:p>
          <w:p w14:paraId="3CA4E96D"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（10）</w:t>
            </w:r>
            <w:r w:rsidR="00514B1F" w:rsidRPr="009E7BC8">
              <w:rPr>
                <w:rFonts w:ascii="微軟正黑體" w:eastAsia="微軟正黑體" w:hAnsi="微軟正黑體" w:hint="eastAsia"/>
                <w:color w:val="000000" w:themeColor="text1"/>
              </w:rPr>
              <w:t>本書面文件及買賣契約條款變更之通知約定事項。</w:t>
            </w:r>
          </w:p>
          <w:p w14:paraId="1D9BD38A"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（11）</w:t>
            </w:r>
            <w:r w:rsidR="00514B1F" w:rsidRPr="009E7BC8">
              <w:rPr>
                <w:rFonts w:ascii="微軟正黑體" w:eastAsia="微軟正黑體" w:hAnsi="微軟正黑體" w:hint="eastAsia"/>
                <w:color w:val="000000" w:themeColor="text1"/>
              </w:rPr>
              <w:t>其他與當事人權利義務有關之說明事項。</w:t>
            </w:r>
          </w:p>
          <w:p w14:paraId="7E0F1FE8" w14:textId="77777777" w:rsidR="00514B1F" w:rsidRPr="009E7BC8" w:rsidRDefault="00691048" w:rsidP="00691048">
            <w:pPr>
              <w:pStyle w:val="ab"/>
              <w:kinsoku w:val="0"/>
              <w:wordWrap w:val="0"/>
              <w:overflowPunct w:val="0"/>
              <w:spacing w:line="400" w:lineRule="atLeast"/>
              <w:ind w:leftChars="350" w:left="1294" w:hanging="454"/>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（12）</w:t>
            </w:r>
            <w:r w:rsidR="00514B1F" w:rsidRPr="009E7BC8">
              <w:rPr>
                <w:rFonts w:ascii="微軟正黑體" w:eastAsia="微軟正黑體" w:hAnsi="微軟正黑體" w:hint="eastAsia"/>
                <w:color w:val="000000" w:themeColor="text1"/>
              </w:rPr>
              <w:t>負責解說之業務人員及其簽章。</w:t>
            </w:r>
          </w:p>
          <w:p w14:paraId="25481220" w14:textId="77777777" w:rsidR="00514B1F" w:rsidRPr="009E7BC8" w:rsidRDefault="00514B1F" w:rsidP="003D6FAA">
            <w:pPr>
              <w:pStyle w:val="ab"/>
              <w:kinsoku w:val="0"/>
              <w:wordWrap w:val="0"/>
              <w:overflowPunct w:val="0"/>
              <w:spacing w:line="400" w:lineRule="atLeast"/>
              <w:ind w:leftChars="350" w:left="840" w:firstLine="0"/>
              <w:jc w:val="both"/>
              <w:textAlignment w:val="center"/>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前項書面文件格式應報請券商公會備查，其格式有所變更時亦同。</w:t>
            </w:r>
          </w:p>
          <w:p w14:paraId="58EC1F6E" w14:textId="77777777" w:rsidR="00514B1F" w:rsidRPr="009E7BC8" w:rsidRDefault="003D6FAA" w:rsidP="003D6FAA">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5、</w:t>
            </w:r>
            <w:r w:rsidR="00514B1F" w:rsidRPr="009E7BC8">
              <w:rPr>
                <w:rFonts w:ascii="微軟正黑體" w:eastAsia="微軟正黑體" w:hAnsi="微軟正黑體" w:hint="eastAsia"/>
                <w:color w:val="000000" w:themeColor="text1"/>
              </w:rPr>
              <w:t>應確實掌握以代理買賣方式從事外國債券交易之買受人資料，並將前開資料與雙方簽署之書面文件建檔列管備供查核。</w:t>
            </w:r>
          </w:p>
          <w:p w14:paraId="757E9593" w14:textId="77777777" w:rsidR="00D21CD1" w:rsidRPr="009E7BC8" w:rsidRDefault="00D21CD1" w:rsidP="00691048">
            <w:pPr>
              <w:spacing w:line="400" w:lineRule="atLeast"/>
              <w:ind w:right="28"/>
              <w:rPr>
                <w:rFonts w:ascii="微軟正黑體" w:eastAsia="微軟正黑體" w:hAnsi="微軟正黑體"/>
                <w:color w:val="000000" w:themeColor="text1"/>
              </w:rPr>
            </w:pPr>
          </w:p>
          <w:p w14:paraId="5E3B0A04" w14:textId="77777777" w:rsidR="00514B1F" w:rsidRPr="009E7BC8" w:rsidRDefault="00514B1F" w:rsidP="00967E7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一</w:t>
            </w:r>
            <w:r w:rsidR="00691048"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交易標的：</w:t>
            </w:r>
          </w:p>
          <w:p w14:paraId="19FC14FF" w14:textId="77777777" w:rsidR="00657DBD" w:rsidRPr="009E7BC8" w:rsidRDefault="00657DBD" w:rsidP="00691048">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公司得代理買賣外國債券之範圍如下：</w:t>
            </w:r>
          </w:p>
          <w:p w14:paraId="76BE306F" w14:textId="77777777" w:rsidR="00657DBD" w:rsidRPr="009E7BC8" w:rsidRDefault="00657DBD" w:rsidP="00691048">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color w:val="000000" w:themeColor="text1"/>
              </w:rPr>
              <w:t>1</w:t>
            </w:r>
            <w:r w:rsidR="00691048"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所稱外國債券係指外國人在國外發行之外幣債券。</w:t>
            </w:r>
          </w:p>
          <w:p w14:paraId="7954FC32" w14:textId="77777777" w:rsidR="00657DBD" w:rsidRPr="009E7BC8" w:rsidRDefault="00657DBD" w:rsidP="00691048">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color w:val="000000" w:themeColor="text1"/>
              </w:rPr>
              <w:t>2</w:t>
            </w:r>
            <w:r w:rsidR="00691048"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前揭外國債券不含下列標的：</w:t>
            </w:r>
          </w:p>
          <w:p w14:paraId="4C5BFD54" w14:textId="77777777" w:rsidR="00657DBD" w:rsidRPr="009E7BC8" w:rsidRDefault="00657DBD"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(1)</w:t>
            </w:r>
            <w:r w:rsidRPr="009E7BC8">
              <w:rPr>
                <w:rFonts w:ascii="微軟正黑體" w:eastAsia="微軟正黑體" w:hAnsi="微軟正黑體"/>
                <w:color w:val="000000" w:themeColor="text1"/>
              </w:rPr>
              <w:t xml:space="preserve"> </w:t>
            </w:r>
            <w:r w:rsidRPr="009E7BC8">
              <w:rPr>
                <w:rFonts w:ascii="微軟正黑體" w:eastAsia="微軟正黑體" w:hAnsi="微軟正黑體" w:hint="eastAsia"/>
                <w:color w:val="000000" w:themeColor="text1"/>
              </w:rPr>
              <w:t>本國企業赴海外發行之公司債。</w:t>
            </w:r>
          </w:p>
          <w:p w14:paraId="00126067" w14:textId="77777777" w:rsidR="00657DBD" w:rsidRPr="009E7BC8" w:rsidRDefault="00657DBD"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 xml:space="preserve">(2) </w:t>
            </w:r>
            <w:r w:rsidRPr="009E7BC8">
              <w:rPr>
                <w:rFonts w:ascii="微軟正黑體" w:eastAsia="微軟正黑體" w:hAnsi="微軟正黑體" w:hint="eastAsia"/>
                <w:color w:val="000000" w:themeColor="text1"/>
              </w:rPr>
              <w:t>大陸地區證券市場及大陸地區政府或公司發行或經理之債券。</w:t>
            </w:r>
          </w:p>
          <w:p w14:paraId="5C08FD93" w14:textId="77777777" w:rsidR="00657DBD" w:rsidRPr="009E7BC8" w:rsidRDefault="00657DBD"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 xml:space="preserve">(3) </w:t>
            </w:r>
            <w:r w:rsidRPr="009E7BC8">
              <w:rPr>
                <w:rFonts w:ascii="微軟正黑體" w:eastAsia="微軟正黑體" w:hAnsi="微軟正黑體" w:hint="eastAsia"/>
                <w:color w:val="000000" w:themeColor="text1"/>
              </w:rPr>
              <w:t>恒生香港中資企業指數</w:t>
            </w:r>
            <w:r w:rsidRPr="009E7BC8">
              <w:rPr>
                <w:rFonts w:ascii="微軟正黑體" w:eastAsia="微軟正黑體" w:hAnsi="微軟正黑體"/>
                <w:color w:val="000000" w:themeColor="text1"/>
              </w:rPr>
              <w:t xml:space="preserve"> (Hang Seng China-Affiliated Corporations Index) </w:t>
            </w:r>
            <w:r w:rsidRPr="009E7BC8">
              <w:rPr>
                <w:rFonts w:ascii="微軟正黑體" w:eastAsia="微軟正黑體" w:hAnsi="微軟正黑體" w:hint="eastAsia"/>
                <w:color w:val="000000" w:themeColor="text1"/>
              </w:rPr>
              <w:t>成分股公司所發行之債券。</w:t>
            </w:r>
          </w:p>
          <w:p w14:paraId="5FF4C60C" w14:textId="77777777" w:rsidR="00657DBD" w:rsidRPr="009E7BC8" w:rsidRDefault="00657DBD"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 xml:space="preserve">(4) </w:t>
            </w:r>
            <w:r w:rsidRPr="009E7BC8">
              <w:rPr>
                <w:rFonts w:ascii="微軟正黑體" w:eastAsia="微軟正黑體" w:hAnsi="微軟正黑體" w:hint="eastAsia"/>
                <w:color w:val="000000" w:themeColor="text1"/>
              </w:rPr>
              <w:t>香港或澳門地區證券交易市場由大陸地區政府、公司直接或間接持有股權達百分之三十以上之公司所發行之債券。</w:t>
            </w:r>
          </w:p>
          <w:p w14:paraId="4C5E9313" w14:textId="77777777" w:rsidR="00514B1F" w:rsidRPr="009E7BC8" w:rsidRDefault="00657DBD"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color w:val="000000" w:themeColor="text1"/>
              </w:rPr>
              <w:t>3</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證券商代理買賣境外結構型商品，應依境外結構型商品管理規則之規定辦理。</w:t>
            </w:r>
          </w:p>
          <w:p w14:paraId="633D1C23" w14:textId="77777777" w:rsidR="00514B1F" w:rsidRPr="009E7BC8" w:rsidRDefault="00514B1F" w:rsidP="00C9676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代理買賣作業：</w:t>
            </w:r>
          </w:p>
          <w:p w14:paraId="3A6D5B8F" w14:textId="77777777" w:rsidR="00514B1F" w:rsidRPr="009E7BC8" w:rsidRDefault="00514B1F"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買受人除得以當面、書信、電話或其他電傳視訊等方式透過</w:t>
            </w:r>
            <w:r w:rsidR="00C808C0" w:rsidRPr="009E7BC8">
              <w:rPr>
                <w:rFonts w:ascii="微軟正黑體" w:eastAsia="微軟正黑體" w:hAnsi="微軟正黑體" w:hint="eastAsia"/>
                <w:color w:val="000000" w:themeColor="text1"/>
              </w:rPr>
              <w:t>公司</w:t>
            </w:r>
            <w:r w:rsidRPr="009E7BC8">
              <w:rPr>
                <w:rFonts w:ascii="微軟正黑體" w:eastAsia="微軟正黑體" w:hAnsi="微軟正黑體" w:hint="eastAsia"/>
                <w:color w:val="000000" w:themeColor="text1"/>
              </w:rPr>
              <w:t>與外國金融機構辦理有關外國債券買賣詢價、議價、傳遞交易指示…等相關事宜外，亦得自行逕洽外國金融機構辦理。</w:t>
            </w:r>
          </w:p>
          <w:p w14:paraId="105E458F" w14:textId="77777777" w:rsidR="00514B1F" w:rsidRPr="009E7BC8" w:rsidRDefault="00514B1F"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2</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從事代理買賣業務之人員，應具備業務人員資格，並經登記後始得執行業務。</w:t>
            </w:r>
          </w:p>
          <w:p w14:paraId="0B9F32CE" w14:textId="77777777" w:rsidR="00514B1F" w:rsidRPr="009E7BC8" w:rsidRDefault="00514B1F"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3</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公司接受買受人請求代為傳遞交易指示予外國金融機構應留存紀錄，並妥善保存，買賣無爭議者應至少保存五年，有爭議者應保留至爭議消除為止。</w:t>
            </w:r>
          </w:p>
          <w:p w14:paraId="756CB09F" w14:textId="77777777" w:rsidR="00514B1F" w:rsidRPr="009E7BC8" w:rsidRDefault="00514B1F"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4</w:t>
            </w:r>
            <w:r w:rsidR="00C96766" w:rsidRPr="009E7BC8">
              <w:rPr>
                <w:rFonts w:ascii="微軟正黑體" w:eastAsia="微軟正黑體" w:hAnsi="微軟正黑體" w:hint="eastAsia"/>
                <w:color w:val="000000" w:themeColor="text1"/>
              </w:rPr>
              <w:t>、</w:t>
            </w:r>
            <w:r w:rsidR="00C808C0" w:rsidRPr="009E7BC8">
              <w:rPr>
                <w:rFonts w:ascii="微軟正黑體" w:eastAsia="微軟正黑體" w:hAnsi="微軟正黑體" w:hint="eastAsia"/>
                <w:color w:val="000000" w:themeColor="text1"/>
              </w:rPr>
              <w:t>公司經營本項業務，應注意下列限制：</w:t>
            </w:r>
          </w:p>
          <w:p w14:paraId="65C0AEE8" w14:textId="77777777" w:rsidR="00C808C0" w:rsidRPr="009E7BC8" w:rsidRDefault="00C808C0"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(1)</w:t>
            </w:r>
            <w:r w:rsidRPr="009E7BC8">
              <w:rPr>
                <w:rFonts w:ascii="微軟正黑體" w:eastAsia="微軟正黑體" w:hAnsi="微軟正黑體" w:hint="eastAsia"/>
                <w:color w:val="000000" w:themeColor="text1"/>
              </w:rPr>
              <w:t>公司代理外國金融機構買賣之外國債券，不得為融資融券。</w:t>
            </w:r>
          </w:p>
          <w:p w14:paraId="2C02F0E5" w14:textId="77777777" w:rsidR="00C808C0" w:rsidRPr="009E7BC8" w:rsidRDefault="00C808C0" w:rsidP="00C96766">
            <w:pPr>
              <w:spacing w:line="400" w:lineRule="atLeast"/>
              <w:ind w:leftChars="350" w:left="1294" w:rightChars="12" w:right="29" w:hanging="454"/>
              <w:rPr>
                <w:rFonts w:ascii="微軟正黑體" w:eastAsia="微軟正黑體" w:hAnsi="微軟正黑體"/>
                <w:color w:val="000000" w:themeColor="text1"/>
              </w:rPr>
            </w:pPr>
            <w:r w:rsidRPr="009E7BC8">
              <w:rPr>
                <w:rFonts w:ascii="微軟正黑體" w:eastAsia="微軟正黑體" w:hAnsi="微軟正黑體"/>
                <w:color w:val="000000" w:themeColor="text1"/>
                <w:kern w:val="2"/>
              </w:rPr>
              <w:t>(2)</w:t>
            </w:r>
            <w:r w:rsidRPr="009E7BC8">
              <w:rPr>
                <w:rFonts w:ascii="微軟正黑體" w:eastAsia="微軟正黑體" w:hAnsi="微軟正黑體" w:hint="eastAsia"/>
                <w:color w:val="000000" w:themeColor="text1"/>
              </w:rPr>
              <w:t>公司代理買賣外國債券及代理買賣外國債券之買受人就該外國債券之轉讓，應注意不得違反證券交易法第二十二條之規定。</w:t>
            </w:r>
          </w:p>
          <w:p w14:paraId="07E04947" w14:textId="77777777" w:rsidR="00514B1F" w:rsidRPr="009E7BC8" w:rsidRDefault="00514B1F"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5</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公司與買受人及公司與外國金融機構間之電話紀錄應予錄音，並應至少保存</w:t>
            </w:r>
            <w:r w:rsidR="0011699F" w:rsidRPr="009E7BC8">
              <w:rPr>
                <w:rFonts w:ascii="微軟正黑體" w:eastAsia="微軟正黑體" w:hAnsi="微軟正黑體" w:hint="eastAsia"/>
                <w:color w:val="000000" w:themeColor="text1"/>
              </w:rPr>
              <w:t>一年</w:t>
            </w:r>
            <w:r w:rsidRPr="009E7BC8">
              <w:rPr>
                <w:rFonts w:ascii="微軟正黑體" w:eastAsia="微軟正黑體" w:hAnsi="微軟正黑體" w:hint="eastAsia"/>
                <w:color w:val="000000" w:themeColor="text1"/>
              </w:rPr>
              <w:t>，但買賣有爭議者，應保存至該爭議消除為止，如錄音設備發生故障或作業疏漏時，應於事實發生之日起二日內將其原因事實及改善情形向券商公會申報。</w:t>
            </w:r>
          </w:p>
          <w:p w14:paraId="4267D23A" w14:textId="77777777" w:rsidR="00514B1F" w:rsidRPr="009E7BC8" w:rsidRDefault="00514B1F" w:rsidP="00C9676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三</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成交及結算作業：</w:t>
            </w:r>
          </w:p>
          <w:p w14:paraId="23F8E612" w14:textId="77777777" w:rsidR="00514B1F" w:rsidRPr="009E7BC8" w:rsidRDefault="00C96766"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1、</w:t>
            </w:r>
            <w:r w:rsidR="00514B1F" w:rsidRPr="009E7BC8">
              <w:rPr>
                <w:rFonts w:ascii="微軟正黑體" w:eastAsia="微軟正黑體" w:hAnsi="微軟正黑體" w:hint="eastAsia"/>
                <w:color w:val="000000" w:themeColor="text1"/>
              </w:rPr>
              <w:t>公司於取得外國金融機構出具相當於成交確認之文件資料後，應及時交付買受人。</w:t>
            </w:r>
          </w:p>
          <w:p w14:paraId="1E9F02B4" w14:textId="77777777" w:rsidR="009130B8" w:rsidRPr="009E7BC8" w:rsidRDefault="009130B8" w:rsidP="009130B8">
            <w:pPr>
              <w:spacing w:line="400" w:lineRule="atLeast"/>
              <w:ind w:leftChars="350" w:left="84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前項所稱之「外國金融機構出具相當於成交確認之文件資料」，若公司自行提供之確認成交通知與該文件資料相符</w:t>
            </w:r>
            <w:r w:rsidRPr="009E7BC8">
              <w:rPr>
                <w:rFonts w:ascii="微軟正黑體" w:eastAsia="微軟正黑體" w:hAnsi="微軟正黑體" w:hint="eastAsia"/>
                <w:color w:val="000000" w:themeColor="text1"/>
              </w:rPr>
              <w:lastRenderedPageBreak/>
              <w:t>者，亦屬之。</w:t>
            </w:r>
          </w:p>
          <w:p w14:paraId="553775C7" w14:textId="77777777" w:rsidR="00514B1F" w:rsidRPr="009E7BC8" w:rsidRDefault="00C96766"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2、</w:t>
            </w:r>
            <w:r w:rsidR="00514B1F" w:rsidRPr="009E7BC8">
              <w:rPr>
                <w:rFonts w:ascii="微軟正黑體" w:eastAsia="微軟正黑體" w:hAnsi="微軟正黑體" w:hint="eastAsia"/>
                <w:color w:val="000000" w:themeColor="text1"/>
              </w:rPr>
              <w:t>有關款劵交割結算及保管等作業，係由買受人依國外市場之相關法令、規章及交易慣例與外國金融機構直接為之，</w:t>
            </w:r>
            <w:r w:rsidR="00072698" w:rsidRPr="009E7BC8">
              <w:rPr>
                <w:rFonts w:ascii="微軟正黑體" w:eastAsia="微軟正黑體" w:hAnsi="微軟正黑體" w:hint="eastAsia"/>
                <w:color w:val="000000" w:themeColor="text1"/>
              </w:rPr>
              <w:t>公司</w:t>
            </w:r>
            <w:r w:rsidR="00514B1F" w:rsidRPr="009E7BC8">
              <w:rPr>
                <w:rFonts w:ascii="微軟正黑體" w:eastAsia="微軟正黑體" w:hAnsi="微軟正黑體" w:hint="eastAsia"/>
                <w:color w:val="000000" w:themeColor="text1"/>
              </w:rPr>
              <w:t>並不涉入。</w:t>
            </w:r>
          </w:p>
          <w:p w14:paraId="4BAE2A96" w14:textId="77777777" w:rsidR="00514B1F" w:rsidRPr="009E7BC8" w:rsidRDefault="00C96766" w:rsidP="00C96766">
            <w:pPr>
              <w:spacing w:line="400" w:lineRule="atLeast"/>
              <w:ind w:leftChars="200" w:left="840" w:hangingChars="150" w:hanging="36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3、</w:t>
            </w:r>
            <w:r w:rsidR="00072698" w:rsidRPr="009E7BC8">
              <w:rPr>
                <w:rFonts w:ascii="微軟正黑體" w:eastAsia="微軟正黑體" w:hAnsi="微軟正黑體" w:hint="eastAsia"/>
                <w:color w:val="000000" w:themeColor="text1"/>
              </w:rPr>
              <w:t>公司或</w:t>
            </w:r>
            <w:r w:rsidR="00514B1F" w:rsidRPr="009E7BC8">
              <w:rPr>
                <w:rFonts w:ascii="微軟正黑體" w:eastAsia="微軟正黑體" w:hAnsi="微軟正黑體" w:hint="eastAsia"/>
                <w:color w:val="000000" w:themeColor="text1"/>
              </w:rPr>
              <w:t>外國金融機構按月編製之對帳單應分送買受人查對。</w:t>
            </w:r>
          </w:p>
          <w:p w14:paraId="73A4876B" w14:textId="77777777" w:rsidR="00514B1F" w:rsidRPr="009E7BC8" w:rsidRDefault="00514B1F" w:rsidP="00C96766">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四</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外國金融機構與買受人雙方間有關外國債券買賣未盡事宜，公司應從旁協助。</w:t>
            </w:r>
          </w:p>
          <w:p w14:paraId="09EC064A" w14:textId="77777777" w:rsidR="00514B1F" w:rsidRPr="009E7BC8" w:rsidRDefault="00514B1F" w:rsidP="00967E76">
            <w:pPr>
              <w:spacing w:beforeLines="50" w:before="120" w:line="400" w:lineRule="atLeast"/>
              <w:ind w:right="28"/>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五</w:t>
            </w:r>
            <w:r w:rsidR="00C96766" w:rsidRPr="009E7BC8">
              <w:rPr>
                <w:rFonts w:ascii="微軟正黑體" w:eastAsia="微軟正黑體" w:hAnsi="微軟正黑體" w:hint="eastAsia"/>
                <w:color w:val="000000" w:themeColor="text1"/>
              </w:rPr>
              <w:t>、</w:t>
            </w:r>
            <w:r w:rsidRPr="009E7BC8">
              <w:rPr>
                <w:rFonts w:ascii="微軟正黑體" w:eastAsia="微軟正黑體" w:hAnsi="微軟正黑體" w:hint="eastAsia"/>
                <w:color w:val="000000" w:themeColor="text1"/>
              </w:rPr>
              <w:t>申報作業：</w:t>
            </w:r>
          </w:p>
          <w:p w14:paraId="3EBA0672" w14:textId="77777777" w:rsidR="00514B1F" w:rsidRPr="009E7BC8" w:rsidRDefault="00514B1F" w:rsidP="00C96766">
            <w:pPr>
              <w:spacing w:line="400" w:lineRule="atLeast"/>
              <w:ind w:leftChars="200" w:left="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公司</w:t>
            </w:r>
            <w:r w:rsidR="00072698" w:rsidRPr="009E7BC8">
              <w:rPr>
                <w:rFonts w:ascii="微軟正黑體" w:eastAsia="微軟正黑體" w:hAnsi="微軟正黑體" w:hint="eastAsia"/>
                <w:color w:val="000000" w:themeColor="text1"/>
              </w:rPr>
              <w:t>除應於交易確定日向券商公會申報本項業務營業日報表外，應於每月營業終了後</w:t>
            </w:r>
            <w:r w:rsidR="009130B8" w:rsidRPr="009E7BC8">
              <w:rPr>
                <w:rFonts w:ascii="微軟正黑體" w:eastAsia="微軟正黑體" w:hAnsi="微軟正黑體" w:hint="eastAsia"/>
                <w:color w:val="000000" w:themeColor="text1"/>
              </w:rPr>
              <w:t>十</w:t>
            </w:r>
            <w:r w:rsidR="00072698" w:rsidRPr="009E7BC8">
              <w:rPr>
                <w:rFonts w:ascii="微軟正黑體" w:eastAsia="微軟正黑體" w:hAnsi="微軟正黑體" w:hint="eastAsia"/>
                <w:color w:val="000000" w:themeColor="text1"/>
              </w:rPr>
              <w:t>日內向券商公會申報本項業務之營業月報表</w:t>
            </w:r>
            <w:r w:rsidRPr="009E7BC8">
              <w:rPr>
                <w:rFonts w:ascii="微軟正黑體" w:eastAsia="微軟正黑體" w:hAnsi="微軟正黑體" w:hint="eastAsia"/>
                <w:color w:val="000000" w:themeColor="text1"/>
              </w:rPr>
              <w:t>，並由券商公會彙報證券及外匯主管機關。</w:t>
            </w:r>
          </w:p>
          <w:p w14:paraId="01961AC9"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768E3C8D"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49B5DB85"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60B34AB7"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594640AC"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772BD96D"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68412DB8"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2783E741"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0A4B6250" w14:textId="77777777" w:rsidR="00D21CD1" w:rsidRPr="009E7BC8" w:rsidRDefault="00D21CD1" w:rsidP="00C96766">
            <w:pPr>
              <w:spacing w:line="400" w:lineRule="atLeast"/>
              <w:ind w:leftChars="200" w:left="480"/>
              <w:rPr>
                <w:rFonts w:ascii="微軟正黑體" w:eastAsia="微軟正黑體" w:hAnsi="微軟正黑體"/>
                <w:color w:val="000000" w:themeColor="text1"/>
              </w:rPr>
            </w:pPr>
          </w:p>
          <w:p w14:paraId="248DAB7B" w14:textId="77777777" w:rsidR="00514B1F" w:rsidRPr="009E7BC8" w:rsidRDefault="00C96766" w:rsidP="00967E76">
            <w:pPr>
              <w:spacing w:before="12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一、</w:t>
            </w:r>
            <w:r w:rsidR="00514B1F" w:rsidRPr="009E7BC8">
              <w:rPr>
                <w:rFonts w:ascii="微軟正黑體" w:eastAsia="微軟正黑體" w:hAnsi="微軟正黑體" w:hint="eastAsia"/>
                <w:color w:val="000000" w:themeColor="text1"/>
              </w:rPr>
              <w:t>買受人或外國金融機構不如期履行交割，不以交割款項或交割債券相互交付者，即為違約。公司應依與買受人簽署之書面文件中關於交割違約之處理事項，協助買受人或外國金融機構處理有關事宜。</w:t>
            </w:r>
          </w:p>
          <w:p w14:paraId="69F84D12" w14:textId="77777777" w:rsidR="00514B1F" w:rsidRPr="009E7BC8" w:rsidRDefault="00C96766" w:rsidP="00C96766">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w:t>
            </w:r>
            <w:r w:rsidR="00514B1F" w:rsidRPr="009E7BC8">
              <w:rPr>
                <w:rFonts w:ascii="微軟正黑體" w:eastAsia="微軟正黑體" w:hAnsi="微軟正黑體" w:hint="eastAsia"/>
                <w:color w:val="000000" w:themeColor="text1"/>
              </w:rPr>
              <w:t>公司對於違約情事及其處理情形，應即函報主管機關及券商公會備查。</w:t>
            </w:r>
          </w:p>
          <w:p w14:paraId="75B19F00" w14:textId="77777777" w:rsidR="00514B1F" w:rsidRPr="009E7BC8" w:rsidRDefault="00C96766" w:rsidP="00C96766">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三、</w:t>
            </w:r>
            <w:r w:rsidR="00514B1F" w:rsidRPr="009E7BC8">
              <w:rPr>
                <w:rFonts w:ascii="微軟正黑體" w:eastAsia="微軟正黑體" w:hAnsi="微軟正黑體" w:hint="eastAsia"/>
                <w:color w:val="000000" w:themeColor="text1"/>
              </w:rPr>
              <w:t>為強調代理買賣之買受人與外國金融機構間係為一段式之法律關係，並避免爭議，公司應於與買受人簽署之書面文件中加註類似下列文字之風險警語：「代理買賣法律關係之當事人為買受人與外國金融機構，且買受人之帳戶係開設於海外，如有任何糾紛產生時，證券商係以外國金融機構代理人之地位代為協助處理相關事項，買受人應依當地國及其市場規範處理雙方之糾紛。」</w:t>
            </w:r>
          </w:p>
          <w:p w14:paraId="3A2DBFAE" w14:textId="77777777" w:rsidR="00514B1F" w:rsidRPr="009E7BC8" w:rsidRDefault="00514B1F">
            <w:pPr>
              <w:pStyle w:val="a9"/>
              <w:spacing w:line="400" w:lineRule="atLeast"/>
              <w:ind w:left="480"/>
              <w:rPr>
                <w:rFonts w:ascii="微軟正黑體" w:eastAsia="微軟正黑體" w:hAnsi="微軟正黑體"/>
                <w:color w:val="000000" w:themeColor="text1"/>
              </w:rPr>
            </w:pPr>
          </w:p>
          <w:p w14:paraId="081F59A5"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35BEC3D7"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726BF215"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32330DCF"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6BA5938A"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4A1A1110" w14:textId="77777777" w:rsidR="00D21CD1" w:rsidRPr="009E7BC8" w:rsidRDefault="00D21CD1" w:rsidP="00C96766">
            <w:pPr>
              <w:pStyle w:val="a9"/>
              <w:spacing w:before="60" w:line="400" w:lineRule="atLeast"/>
              <w:rPr>
                <w:rFonts w:ascii="微軟正黑體" w:eastAsia="微軟正黑體" w:hAnsi="微軟正黑體"/>
                <w:color w:val="000000" w:themeColor="text1"/>
              </w:rPr>
            </w:pPr>
          </w:p>
          <w:p w14:paraId="650D7D6F" w14:textId="77777777" w:rsidR="006F0613" w:rsidRPr="009E7BC8" w:rsidRDefault="006F0613" w:rsidP="00967E76">
            <w:pPr>
              <w:spacing w:before="12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lastRenderedPageBreak/>
              <w:t>一、公司經營本項業務，向外國金融機構收取之服務費收入，應於會計帳上載明。</w:t>
            </w:r>
          </w:p>
          <w:p w14:paraId="5191F75F" w14:textId="77777777" w:rsidR="00514B1F" w:rsidRPr="009E7BC8" w:rsidRDefault="006F0613" w:rsidP="005E387E">
            <w:pPr>
              <w:spacing w:before="10" w:line="400" w:lineRule="atLeast"/>
              <w:ind w:left="480" w:right="28" w:hangingChars="200" w:hanging="480"/>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二、公司經營經紀業務收取經紀手續費，權責單位應定期審視經紀手續費率及折讓定價政策內容，適時檢討修正，定期向董事會報告。</w:t>
            </w:r>
          </w:p>
        </w:tc>
        <w:tc>
          <w:tcPr>
            <w:tcW w:w="3119" w:type="dxa"/>
          </w:tcPr>
          <w:p w14:paraId="67CBCE80" w14:textId="77777777" w:rsidR="009130B8" w:rsidRPr="009E7BC8" w:rsidRDefault="009130B8">
            <w:pPr>
              <w:spacing w:before="120" w:line="400" w:lineRule="atLeast"/>
              <w:jc w:val="both"/>
              <w:rPr>
                <w:rFonts w:ascii="微軟正黑體" w:eastAsia="微軟正黑體" w:hAnsi="微軟正黑體"/>
                <w:color w:val="000000" w:themeColor="text1"/>
              </w:rPr>
            </w:pPr>
          </w:p>
          <w:p w14:paraId="10BE0049" w14:textId="77777777" w:rsidR="009130B8" w:rsidRPr="009E7BC8" w:rsidRDefault="009130B8">
            <w:pPr>
              <w:spacing w:before="120" w:line="400" w:lineRule="atLeast"/>
              <w:jc w:val="both"/>
              <w:rPr>
                <w:rFonts w:ascii="微軟正黑體" w:eastAsia="微軟正黑體" w:hAnsi="微軟正黑體"/>
                <w:color w:val="000000" w:themeColor="text1"/>
              </w:rPr>
            </w:pPr>
          </w:p>
          <w:p w14:paraId="641DA6B1" w14:textId="77777777" w:rsidR="009130B8" w:rsidRPr="009E7BC8" w:rsidRDefault="009130B8" w:rsidP="00CF386B">
            <w:pPr>
              <w:spacing w:before="120" w:afterLines="50" w:after="120" w:line="400" w:lineRule="atLeast"/>
              <w:jc w:val="both"/>
              <w:rPr>
                <w:rFonts w:ascii="微軟正黑體" w:eastAsia="微軟正黑體" w:hAnsi="微軟正黑體"/>
                <w:color w:val="000000" w:themeColor="text1"/>
              </w:rPr>
            </w:pPr>
          </w:p>
          <w:p w14:paraId="6090BAA7" w14:textId="77777777" w:rsidR="00514B1F" w:rsidRPr="009E7BC8" w:rsidRDefault="00514B1F">
            <w:pPr>
              <w:spacing w:before="120" w:line="400" w:lineRule="atLeast"/>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法令規章：</w:t>
            </w:r>
          </w:p>
          <w:p w14:paraId="2B557727" w14:textId="77777777" w:rsidR="00D81BB2" w:rsidRPr="009E7BC8" w:rsidRDefault="00514B1F">
            <w:pPr>
              <w:spacing w:line="400" w:lineRule="atLeast"/>
              <w:ind w:left="463" w:hanging="480"/>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一、</w:t>
            </w:r>
            <w:r w:rsidR="00D81BB2" w:rsidRPr="009E7BC8">
              <w:rPr>
                <w:rFonts w:ascii="微軟正黑體" w:eastAsia="微軟正黑體" w:hAnsi="微軟正黑體" w:hint="eastAsia"/>
                <w:color w:val="000000" w:themeColor="text1"/>
              </w:rPr>
              <w:t>證券商設置標準第14條</w:t>
            </w:r>
          </w:p>
          <w:p w14:paraId="08C8EEE2" w14:textId="77777777" w:rsidR="00D81BB2" w:rsidRPr="009E7BC8" w:rsidRDefault="00D81BB2">
            <w:pPr>
              <w:spacing w:line="400" w:lineRule="atLeast"/>
              <w:ind w:left="463" w:hanging="480"/>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二、中央銀行證券業辦理外匯業務管理辦法第</w:t>
            </w:r>
            <w:r w:rsidRPr="009E7BC8">
              <w:rPr>
                <w:rFonts w:ascii="微軟正黑體" w:eastAsia="微軟正黑體" w:hAnsi="微軟正黑體"/>
                <w:color w:val="000000" w:themeColor="text1"/>
              </w:rPr>
              <w:t>1</w:t>
            </w:r>
            <w:r w:rsidR="009964CE" w:rsidRPr="009E7BC8">
              <w:rPr>
                <w:rFonts w:ascii="微軟正黑體" w:eastAsia="微軟正黑體" w:hAnsi="微軟正黑體" w:hint="eastAsia"/>
                <w:color w:val="000000" w:themeColor="text1"/>
              </w:rPr>
              <w:t>8</w:t>
            </w:r>
            <w:r w:rsidRPr="009E7BC8">
              <w:rPr>
                <w:rFonts w:ascii="微軟正黑體" w:eastAsia="微軟正黑體" w:hAnsi="微軟正黑體" w:hint="eastAsia"/>
                <w:color w:val="000000" w:themeColor="text1"/>
              </w:rPr>
              <w:t>條</w:t>
            </w:r>
          </w:p>
          <w:p w14:paraId="1F81142B" w14:textId="77777777" w:rsidR="00514B1F" w:rsidRPr="009E7BC8" w:rsidRDefault="00D81BB2">
            <w:pPr>
              <w:spacing w:line="400" w:lineRule="atLeast"/>
              <w:ind w:left="463" w:hanging="480"/>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三、金融監督管理委員會</w:t>
            </w:r>
            <w:r w:rsidRPr="009E7BC8">
              <w:rPr>
                <w:rFonts w:ascii="微軟正黑體" w:eastAsia="微軟正黑體" w:hAnsi="微軟正黑體"/>
                <w:color w:val="000000" w:themeColor="text1"/>
              </w:rPr>
              <w:t>103</w:t>
            </w:r>
            <w:r w:rsidRPr="009E7BC8">
              <w:rPr>
                <w:rFonts w:ascii="微軟正黑體" w:eastAsia="微軟正黑體" w:hAnsi="微軟正黑體" w:hint="eastAsia"/>
                <w:color w:val="000000" w:themeColor="text1"/>
              </w:rPr>
              <w:t>年</w:t>
            </w:r>
            <w:r w:rsidRPr="009E7BC8">
              <w:rPr>
                <w:rFonts w:ascii="微軟正黑體" w:eastAsia="微軟正黑體" w:hAnsi="微軟正黑體"/>
                <w:color w:val="000000" w:themeColor="text1"/>
              </w:rPr>
              <w:t>1</w:t>
            </w:r>
            <w:r w:rsidRPr="009E7BC8">
              <w:rPr>
                <w:rFonts w:ascii="微軟正黑體" w:eastAsia="微軟正黑體" w:hAnsi="微軟正黑體" w:hint="eastAsia"/>
                <w:color w:val="000000" w:themeColor="text1"/>
              </w:rPr>
              <w:t>月</w:t>
            </w:r>
            <w:r w:rsidRPr="009E7BC8">
              <w:rPr>
                <w:rFonts w:ascii="微軟正黑體" w:eastAsia="微軟正黑體" w:hAnsi="微軟正黑體"/>
                <w:color w:val="000000" w:themeColor="text1"/>
              </w:rPr>
              <w:t>28</w:t>
            </w:r>
            <w:r w:rsidRPr="009E7BC8">
              <w:rPr>
                <w:rFonts w:ascii="微軟正黑體" w:eastAsia="微軟正黑體" w:hAnsi="微軟正黑體" w:hint="eastAsia"/>
                <w:color w:val="000000" w:themeColor="text1"/>
              </w:rPr>
              <w:t>日金管證券字第</w:t>
            </w:r>
            <w:r w:rsidRPr="009E7BC8">
              <w:rPr>
                <w:rFonts w:ascii="微軟正黑體" w:eastAsia="微軟正黑體" w:hAnsi="微軟正黑體"/>
                <w:color w:val="000000" w:themeColor="text1"/>
              </w:rPr>
              <w:t>1030001431</w:t>
            </w:r>
            <w:r w:rsidRPr="009E7BC8">
              <w:rPr>
                <w:rFonts w:ascii="微軟正黑體" w:eastAsia="微軟正黑體" w:hAnsi="微軟正黑體" w:hint="eastAsia"/>
                <w:color w:val="000000" w:themeColor="text1"/>
              </w:rPr>
              <w:t>號令</w:t>
            </w:r>
          </w:p>
          <w:p w14:paraId="35EF74B6" w14:textId="77777777" w:rsidR="00514B1F" w:rsidRPr="009E7BC8" w:rsidRDefault="00D81BB2" w:rsidP="00250089">
            <w:pPr>
              <w:spacing w:line="400" w:lineRule="atLeast"/>
              <w:ind w:left="463" w:hanging="463"/>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四</w:t>
            </w:r>
            <w:r w:rsidR="00514B1F" w:rsidRPr="009E7BC8">
              <w:rPr>
                <w:rFonts w:ascii="微軟正黑體" w:eastAsia="微軟正黑體" w:hAnsi="微軟正黑體" w:hint="eastAsia"/>
                <w:color w:val="000000" w:themeColor="text1"/>
              </w:rPr>
              <w:t>、</w:t>
            </w:r>
            <w:r w:rsidR="00250089" w:rsidRPr="009E7BC8">
              <w:rPr>
                <w:rFonts w:ascii="微軟正黑體" w:eastAsia="微軟正黑體" w:hAnsi="微軟正黑體" w:hint="eastAsia"/>
                <w:color w:val="000000" w:themeColor="text1"/>
              </w:rPr>
              <w:t>金管會</w:t>
            </w:r>
            <w:r w:rsidR="00250089" w:rsidRPr="009E7BC8">
              <w:rPr>
                <w:rFonts w:ascii="微軟正黑體" w:eastAsia="微軟正黑體" w:hAnsi="微軟正黑體"/>
                <w:color w:val="000000" w:themeColor="text1"/>
              </w:rPr>
              <w:t>104</w:t>
            </w:r>
            <w:r w:rsidR="00250089" w:rsidRPr="009E7BC8">
              <w:rPr>
                <w:rFonts w:ascii="微軟正黑體" w:eastAsia="微軟正黑體" w:hAnsi="微軟正黑體" w:hint="eastAsia"/>
                <w:color w:val="000000" w:themeColor="text1"/>
              </w:rPr>
              <w:t>年</w:t>
            </w:r>
            <w:r w:rsidR="00250089" w:rsidRPr="009E7BC8">
              <w:rPr>
                <w:rFonts w:ascii="微軟正黑體" w:eastAsia="微軟正黑體" w:hAnsi="微軟正黑體"/>
                <w:color w:val="000000" w:themeColor="text1"/>
              </w:rPr>
              <w:t>4</w:t>
            </w:r>
            <w:r w:rsidR="00250089" w:rsidRPr="009E7BC8">
              <w:rPr>
                <w:rFonts w:ascii="微軟正黑體" w:eastAsia="微軟正黑體" w:hAnsi="微軟正黑體" w:hint="eastAsia"/>
                <w:color w:val="000000" w:themeColor="text1"/>
              </w:rPr>
              <w:t>月</w:t>
            </w:r>
            <w:r w:rsidR="00250089" w:rsidRPr="009E7BC8">
              <w:rPr>
                <w:rFonts w:ascii="微軟正黑體" w:eastAsia="微軟正黑體" w:hAnsi="微軟正黑體"/>
                <w:color w:val="000000" w:themeColor="text1"/>
              </w:rPr>
              <w:t>10</w:t>
            </w:r>
            <w:r w:rsidR="00250089" w:rsidRPr="009E7BC8">
              <w:rPr>
                <w:rFonts w:ascii="微軟正黑體" w:eastAsia="微軟正黑體" w:hAnsi="微軟正黑體" w:hint="eastAsia"/>
                <w:color w:val="000000" w:themeColor="text1"/>
              </w:rPr>
              <w:t>日金管證券字第</w:t>
            </w:r>
            <w:r w:rsidR="00250089" w:rsidRPr="009E7BC8">
              <w:rPr>
                <w:rFonts w:ascii="微軟正黑體" w:eastAsia="微軟正黑體" w:hAnsi="微軟正黑體"/>
                <w:color w:val="000000" w:themeColor="text1"/>
              </w:rPr>
              <w:t>1040009045</w:t>
            </w:r>
            <w:r w:rsidR="00250089" w:rsidRPr="009E7BC8">
              <w:rPr>
                <w:rFonts w:ascii="微軟正黑體" w:eastAsia="微軟正黑體" w:hAnsi="微軟正黑體" w:hint="eastAsia"/>
                <w:color w:val="000000" w:themeColor="text1"/>
              </w:rPr>
              <w:t>號函</w:t>
            </w:r>
          </w:p>
          <w:p w14:paraId="3E5D41B5" w14:textId="78B5F8A4" w:rsidR="005E387E" w:rsidRDefault="0014417B" w:rsidP="00250089">
            <w:pPr>
              <w:spacing w:line="400" w:lineRule="atLeast"/>
              <w:ind w:left="463" w:hanging="463"/>
              <w:jc w:val="both"/>
              <w:rPr>
                <w:rFonts w:ascii="微軟正黑體" w:eastAsia="微軟正黑體" w:hAnsi="微軟正黑體"/>
                <w:color w:val="000000" w:themeColor="text1"/>
              </w:rPr>
            </w:pPr>
            <w:r w:rsidRPr="009E7BC8">
              <w:rPr>
                <w:rFonts w:ascii="微軟正黑體" w:eastAsia="微軟正黑體" w:hAnsi="微軟正黑體" w:hint="eastAsia"/>
                <w:color w:val="000000" w:themeColor="text1"/>
              </w:rPr>
              <w:t>五</w:t>
            </w:r>
            <w:r w:rsidR="005E387E" w:rsidRPr="009E7BC8">
              <w:rPr>
                <w:rFonts w:ascii="微軟正黑體" w:eastAsia="微軟正黑體" w:hAnsi="微軟正黑體" w:hint="eastAsia"/>
                <w:color w:val="000000" w:themeColor="text1"/>
              </w:rPr>
              <w:t>、金管會</w:t>
            </w:r>
            <w:r w:rsidR="002E300E" w:rsidRPr="009E7BC8">
              <w:rPr>
                <w:rFonts w:ascii="微軟正黑體" w:eastAsia="微軟正黑體" w:hAnsi="微軟正黑體"/>
                <w:color w:val="000000" w:themeColor="text1"/>
              </w:rPr>
              <w:t>106</w:t>
            </w:r>
            <w:r w:rsidR="002E300E" w:rsidRPr="009E7BC8">
              <w:rPr>
                <w:rFonts w:ascii="微軟正黑體" w:eastAsia="微軟正黑體" w:hAnsi="微軟正黑體" w:hint="eastAsia"/>
                <w:color w:val="000000" w:themeColor="text1"/>
              </w:rPr>
              <w:t>年</w:t>
            </w:r>
            <w:r w:rsidR="002E300E" w:rsidRPr="009E7BC8">
              <w:rPr>
                <w:rFonts w:ascii="微軟正黑體" w:eastAsia="微軟正黑體" w:hAnsi="微軟正黑體"/>
                <w:color w:val="000000" w:themeColor="text1"/>
              </w:rPr>
              <w:t>11</w:t>
            </w:r>
            <w:r w:rsidR="002E300E" w:rsidRPr="009E7BC8">
              <w:rPr>
                <w:rFonts w:ascii="微軟正黑體" w:eastAsia="微軟正黑體" w:hAnsi="微軟正黑體" w:hint="eastAsia"/>
                <w:color w:val="000000" w:themeColor="text1"/>
              </w:rPr>
              <w:t>月</w:t>
            </w:r>
            <w:r w:rsidR="002E300E" w:rsidRPr="009E7BC8">
              <w:rPr>
                <w:rFonts w:ascii="微軟正黑體" w:eastAsia="微軟正黑體" w:hAnsi="微軟正黑體"/>
                <w:color w:val="000000" w:themeColor="text1"/>
              </w:rPr>
              <w:t>20</w:t>
            </w:r>
            <w:r w:rsidR="002E300E" w:rsidRPr="009E7BC8">
              <w:rPr>
                <w:rFonts w:ascii="微軟正黑體" w:eastAsia="微軟正黑體" w:hAnsi="微軟正黑體" w:hint="eastAsia"/>
                <w:color w:val="000000" w:themeColor="text1"/>
              </w:rPr>
              <w:t>日金管證券字第</w:t>
            </w:r>
            <w:r w:rsidR="002E300E" w:rsidRPr="009E7BC8">
              <w:rPr>
                <w:rFonts w:ascii="微軟正黑體" w:eastAsia="微軟正黑體" w:hAnsi="微軟正黑體"/>
                <w:color w:val="000000" w:themeColor="text1"/>
              </w:rPr>
              <w:t>1060041459</w:t>
            </w:r>
            <w:r w:rsidR="002E300E" w:rsidRPr="009E7BC8">
              <w:rPr>
                <w:rFonts w:ascii="微軟正黑體" w:eastAsia="微軟正黑體" w:hAnsi="微軟正黑體" w:hint="eastAsia"/>
                <w:color w:val="000000" w:themeColor="text1"/>
              </w:rPr>
              <w:t>號令</w:t>
            </w:r>
          </w:p>
          <w:p w14:paraId="7810A45C" w14:textId="10A91C8F" w:rsidR="00B251B1" w:rsidRPr="00B251B1" w:rsidRDefault="00B251B1" w:rsidP="00250089">
            <w:pPr>
              <w:spacing w:line="400" w:lineRule="atLeast"/>
              <w:ind w:left="463" w:hanging="463"/>
              <w:jc w:val="both"/>
              <w:rPr>
                <w:rFonts w:ascii="微軟正黑體" w:eastAsia="微軟正黑體" w:hAnsi="微軟正黑體" w:hint="eastAsia"/>
                <w:color w:val="FF0000"/>
                <w:u w:val="single"/>
              </w:rPr>
            </w:pPr>
            <w:r w:rsidRPr="00B251B1">
              <w:rPr>
                <w:rFonts w:ascii="微軟正黑體" w:eastAsia="微軟正黑體" w:hAnsi="微軟正黑體" w:hint="eastAsia"/>
                <w:color w:val="FF0000"/>
                <w:u w:val="single"/>
              </w:rPr>
              <w:t>六</w:t>
            </w:r>
            <w:r w:rsidRPr="00B251B1">
              <w:rPr>
                <w:rFonts w:ascii="微軟正黑體" w:eastAsia="微軟正黑體" w:hAnsi="微軟正黑體" w:hint="eastAsia"/>
                <w:color w:val="FF0000"/>
                <w:u w:val="single"/>
              </w:rPr>
              <w:t>、金管會</w:t>
            </w:r>
            <w:r w:rsidRPr="00B251B1">
              <w:rPr>
                <w:rFonts w:ascii="微軟正黑體" w:eastAsia="微軟正黑體" w:hAnsi="微軟正黑體" w:hint="eastAsia"/>
                <w:color w:val="FF0000"/>
                <w:spacing w:val="8"/>
                <w:szCs w:val="24"/>
                <w:u w:val="single"/>
                <w:lang w:val="es-ES_tradnl"/>
              </w:rPr>
              <w:t>109年12月28日金管證券字第</w:t>
            </w:r>
            <w:r w:rsidRPr="00B251B1">
              <w:rPr>
                <w:rFonts w:ascii="微軟正黑體" w:eastAsia="微軟正黑體" w:hAnsi="微軟正黑體" w:hint="eastAsia"/>
                <w:color w:val="FF0000"/>
                <w:spacing w:val="8"/>
                <w:szCs w:val="24"/>
                <w:u w:val="single"/>
                <w:lang w:val="es-ES_tradnl"/>
              </w:rPr>
              <w:lastRenderedPageBreak/>
              <w:t>1090366019號令</w:t>
            </w:r>
          </w:p>
          <w:p w14:paraId="1AAEA38F" w14:textId="77777777" w:rsidR="00514B1F" w:rsidRPr="009E7BC8" w:rsidRDefault="00514B1F" w:rsidP="00C400CD">
            <w:pPr>
              <w:spacing w:before="60" w:line="400" w:lineRule="atLeast"/>
              <w:ind w:left="584" w:hanging="584"/>
              <w:jc w:val="both"/>
              <w:rPr>
                <w:rFonts w:ascii="微軟正黑體" w:eastAsia="微軟正黑體" w:hAnsi="微軟正黑體"/>
                <w:color w:val="000000" w:themeColor="text1"/>
                <w:spacing w:val="24"/>
              </w:rPr>
            </w:pPr>
            <w:r w:rsidRPr="009E7BC8">
              <w:rPr>
                <w:rFonts w:ascii="微軟正黑體" w:eastAsia="微軟正黑體" w:hAnsi="微軟正黑體" w:hint="eastAsia"/>
                <w:color w:val="000000" w:themeColor="text1"/>
                <w:spacing w:val="24"/>
              </w:rPr>
              <w:t>註：</w:t>
            </w:r>
            <w:r w:rsidRPr="009E7BC8">
              <w:rPr>
                <w:rFonts w:ascii="微軟正黑體" w:eastAsia="微軟正黑體" w:hAnsi="微軟正黑體" w:hint="eastAsia"/>
                <w:color w:val="000000" w:themeColor="text1"/>
              </w:rPr>
              <w:t>代理買賣之買受人與外國金融機構間係為一段式之法律關係，</w:t>
            </w:r>
            <w:r w:rsidR="00C400CD" w:rsidRPr="009E7BC8">
              <w:rPr>
                <w:rFonts w:ascii="微軟正黑體" w:eastAsia="微軟正黑體" w:hAnsi="微軟正黑體" w:hint="eastAsia"/>
                <w:color w:val="000000" w:themeColor="text1"/>
              </w:rPr>
              <w:t>公司</w:t>
            </w:r>
            <w:r w:rsidRPr="009E7BC8">
              <w:rPr>
                <w:rFonts w:ascii="微軟正黑體" w:eastAsia="微軟正黑體" w:hAnsi="微軟正黑體" w:hint="eastAsia"/>
                <w:color w:val="000000" w:themeColor="text1"/>
              </w:rPr>
              <w:t>之角色係受外國金融機構委託代理其處理債券買賣相關事宜，因此，實際買賣之法律關係係存在於買受人與國外金融機構間。</w:t>
            </w:r>
          </w:p>
        </w:tc>
      </w:tr>
    </w:tbl>
    <w:p w14:paraId="0714914E" w14:textId="77777777" w:rsidR="00514B1F" w:rsidRPr="009E7BC8" w:rsidRDefault="00514B1F">
      <w:pPr>
        <w:spacing w:line="400" w:lineRule="atLeast"/>
        <w:rPr>
          <w:rFonts w:ascii="微軟正黑體" w:eastAsia="微軟正黑體" w:hAnsi="微軟正黑體"/>
          <w:color w:val="000000" w:themeColor="text1"/>
          <w:spacing w:val="24"/>
        </w:rPr>
      </w:pPr>
    </w:p>
    <w:sectPr w:rsidR="00514B1F" w:rsidRPr="009E7BC8">
      <w:headerReference w:type="default" r:id="rId8"/>
      <w:footerReference w:type="even" r:id="rId9"/>
      <w:footerReference w:type="default" r:id="rId10"/>
      <w:pgSz w:w="16840" w:h="11907" w:orient="landscape" w:code="9"/>
      <w:pgMar w:top="1418" w:right="1418" w:bottom="1418" w:left="1418" w:header="851" w:footer="992"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8172" w14:textId="77777777" w:rsidR="0017149D" w:rsidRDefault="0017149D">
      <w:pPr>
        <w:spacing w:line="240" w:lineRule="auto"/>
      </w:pPr>
      <w:r>
        <w:separator/>
      </w:r>
    </w:p>
  </w:endnote>
  <w:endnote w:type="continuationSeparator" w:id="0">
    <w:p w14:paraId="6CC0CB69" w14:textId="77777777" w:rsidR="0017149D" w:rsidRDefault="00171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AD48" w14:textId="77777777" w:rsidR="00072698" w:rsidRDefault="000726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0074AD" w14:textId="77777777" w:rsidR="00072698" w:rsidRDefault="000726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0A3A" w14:textId="77777777" w:rsidR="00072698" w:rsidRDefault="000726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4417B">
      <w:rPr>
        <w:rStyle w:val="a6"/>
        <w:noProof/>
      </w:rPr>
      <w:t>1</w:t>
    </w:r>
    <w:r>
      <w:rPr>
        <w:rStyle w:val="a6"/>
      </w:rPr>
      <w:fldChar w:fldCharType="end"/>
    </w:r>
  </w:p>
  <w:p w14:paraId="67ED1E12" w14:textId="77777777" w:rsidR="00072698" w:rsidRDefault="0007269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56BD" w14:textId="77777777" w:rsidR="0017149D" w:rsidRDefault="0017149D">
      <w:pPr>
        <w:spacing w:line="240" w:lineRule="auto"/>
      </w:pPr>
      <w:r>
        <w:separator/>
      </w:r>
    </w:p>
  </w:footnote>
  <w:footnote w:type="continuationSeparator" w:id="0">
    <w:p w14:paraId="4ED54A22" w14:textId="77777777" w:rsidR="0017149D" w:rsidRDefault="001714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817B" w14:textId="581B88E1" w:rsidR="00072698" w:rsidRPr="001E528D" w:rsidRDefault="00072698">
    <w:pPr>
      <w:pStyle w:val="a4"/>
      <w:jc w:val="center"/>
      <w:rPr>
        <w:rFonts w:ascii="微軟正黑體" w:eastAsia="微軟正黑體" w:hAnsi="微軟正黑體"/>
        <w:b/>
        <w:sz w:val="28"/>
        <w:szCs w:val="28"/>
      </w:rPr>
    </w:pPr>
    <w:r w:rsidRPr="001E528D">
      <w:rPr>
        <w:rFonts w:ascii="微軟正黑體" w:eastAsia="微軟正黑體" w:hAnsi="微軟正黑體" w:hint="eastAsia"/>
        <w:b/>
        <w:sz w:val="32"/>
      </w:rPr>
      <w:t>證券商內部控制制度標準規範</w:t>
    </w:r>
    <w:r w:rsidRPr="001E528D">
      <w:rPr>
        <w:rFonts w:ascii="微軟正黑體" w:eastAsia="微軟正黑體" w:hAnsi="微軟正黑體"/>
        <w:b/>
        <w:sz w:val="32"/>
      </w:rPr>
      <w:t>—</w:t>
    </w:r>
    <w:r w:rsidRPr="001E528D">
      <w:rPr>
        <w:rFonts w:ascii="微軟正黑體" w:eastAsia="微軟正黑體" w:hAnsi="微軟正黑體" w:hint="eastAsia"/>
        <w:b/>
        <w:sz w:val="32"/>
      </w:rPr>
      <w:t>內部控制制度（代理買賣外國債券）</w:t>
    </w:r>
    <w:r w:rsidRPr="001E528D">
      <w:rPr>
        <w:rFonts w:ascii="微軟正黑體" w:eastAsia="微軟正黑體" w:hAnsi="微軟正黑體" w:hint="eastAsia"/>
        <w:b/>
        <w:color w:val="C00000"/>
        <w:sz w:val="32"/>
      </w:rPr>
      <w:t xml:space="preserve"> </w:t>
    </w:r>
    <w:r w:rsidRPr="001E528D">
      <w:rPr>
        <w:rFonts w:ascii="微軟正黑體" w:eastAsia="微軟正黑體" w:hAnsi="微軟正黑體" w:hint="eastAsia"/>
        <w:b/>
        <w:sz w:val="32"/>
      </w:rPr>
      <w:t xml:space="preserve">  </w:t>
    </w:r>
    <w:r w:rsidRPr="001E528D">
      <w:rPr>
        <w:rFonts w:ascii="微軟正黑體" w:eastAsia="微軟正黑體" w:hAnsi="微軟正黑體" w:hint="eastAsia"/>
        <w:b/>
        <w:color w:val="C00000"/>
        <w:sz w:val="28"/>
        <w:szCs w:val="28"/>
      </w:rPr>
      <w:t>1</w:t>
    </w:r>
    <w:r w:rsidR="00795F38">
      <w:rPr>
        <w:rFonts w:ascii="微軟正黑體" w:eastAsia="微軟正黑體" w:hAnsi="微軟正黑體" w:hint="eastAsia"/>
        <w:b/>
        <w:color w:val="C00000"/>
        <w:sz w:val="28"/>
        <w:szCs w:val="28"/>
      </w:rPr>
      <w:t>1</w:t>
    </w:r>
    <w:r w:rsidR="00C66213">
      <w:rPr>
        <w:rFonts w:ascii="微軟正黑體" w:eastAsia="微軟正黑體" w:hAnsi="微軟正黑體"/>
        <w:b/>
        <w:color w:val="C00000"/>
        <w:sz w:val="28"/>
        <w:szCs w:val="28"/>
      </w:rPr>
      <w:t>1</w:t>
    </w:r>
    <w:r w:rsidR="00795F38">
      <w:rPr>
        <w:rFonts w:ascii="微軟正黑體" w:eastAsia="微軟正黑體" w:hAnsi="微軟正黑體" w:hint="eastAsia"/>
        <w:b/>
        <w:color w:val="C00000"/>
        <w:sz w:val="28"/>
        <w:szCs w:val="28"/>
      </w:rPr>
      <w:t>年</w:t>
    </w:r>
    <w:r w:rsidR="00C66213">
      <w:rPr>
        <w:rFonts w:ascii="微軟正黑體" w:eastAsia="微軟正黑體" w:hAnsi="微軟正黑體"/>
        <w:b/>
        <w:color w:val="C00000"/>
        <w:sz w:val="28"/>
        <w:szCs w:val="28"/>
      </w:rPr>
      <w:t>6</w:t>
    </w:r>
    <w:r w:rsidR="00795F38">
      <w:rPr>
        <w:rFonts w:ascii="微軟正黑體" w:eastAsia="微軟正黑體" w:hAnsi="微軟正黑體" w:hint="eastAsia"/>
        <w:b/>
        <w:color w:val="C00000"/>
        <w:sz w:val="28"/>
        <w:szCs w:val="28"/>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430"/>
    <w:multiLevelType w:val="singleLevel"/>
    <w:tmpl w:val="33A0EF36"/>
    <w:lvl w:ilvl="0">
      <w:start w:val="1"/>
      <w:numFmt w:val="taiwaneseCountingThousand"/>
      <w:lvlText w:val="（%1）"/>
      <w:lvlJc w:val="left"/>
      <w:pPr>
        <w:tabs>
          <w:tab w:val="num" w:pos="1200"/>
        </w:tabs>
        <w:ind w:left="1200" w:hanging="720"/>
      </w:pPr>
      <w:rPr>
        <w:rFonts w:hint="eastAsia"/>
      </w:rPr>
    </w:lvl>
  </w:abstractNum>
  <w:abstractNum w:abstractNumId="1" w15:restartNumberingAfterBreak="0">
    <w:nsid w:val="3B9B6911"/>
    <w:multiLevelType w:val="singleLevel"/>
    <w:tmpl w:val="DD2A3E84"/>
    <w:lvl w:ilvl="0">
      <w:start w:val="1"/>
      <w:numFmt w:val="decimal"/>
      <w:lvlText w:val="%1."/>
      <w:lvlJc w:val="left"/>
      <w:pPr>
        <w:tabs>
          <w:tab w:val="num" w:pos="1561"/>
        </w:tabs>
        <w:ind w:left="1561" w:hanging="330"/>
      </w:pPr>
      <w:rPr>
        <w:rFonts w:ascii="新細明體" w:hAnsi="Times New Roman" w:hint="eastAsia"/>
        <w:sz w:val="24"/>
      </w:rPr>
    </w:lvl>
  </w:abstractNum>
  <w:abstractNum w:abstractNumId="2"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4" w15:restartNumberingAfterBreak="0">
    <w:nsid w:val="555F697C"/>
    <w:multiLevelType w:val="singleLevel"/>
    <w:tmpl w:val="00B2F9E6"/>
    <w:lvl w:ilvl="0">
      <w:start w:val="1"/>
      <w:numFmt w:val="taiwaneseCountingThousand"/>
      <w:lvlText w:val="（%1）"/>
      <w:lvlJc w:val="left"/>
      <w:pPr>
        <w:tabs>
          <w:tab w:val="num" w:pos="1200"/>
        </w:tabs>
        <w:ind w:left="1200" w:hanging="720"/>
      </w:pPr>
      <w:rPr>
        <w:rFonts w:hint="eastAsia"/>
      </w:rPr>
    </w:lvl>
  </w:abstractNum>
  <w:abstractNum w:abstractNumId="5" w15:restartNumberingAfterBreak="0">
    <w:nsid w:val="55D46CBF"/>
    <w:multiLevelType w:val="hybridMultilevel"/>
    <w:tmpl w:val="58BA5A76"/>
    <w:lvl w:ilvl="0" w:tplc="8CAAC760">
      <w:start w:val="1"/>
      <w:numFmt w:val="taiwaneseCountingThousand"/>
      <w:lvlText w:val="%1、"/>
      <w:lvlJc w:val="left"/>
      <w:pPr>
        <w:tabs>
          <w:tab w:val="num" w:pos="508"/>
        </w:tabs>
        <w:ind w:left="508" w:hanging="480"/>
      </w:pPr>
      <w:rPr>
        <w:rFonts w:hint="eastAsia"/>
      </w:rPr>
    </w:lvl>
    <w:lvl w:ilvl="1" w:tplc="61B021DE">
      <w:start w:val="1"/>
      <w:numFmt w:val="taiwaneseCountingThousand"/>
      <w:lvlText w:val="（%2）"/>
      <w:lvlJc w:val="left"/>
      <w:pPr>
        <w:tabs>
          <w:tab w:val="num" w:pos="1228"/>
        </w:tabs>
        <w:ind w:left="1228" w:hanging="720"/>
      </w:pPr>
      <w:rPr>
        <w:rFonts w:hint="eastAsia"/>
      </w:rPr>
    </w:lvl>
    <w:lvl w:ilvl="2" w:tplc="B8DEC44C">
      <w:start w:val="1"/>
      <w:numFmt w:val="decimal"/>
      <w:lvlText w:val="%3."/>
      <w:lvlJc w:val="left"/>
      <w:pPr>
        <w:tabs>
          <w:tab w:val="num" w:pos="1348"/>
        </w:tabs>
        <w:ind w:left="1348" w:hanging="360"/>
      </w:pPr>
      <w:rPr>
        <w:rFonts w:hint="eastAsia"/>
      </w:rPr>
    </w:lvl>
    <w:lvl w:ilvl="3" w:tplc="4B568238">
      <w:start w:val="1"/>
      <w:numFmt w:val="decimal"/>
      <w:lvlText w:val="(%4)"/>
      <w:lvlJc w:val="left"/>
      <w:pPr>
        <w:tabs>
          <w:tab w:val="num" w:pos="1828"/>
        </w:tabs>
        <w:ind w:left="1828" w:hanging="360"/>
      </w:pPr>
      <w:rPr>
        <w:rFonts w:hint="eastAsia"/>
      </w:rPr>
    </w:lvl>
    <w:lvl w:ilvl="4" w:tplc="2DE87156" w:tentative="1">
      <w:start w:val="1"/>
      <w:numFmt w:val="ideographTraditional"/>
      <w:lvlText w:val="%5、"/>
      <w:lvlJc w:val="left"/>
      <w:pPr>
        <w:tabs>
          <w:tab w:val="num" w:pos="2428"/>
        </w:tabs>
        <w:ind w:left="2428" w:hanging="480"/>
      </w:pPr>
    </w:lvl>
    <w:lvl w:ilvl="5" w:tplc="64FEC95C" w:tentative="1">
      <w:start w:val="1"/>
      <w:numFmt w:val="lowerRoman"/>
      <w:lvlText w:val="%6."/>
      <w:lvlJc w:val="right"/>
      <w:pPr>
        <w:tabs>
          <w:tab w:val="num" w:pos="2908"/>
        </w:tabs>
        <w:ind w:left="2908" w:hanging="480"/>
      </w:pPr>
    </w:lvl>
    <w:lvl w:ilvl="6" w:tplc="41DAB5B6" w:tentative="1">
      <w:start w:val="1"/>
      <w:numFmt w:val="decimal"/>
      <w:lvlText w:val="%7."/>
      <w:lvlJc w:val="left"/>
      <w:pPr>
        <w:tabs>
          <w:tab w:val="num" w:pos="3388"/>
        </w:tabs>
        <w:ind w:left="3388" w:hanging="480"/>
      </w:pPr>
    </w:lvl>
    <w:lvl w:ilvl="7" w:tplc="8E0000B8" w:tentative="1">
      <w:start w:val="1"/>
      <w:numFmt w:val="ideographTraditional"/>
      <w:lvlText w:val="%8、"/>
      <w:lvlJc w:val="left"/>
      <w:pPr>
        <w:tabs>
          <w:tab w:val="num" w:pos="3868"/>
        </w:tabs>
        <w:ind w:left="3868" w:hanging="480"/>
      </w:pPr>
    </w:lvl>
    <w:lvl w:ilvl="8" w:tplc="D3805254" w:tentative="1">
      <w:start w:val="1"/>
      <w:numFmt w:val="lowerRoman"/>
      <w:lvlText w:val="%9."/>
      <w:lvlJc w:val="right"/>
      <w:pPr>
        <w:tabs>
          <w:tab w:val="num" w:pos="4348"/>
        </w:tabs>
        <w:ind w:left="4348" w:hanging="480"/>
      </w:pPr>
    </w:lvl>
  </w:abstractNum>
  <w:abstractNum w:abstractNumId="6"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7" w15:restartNumberingAfterBreak="0">
    <w:nsid w:val="59D91440"/>
    <w:multiLevelType w:val="singleLevel"/>
    <w:tmpl w:val="19427B16"/>
    <w:lvl w:ilvl="0">
      <w:start w:val="1"/>
      <w:numFmt w:val="taiwaneseCountingThousand"/>
      <w:lvlText w:val="（%1）"/>
      <w:lvlJc w:val="left"/>
      <w:pPr>
        <w:tabs>
          <w:tab w:val="num" w:pos="1228"/>
        </w:tabs>
        <w:ind w:left="1228" w:hanging="720"/>
      </w:pPr>
      <w:rPr>
        <w:rFonts w:ascii="新細明體" w:hAnsi="Times New Roman" w:hint="eastAsia"/>
      </w:rPr>
    </w:lvl>
  </w:abstractNum>
  <w:abstractNum w:abstractNumId="8" w15:restartNumberingAfterBreak="0">
    <w:nsid w:val="67B255C2"/>
    <w:multiLevelType w:val="singleLevel"/>
    <w:tmpl w:val="77C659DE"/>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0"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11"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15:restartNumberingAfterBreak="0">
    <w:nsid w:val="7FFA75B5"/>
    <w:multiLevelType w:val="hybridMultilevel"/>
    <w:tmpl w:val="838860B0"/>
    <w:lvl w:ilvl="0" w:tplc="130AA2DC">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16cid:durableId="1082215495">
    <w:abstractNumId w:val="9"/>
  </w:num>
  <w:num w:numId="2" w16cid:durableId="715734862">
    <w:abstractNumId w:val="5"/>
  </w:num>
  <w:num w:numId="3" w16cid:durableId="1951662578">
    <w:abstractNumId w:val="2"/>
  </w:num>
  <w:num w:numId="4" w16cid:durableId="201526894">
    <w:abstractNumId w:val="3"/>
  </w:num>
  <w:num w:numId="5" w16cid:durableId="1293056820">
    <w:abstractNumId w:val="11"/>
  </w:num>
  <w:num w:numId="6" w16cid:durableId="1792895173">
    <w:abstractNumId w:val="6"/>
  </w:num>
  <w:num w:numId="7" w16cid:durableId="1487209385">
    <w:abstractNumId w:val="10"/>
  </w:num>
  <w:num w:numId="8" w16cid:durableId="1641690379">
    <w:abstractNumId w:val="8"/>
  </w:num>
  <w:num w:numId="9" w16cid:durableId="1023901628">
    <w:abstractNumId w:val="0"/>
  </w:num>
  <w:num w:numId="10" w16cid:durableId="1474329934">
    <w:abstractNumId w:val="4"/>
  </w:num>
  <w:num w:numId="11" w16cid:durableId="1442803532">
    <w:abstractNumId w:val="1"/>
  </w:num>
  <w:num w:numId="12" w16cid:durableId="989558446">
    <w:abstractNumId w:val="7"/>
  </w:num>
  <w:num w:numId="13" w16cid:durableId="170940655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1C"/>
    <w:rsid w:val="000465FF"/>
    <w:rsid w:val="00072698"/>
    <w:rsid w:val="0007595D"/>
    <w:rsid w:val="00107561"/>
    <w:rsid w:val="0011699F"/>
    <w:rsid w:val="0014417B"/>
    <w:rsid w:val="00147546"/>
    <w:rsid w:val="0017149D"/>
    <w:rsid w:val="0017399B"/>
    <w:rsid w:val="00185967"/>
    <w:rsid w:val="001865E2"/>
    <w:rsid w:val="0019121C"/>
    <w:rsid w:val="001974EB"/>
    <w:rsid w:val="001D11BC"/>
    <w:rsid w:val="001E39E4"/>
    <w:rsid w:val="001E528D"/>
    <w:rsid w:val="00236C53"/>
    <w:rsid w:val="00250089"/>
    <w:rsid w:val="002577AC"/>
    <w:rsid w:val="002753C9"/>
    <w:rsid w:val="002877DF"/>
    <w:rsid w:val="00296277"/>
    <w:rsid w:val="002C24DC"/>
    <w:rsid w:val="002D14B4"/>
    <w:rsid w:val="002E300E"/>
    <w:rsid w:val="00305457"/>
    <w:rsid w:val="003102E0"/>
    <w:rsid w:val="00342415"/>
    <w:rsid w:val="003507F9"/>
    <w:rsid w:val="003842BE"/>
    <w:rsid w:val="003870B1"/>
    <w:rsid w:val="003A3E64"/>
    <w:rsid w:val="003D51D2"/>
    <w:rsid w:val="003D6FAA"/>
    <w:rsid w:val="003E5202"/>
    <w:rsid w:val="004410DD"/>
    <w:rsid w:val="00467B03"/>
    <w:rsid w:val="00470691"/>
    <w:rsid w:val="004771DF"/>
    <w:rsid w:val="00486267"/>
    <w:rsid w:val="004924CE"/>
    <w:rsid w:val="004F1C1B"/>
    <w:rsid w:val="00500C60"/>
    <w:rsid w:val="00502D02"/>
    <w:rsid w:val="00514B1F"/>
    <w:rsid w:val="005C1DBE"/>
    <w:rsid w:val="005C36B0"/>
    <w:rsid w:val="005E387E"/>
    <w:rsid w:val="00635DE4"/>
    <w:rsid w:val="00657DBD"/>
    <w:rsid w:val="00663EBE"/>
    <w:rsid w:val="0067326C"/>
    <w:rsid w:val="0067570D"/>
    <w:rsid w:val="006832A8"/>
    <w:rsid w:val="006873FB"/>
    <w:rsid w:val="00691048"/>
    <w:rsid w:val="00691F3B"/>
    <w:rsid w:val="00692BDC"/>
    <w:rsid w:val="0069786C"/>
    <w:rsid w:val="006B5182"/>
    <w:rsid w:val="006E6047"/>
    <w:rsid w:val="006F0613"/>
    <w:rsid w:val="006F552F"/>
    <w:rsid w:val="006F64A9"/>
    <w:rsid w:val="00731235"/>
    <w:rsid w:val="007544C7"/>
    <w:rsid w:val="00771201"/>
    <w:rsid w:val="007813A9"/>
    <w:rsid w:val="00795F38"/>
    <w:rsid w:val="00796F45"/>
    <w:rsid w:val="007C32BF"/>
    <w:rsid w:val="007E4710"/>
    <w:rsid w:val="0081443B"/>
    <w:rsid w:val="00820D97"/>
    <w:rsid w:val="0082671D"/>
    <w:rsid w:val="00837450"/>
    <w:rsid w:val="00865BA3"/>
    <w:rsid w:val="00881325"/>
    <w:rsid w:val="008B0DF9"/>
    <w:rsid w:val="009130B8"/>
    <w:rsid w:val="00921D1E"/>
    <w:rsid w:val="009253E1"/>
    <w:rsid w:val="009263E1"/>
    <w:rsid w:val="00942595"/>
    <w:rsid w:val="00967E76"/>
    <w:rsid w:val="00970A64"/>
    <w:rsid w:val="00971BDA"/>
    <w:rsid w:val="00973259"/>
    <w:rsid w:val="009964CE"/>
    <w:rsid w:val="009E7BC8"/>
    <w:rsid w:val="00A24DA7"/>
    <w:rsid w:val="00A33E9D"/>
    <w:rsid w:val="00A44F19"/>
    <w:rsid w:val="00A57530"/>
    <w:rsid w:val="00A777C8"/>
    <w:rsid w:val="00AA6F0C"/>
    <w:rsid w:val="00AD0200"/>
    <w:rsid w:val="00AD3374"/>
    <w:rsid w:val="00AF5F74"/>
    <w:rsid w:val="00B024D1"/>
    <w:rsid w:val="00B2081D"/>
    <w:rsid w:val="00B251B1"/>
    <w:rsid w:val="00B51555"/>
    <w:rsid w:val="00B5495D"/>
    <w:rsid w:val="00B57E1D"/>
    <w:rsid w:val="00B92DB4"/>
    <w:rsid w:val="00BD3D1B"/>
    <w:rsid w:val="00BE701C"/>
    <w:rsid w:val="00C0289F"/>
    <w:rsid w:val="00C400CD"/>
    <w:rsid w:val="00C4110A"/>
    <w:rsid w:val="00C66213"/>
    <w:rsid w:val="00C76CE0"/>
    <w:rsid w:val="00C808C0"/>
    <w:rsid w:val="00C96766"/>
    <w:rsid w:val="00C97DA9"/>
    <w:rsid w:val="00CE5C8F"/>
    <w:rsid w:val="00CF386B"/>
    <w:rsid w:val="00D21CD1"/>
    <w:rsid w:val="00D228D5"/>
    <w:rsid w:val="00D41FD2"/>
    <w:rsid w:val="00D81BB2"/>
    <w:rsid w:val="00E04BC7"/>
    <w:rsid w:val="00E16DA7"/>
    <w:rsid w:val="00E26127"/>
    <w:rsid w:val="00E37D81"/>
    <w:rsid w:val="00EB5228"/>
    <w:rsid w:val="00EB798B"/>
    <w:rsid w:val="00EC5C30"/>
    <w:rsid w:val="00EF0585"/>
    <w:rsid w:val="00F5295F"/>
    <w:rsid w:val="00F62BCF"/>
    <w:rsid w:val="00FA76E9"/>
    <w:rsid w:val="00FD3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124DC"/>
  <w15:chartTrackingRefBased/>
  <w15:docId w15:val="{256E11DC-9265-42C0-8CBA-FE4850F2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5"/>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semiHidden/>
    <w:pPr>
      <w:spacing w:line="440" w:lineRule="atLeast"/>
      <w:ind w:right="28"/>
    </w:pPr>
  </w:style>
  <w:style w:type="paragraph" w:styleId="20">
    <w:name w:val="Body Text 2"/>
    <w:basedOn w:val="a"/>
    <w:semiHidden/>
    <w:pPr>
      <w:spacing w:line="400" w:lineRule="exact"/>
    </w:pPr>
    <w:rPr>
      <w:rFonts w:ascii="標楷體" w:eastAsia="標楷體"/>
      <w:spacing w:val="24"/>
      <w:sz w:val="28"/>
    </w:rPr>
  </w:style>
  <w:style w:type="paragraph" w:customStyle="1" w:styleId="aa">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customStyle="1" w:styleId="ab">
    <w:name w:val="行文機關"/>
    <w:basedOn w:val="a"/>
    <w:pPr>
      <w:adjustRightInd/>
      <w:snapToGrid w:val="0"/>
      <w:spacing w:line="240" w:lineRule="auto"/>
      <w:ind w:left="1395" w:hanging="1395"/>
      <w:textAlignment w:val="auto"/>
    </w:pPr>
    <w:rPr>
      <w:rFonts w:eastAsia="標楷體"/>
      <w:kern w:val="2"/>
    </w:rPr>
  </w:style>
  <w:style w:type="paragraph" w:styleId="ac">
    <w:name w:val="List Paragraph"/>
    <w:basedOn w:val="a"/>
    <w:uiPriority w:val="34"/>
    <w:qFormat/>
    <w:rsid w:val="00D81BB2"/>
    <w:pPr>
      <w:adjustRightInd/>
      <w:spacing w:line="240" w:lineRule="auto"/>
      <w:ind w:leftChars="200" w:left="480"/>
      <w:textAlignment w:val="auto"/>
    </w:pPr>
    <w:rPr>
      <w:rFonts w:ascii="Calibri"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3BEA-0318-4D0E-94AC-58AE0147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5</cp:revision>
  <cp:lastPrinted>2011-05-17T07:03:00Z</cp:lastPrinted>
  <dcterms:created xsi:type="dcterms:W3CDTF">2021-11-16T06:03:00Z</dcterms:created>
  <dcterms:modified xsi:type="dcterms:W3CDTF">2022-06-29T08:02:00Z</dcterms:modified>
</cp:coreProperties>
</file>