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85959" w14:textId="2EE78DDD" w:rsidR="00456ABA" w:rsidRPr="00513F03" w:rsidRDefault="00513F03" w:rsidP="00513F03">
      <w:pPr>
        <w:spacing w:line="400" w:lineRule="exact"/>
        <w:jc w:val="right"/>
        <w:rPr>
          <w:rFonts w:ascii="微軟正黑體" w:eastAsia="微軟正黑體" w:hAnsi="微軟正黑體"/>
        </w:rPr>
      </w:pPr>
      <w:r w:rsidRPr="00513F03">
        <w:rPr>
          <w:rFonts w:ascii="微軟正黑體" w:eastAsia="微軟正黑體" w:hAnsi="微軟正黑體" w:hint="eastAsia"/>
          <w:b/>
          <w:bCs/>
          <w:spacing w:val="20"/>
          <w:szCs w:val="24"/>
        </w:rPr>
        <w:t>（</w:t>
      </w:r>
      <w:r w:rsidR="004819EF">
        <w:rPr>
          <w:rFonts w:ascii="微軟正黑體" w:eastAsia="微軟正黑體" w:hAnsi="微軟正黑體" w:hint="eastAsia"/>
          <w:b/>
          <w:bCs/>
          <w:spacing w:val="20"/>
          <w:szCs w:val="24"/>
        </w:rPr>
        <w:t>11</w:t>
      </w:r>
      <w:r w:rsidR="00653377">
        <w:rPr>
          <w:rFonts w:ascii="微軟正黑體" w:eastAsia="微軟正黑體" w:hAnsi="微軟正黑體"/>
          <w:b/>
          <w:bCs/>
          <w:spacing w:val="20"/>
          <w:szCs w:val="24"/>
        </w:rPr>
        <w:t>1</w:t>
      </w:r>
      <w:r w:rsidRPr="00513F03">
        <w:rPr>
          <w:rFonts w:ascii="微軟正黑體" w:eastAsia="微軟正黑體" w:hAnsi="微軟正黑體" w:hint="eastAsia"/>
          <w:b/>
          <w:bCs/>
          <w:spacing w:val="20"/>
          <w:szCs w:val="24"/>
        </w:rPr>
        <w:t>年</w:t>
      </w:r>
      <w:r w:rsidR="00EE2675">
        <w:rPr>
          <w:rFonts w:ascii="微軟正黑體" w:eastAsia="微軟正黑體" w:hAnsi="微軟正黑體" w:hint="eastAsia"/>
          <w:b/>
          <w:bCs/>
          <w:spacing w:val="20"/>
          <w:szCs w:val="24"/>
        </w:rPr>
        <w:t>6</w:t>
      </w:r>
      <w:r w:rsidR="004819EF">
        <w:rPr>
          <w:rFonts w:ascii="微軟正黑體" w:eastAsia="微軟正黑體" w:hAnsi="微軟正黑體" w:hint="eastAsia"/>
          <w:b/>
          <w:bCs/>
          <w:spacing w:val="20"/>
          <w:szCs w:val="24"/>
          <w:lang w:eastAsia="zh-HK"/>
        </w:rPr>
        <w:t>月</w:t>
      </w:r>
      <w:r w:rsidRPr="00513F03">
        <w:rPr>
          <w:rFonts w:ascii="微軟正黑體" w:eastAsia="微軟正黑體" w:hAnsi="微軟正黑體" w:hint="eastAsia"/>
          <w:b/>
          <w:bCs/>
          <w:spacing w:val="20"/>
          <w:szCs w:val="24"/>
        </w:rPr>
        <w:t>修訂</w:t>
      </w:r>
      <w:r w:rsidRPr="00513F03">
        <w:rPr>
          <w:rFonts w:ascii="微軟正黑體" w:eastAsia="微軟正黑體" w:hAnsi="微軟正黑體"/>
          <w:b/>
          <w:bCs/>
          <w:spacing w:val="20"/>
          <w:szCs w:val="24"/>
        </w:rPr>
        <w:t>）</w:t>
      </w:r>
    </w:p>
    <w:tbl>
      <w:tblPr>
        <w:tblW w:w="15168" w:type="dxa"/>
        <w:tblInd w:w="-31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7"/>
        <w:gridCol w:w="1389"/>
        <w:gridCol w:w="4536"/>
        <w:gridCol w:w="4281"/>
        <w:gridCol w:w="3515"/>
      </w:tblGrid>
      <w:tr w:rsidR="00274351" w:rsidRPr="00513F03" w14:paraId="2CE36D6E" w14:textId="77777777" w:rsidTr="002A013B">
        <w:tc>
          <w:tcPr>
            <w:tcW w:w="1447" w:type="dxa"/>
            <w:tcBorders>
              <w:top w:val="single" w:sz="4" w:space="0" w:color="auto"/>
              <w:bottom w:val="single" w:sz="4" w:space="0" w:color="auto"/>
              <w:right w:val="single" w:sz="4" w:space="0" w:color="auto"/>
            </w:tcBorders>
          </w:tcPr>
          <w:p w14:paraId="10F8AFA9"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編號</w:t>
            </w:r>
          </w:p>
        </w:tc>
        <w:tc>
          <w:tcPr>
            <w:tcW w:w="1389" w:type="dxa"/>
            <w:tcBorders>
              <w:top w:val="single" w:sz="4" w:space="0" w:color="auto"/>
              <w:left w:val="single" w:sz="4" w:space="0" w:color="auto"/>
              <w:bottom w:val="single" w:sz="4" w:space="0" w:color="auto"/>
              <w:right w:val="single" w:sz="4" w:space="0" w:color="auto"/>
            </w:tcBorders>
          </w:tcPr>
          <w:p w14:paraId="2F77917B"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作業項目</w:t>
            </w:r>
          </w:p>
        </w:tc>
        <w:tc>
          <w:tcPr>
            <w:tcW w:w="4536" w:type="dxa"/>
            <w:tcBorders>
              <w:top w:val="single" w:sz="4" w:space="0" w:color="auto"/>
              <w:left w:val="single" w:sz="4" w:space="0" w:color="auto"/>
              <w:bottom w:val="single" w:sz="4" w:space="0" w:color="auto"/>
              <w:right w:val="single" w:sz="4" w:space="0" w:color="auto"/>
            </w:tcBorders>
          </w:tcPr>
          <w:p w14:paraId="1914E02C"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修訂後內容</w:t>
            </w:r>
          </w:p>
        </w:tc>
        <w:tc>
          <w:tcPr>
            <w:tcW w:w="4281" w:type="dxa"/>
            <w:tcBorders>
              <w:top w:val="single" w:sz="4" w:space="0" w:color="auto"/>
              <w:left w:val="single" w:sz="4" w:space="0" w:color="auto"/>
              <w:bottom w:val="single" w:sz="4" w:space="0" w:color="auto"/>
              <w:right w:val="single" w:sz="4" w:space="0" w:color="auto"/>
            </w:tcBorders>
          </w:tcPr>
          <w:p w14:paraId="50E8AC35"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修訂前內容</w:t>
            </w:r>
          </w:p>
        </w:tc>
        <w:tc>
          <w:tcPr>
            <w:tcW w:w="3515" w:type="dxa"/>
            <w:tcBorders>
              <w:top w:val="single" w:sz="4" w:space="0" w:color="auto"/>
              <w:left w:val="single" w:sz="4" w:space="0" w:color="auto"/>
              <w:bottom w:val="single" w:sz="4" w:space="0" w:color="auto"/>
            </w:tcBorders>
          </w:tcPr>
          <w:p w14:paraId="09235E40" w14:textId="77777777" w:rsidR="00BD1525" w:rsidRPr="00513F03" w:rsidRDefault="00BD1525" w:rsidP="00513F03">
            <w:pPr>
              <w:spacing w:line="400" w:lineRule="exact"/>
              <w:jc w:val="center"/>
              <w:rPr>
                <w:rFonts w:ascii="微軟正黑體" w:eastAsia="微軟正黑體" w:hAnsi="微軟正黑體"/>
                <w:spacing w:val="20"/>
                <w:szCs w:val="24"/>
              </w:rPr>
            </w:pPr>
            <w:r w:rsidRPr="00513F03">
              <w:rPr>
                <w:rFonts w:ascii="微軟正黑體" w:eastAsia="微軟正黑體" w:hAnsi="微軟正黑體" w:hint="eastAsia"/>
                <w:spacing w:val="20"/>
                <w:szCs w:val="24"/>
              </w:rPr>
              <w:t>修正說明</w:t>
            </w:r>
          </w:p>
        </w:tc>
      </w:tr>
      <w:tr w:rsidR="00095244" w:rsidRPr="00513F03" w14:paraId="0777662F" w14:textId="77777777" w:rsidTr="002A013B">
        <w:tc>
          <w:tcPr>
            <w:tcW w:w="1447" w:type="dxa"/>
            <w:tcBorders>
              <w:top w:val="single" w:sz="4" w:space="0" w:color="auto"/>
              <w:bottom w:val="single" w:sz="4" w:space="0" w:color="auto"/>
              <w:right w:val="single" w:sz="4" w:space="0" w:color="auto"/>
            </w:tcBorders>
          </w:tcPr>
          <w:p w14:paraId="2BE9E6EF" w14:textId="7E2EE50F" w:rsidR="00BD1525" w:rsidRPr="00054AA3" w:rsidRDefault="00BC2BA5" w:rsidP="00513F03">
            <w:pPr>
              <w:spacing w:line="400" w:lineRule="exact"/>
              <w:jc w:val="both"/>
              <w:rPr>
                <w:rFonts w:ascii="微軟正黑體" w:eastAsia="微軟正黑體" w:hAnsi="微軟正黑體"/>
                <w:szCs w:val="24"/>
              </w:rPr>
            </w:pPr>
            <w:r w:rsidRPr="00BC2BA5">
              <w:rPr>
                <w:rFonts w:ascii="微軟正黑體" w:eastAsia="微軟正黑體" w:hAnsi="微軟正黑體"/>
                <w:szCs w:val="24"/>
              </w:rPr>
              <w:t>CA-18920</w:t>
            </w:r>
          </w:p>
        </w:tc>
        <w:tc>
          <w:tcPr>
            <w:tcW w:w="1389" w:type="dxa"/>
            <w:tcBorders>
              <w:top w:val="single" w:sz="4" w:space="0" w:color="auto"/>
              <w:left w:val="single" w:sz="4" w:space="0" w:color="auto"/>
              <w:bottom w:val="single" w:sz="4" w:space="0" w:color="auto"/>
              <w:right w:val="single" w:sz="4" w:space="0" w:color="auto"/>
            </w:tcBorders>
          </w:tcPr>
          <w:p w14:paraId="474D2DB9" w14:textId="68167658" w:rsidR="00BD1525" w:rsidRPr="00513F03" w:rsidRDefault="00BD1525" w:rsidP="00513F03">
            <w:pPr>
              <w:spacing w:line="400" w:lineRule="exact"/>
              <w:jc w:val="both"/>
              <w:rPr>
                <w:rFonts w:ascii="微軟正黑體" w:eastAsia="微軟正黑體" w:hAnsi="微軟正黑體"/>
                <w:spacing w:val="20"/>
                <w:szCs w:val="24"/>
              </w:rPr>
            </w:pPr>
            <w:r w:rsidRPr="00513F03">
              <w:rPr>
                <w:rFonts w:ascii="微軟正黑體" w:eastAsia="微軟正黑體" w:hAnsi="微軟正黑體" w:hint="eastAsia"/>
                <w:spacing w:val="20"/>
                <w:szCs w:val="24"/>
              </w:rPr>
              <w:t>開戶作業</w:t>
            </w:r>
          </w:p>
        </w:tc>
        <w:tc>
          <w:tcPr>
            <w:tcW w:w="4536" w:type="dxa"/>
            <w:tcBorders>
              <w:top w:val="single" w:sz="4" w:space="0" w:color="auto"/>
              <w:left w:val="single" w:sz="4" w:space="0" w:color="auto"/>
              <w:bottom w:val="single" w:sz="4" w:space="0" w:color="auto"/>
              <w:right w:val="single" w:sz="4" w:space="0" w:color="auto"/>
            </w:tcBorders>
          </w:tcPr>
          <w:p w14:paraId="79F3A7F3" w14:textId="77777777" w:rsidR="00BC2BA5" w:rsidRPr="00BC2BA5" w:rsidRDefault="00BC2BA5" w:rsidP="00BC2BA5">
            <w:pPr>
              <w:spacing w:line="400" w:lineRule="exact"/>
              <w:ind w:left="529" w:hangingChars="189" w:hanging="529"/>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一、買受人部分：</w:t>
            </w:r>
          </w:p>
          <w:p w14:paraId="137F0F30" w14:textId="5F96280B" w:rsidR="00BC2BA5" w:rsidRPr="00BC2BA5" w:rsidRDefault="00BC2BA5" w:rsidP="00BC2BA5">
            <w:pPr>
              <w:spacing w:line="400" w:lineRule="exact"/>
              <w:ind w:leftChars="90" w:left="611" w:hangingChars="141" w:hanging="395"/>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1、公司代理買賣外國債券之買受人，以</w:t>
            </w:r>
            <w:r w:rsidRPr="009C1AE1">
              <w:rPr>
                <w:rFonts w:ascii="微軟正黑體" w:eastAsia="微軟正黑體" w:hAnsi="微軟正黑體" w:hint="eastAsia"/>
                <w:color w:val="FF0000"/>
                <w:spacing w:val="20"/>
                <w:szCs w:val="24"/>
                <w:u w:val="single"/>
              </w:rPr>
              <w:t>銀行業、保險業、證券期貨業、信託業、票券金融公司、基金管理公司、政府投資機構、政府基金、退休基金、共同基金、單位信託、辦理儲金匯兌之郵政機構及其他經</w:t>
            </w:r>
            <w:r w:rsidR="00B422AA" w:rsidRPr="009C1AE1">
              <w:rPr>
                <w:rFonts w:ascii="微軟正黑體" w:eastAsia="微軟正黑體" w:hAnsi="微軟正黑體" w:hint="eastAsia"/>
                <w:color w:val="FF0000"/>
                <w:spacing w:val="20"/>
                <w:szCs w:val="24"/>
                <w:u w:val="single"/>
              </w:rPr>
              <w:t>主管機關</w:t>
            </w:r>
            <w:r w:rsidRPr="009C1AE1">
              <w:rPr>
                <w:rFonts w:ascii="微軟正黑體" w:eastAsia="微軟正黑體" w:hAnsi="微軟正黑體" w:hint="eastAsia"/>
                <w:color w:val="FF0000"/>
                <w:spacing w:val="20"/>
                <w:szCs w:val="24"/>
                <w:u w:val="single"/>
              </w:rPr>
              <w:t>核准之機構</w:t>
            </w:r>
            <w:r w:rsidRPr="00BC2BA5">
              <w:rPr>
                <w:rFonts w:ascii="微軟正黑體" w:eastAsia="微軟正黑體" w:hAnsi="微軟正黑體" w:hint="eastAsia"/>
                <w:spacing w:val="20"/>
                <w:szCs w:val="24"/>
              </w:rPr>
              <w:t>為限。</w:t>
            </w:r>
          </w:p>
          <w:p w14:paraId="0C766C4C" w14:textId="77777777" w:rsidR="00BC2BA5" w:rsidRPr="00BC2BA5" w:rsidRDefault="00BC2BA5" w:rsidP="00BC2BA5">
            <w:pPr>
              <w:spacing w:line="400" w:lineRule="exact"/>
              <w:ind w:leftChars="254" w:left="610" w:firstLine="1"/>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國際金融業務分行經營本項業務之買受人，除符合前述專業機構投資人之資格外，並以中華民國境外客戶為限。</w:t>
            </w:r>
          </w:p>
          <w:p w14:paraId="66F683F0" w14:textId="36255A81" w:rsidR="00456ABA" w:rsidRPr="00513F03" w:rsidRDefault="00BC2BA5" w:rsidP="00BC2BA5">
            <w:pPr>
              <w:spacing w:line="400" w:lineRule="exact"/>
              <w:ind w:leftChars="90" w:left="611" w:rightChars="12" w:right="29" w:hangingChars="141" w:hanging="395"/>
              <w:jc w:val="both"/>
              <w:rPr>
                <w:rFonts w:ascii="微軟正黑體" w:eastAsia="微軟正黑體" w:hAnsi="微軟正黑體"/>
                <w:spacing w:val="20"/>
                <w:szCs w:val="24"/>
                <w:lang w:val="es-ES_tradnl"/>
              </w:rPr>
            </w:pPr>
            <w:r w:rsidRPr="00BC2BA5">
              <w:rPr>
                <w:rFonts w:ascii="微軟正黑體" w:eastAsia="微軟正黑體" w:hAnsi="微軟正黑體" w:hint="eastAsia"/>
                <w:spacing w:val="20"/>
                <w:szCs w:val="24"/>
              </w:rPr>
              <w:t>2、買受人應透過公司與外國金融機構辦理相關開戶作業。</w:t>
            </w:r>
          </w:p>
        </w:tc>
        <w:tc>
          <w:tcPr>
            <w:tcW w:w="4281" w:type="dxa"/>
            <w:tcBorders>
              <w:top w:val="single" w:sz="4" w:space="0" w:color="auto"/>
              <w:left w:val="single" w:sz="4" w:space="0" w:color="auto"/>
              <w:bottom w:val="single" w:sz="4" w:space="0" w:color="auto"/>
              <w:right w:val="single" w:sz="4" w:space="0" w:color="auto"/>
            </w:tcBorders>
          </w:tcPr>
          <w:p w14:paraId="1E8443B2" w14:textId="77777777" w:rsidR="00BC2BA5" w:rsidRPr="00BC2BA5" w:rsidRDefault="00BC2BA5" w:rsidP="00BC2BA5">
            <w:pPr>
              <w:spacing w:line="400" w:lineRule="exact"/>
              <w:ind w:left="529" w:hangingChars="189" w:hanging="529"/>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一、買受人部分：</w:t>
            </w:r>
          </w:p>
          <w:p w14:paraId="5325CB85" w14:textId="77777777" w:rsidR="00BC2BA5" w:rsidRPr="00BC2BA5" w:rsidRDefault="00BC2BA5" w:rsidP="00BC2BA5">
            <w:pPr>
              <w:spacing w:line="400" w:lineRule="exact"/>
              <w:ind w:leftChars="90" w:left="527" w:hangingChars="111" w:hanging="311"/>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1、公司代理買賣外國債券之買受人，以境外結構型商品管理規則第三條第三項第一款所稱之專業機構投資人為限。</w:t>
            </w:r>
          </w:p>
          <w:p w14:paraId="6BFD8E92" w14:textId="77777777" w:rsidR="00BC2BA5" w:rsidRPr="00BC2BA5" w:rsidRDefault="00BC2BA5" w:rsidP="00BC2BA5">
            <w:pPr>
              <w:spacing w:line="400" w:lineRule="exact"/>
              <w:ind w:leftChars="202" w:left="524" w:hangingChars="14" w:hanging="39"/>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國際金融業務分行經營本項業務之買受人，除符合前述專業機構投資人之資格外，並以中華民國境外客戶為限。</w:t>
            </w:r>
          </w:p>
          <w:p w14:paraId="1A306A94" w14:textId="79536E66" w:rsidR="00BD1525" w:rsidRPr="00513F03" w:rsidRDefault="00BC2BA5" w:rsidP="00BC2BA5">
            <w:pPr>
              <w:spacing w:line="400" w:lineRule="exact"/>
              <w:ind w:leftChars="90" w:left="527" w:hangingChars="111" w:hanging="311"/>
              <w:jc w:val="both"/>
              <w:rPr>
                <w:rFonts w:ascii="微軟正黑體" w:eastAsia="微軟正黑體" w:hAnsi="微軟正黑體"/>
                <w:spacing w:val="20"/>
                <w:szCs w:val="24"/>
              </w:rPr>
            </w:pPr>
            <w:r w:rsidRPr="00BC2BA5">
              <w:rPr>
                <w:rFonts w:ascii="微軟正黑體" w:eastAsia="微軟正黑體" w:hAnsi="微軟正黑體" w:hint="eastAsia"/>
                <w:spacing w:val="20"/>
                <w:szCs w:val="24"/>
              </w:rPr>
              <w:t>2、買受人應透過公司與外國金融機構辦理相關開戶作業。</w:t>
            </w:r>
          </w:p>
        </w:tc>
        <w:tc>
          <w:tcPr>
            <w:tcW w:w="3515" w:type="dxa"/>
            <w:tcBorders>
              <w:top w:val="single" w:sz="4" w:space="0" w:color="auto"/>
              <w:left w:val="single" w:sz="4" w:space="0" w:color="auto"/>
              <w:bottom w:val="single" w:sz="4" w:space="0" w:color="auto"/>
            </w:tcBorders>
          </w:tcPr>
          <w:p w14:paraId="4E7561D1" w14:textId="4DD9A08B" w:rsidR="00095244" w:rsidRPr="00D0780F" w:rsidRDefault="00BD1525" w:rsidP="00D0780F">
            <w:pPr>
              <w:spacing w:line="360" w:lineRule="exact"/>
              <w:ind w:left="550" w:hangingChars="215" w:hanging="550"/>
              <w:jc w:val="both"/>
              <w:rPr>
                <w:rFonts w:ascii="微軟正黑體" w:eastAsia="微軟正黑體" w:hAnsi="微軟正黑體"/>
                <w:spacing w:val="8"/>
                <w:szCs w:val="24"/>
                <w:lang w:val="es-ES_tradnl"/>
              </w:rPr>
            </w:pPr>
            <w:r w:rsidRPr="00D0780F">
              <w:rPr>
                <w:rFonts w:ascii="微軟正黑體" w:eastAsia="微軟正黑體" w:hAnsi="微軟正黑體" w:hint="eastAsia"/>
                <w:spacing w:val="8"/>
                <w:szCs w:val="24"/>
                <w:lang w:val="es-ES_tradnl"/>
              </w:rPr>
              <w:t>一、</w:t>
            </w:r>
            <w:r w:rsidR="00BC2BA5" w:rsidRPr="00D0780F">
              <w:rPr>
                <w:rFonts w:ascii="微軟正黑體" w:eastAsia="微軟正黑體" w:hAnsi="微軟正黑體" w:hint="eastAsia"/>
                <w:spacing w:val="8"/>
                <w:szCs w:val="24"/>
                <w:lang w:val="es-ES_tradnl"/>
              </w:rPr>
              <w:t>修訂</w:t>
            </w:r>
            <w:r w:rsidR="002A013B" w:rsidRPr="00D0780F">
              <w:rPr>
                <w:rFonts w:ascii="微軟正黑體" w:eastAsia="微軟正黑體" w:hAnsi="微軟正黑體" w:hint="eastAsia"/>
                <w:spacing w:val="8"/>
                <w:szCs w:val="24"/>
                <w:lang w:val="es-ES_tradnl"/>
              </w:rPr>
              <w:t>第一</w:t>
            </w:r>
            <w:r w:rsidR="004D6B92">
              <w:rPr>
                <w:rFonts w:ascii="微軟正黑體" w:eastAsia="微軟正黑體" w:hAnsi="微軟正黑體" w:hint="eastAsia"/>
                <w:spacing w:val="8"/>
                <w:szCs w:val="24"/>
                <w:lang w:val="es-ES_tradnl"/>
              </w:rPr>
              <w:t>點</w:t>
            </w:r>
            <w:r w:rsidR="002A013B" w:rsidRPr="00D0780F">
              <w:rPr>
                <w:rFonts w:ascii="微軟正黑體" w:eastAsia="微軟正黑體" w:hAnsi="微軟正黑體" w:hint="eastAsia"/>
                <w:spacing w:val="8"/>
                <w:szCs w:val="24"/>
                <w:lang w:val="es-ES_tradnl"/>
              </w:rPr>
              <w:t>第</w:t>
            </w:r>
            <w:r w:rsidR="004D6B92">
              <w:rPr>
                <w:rFonts w:ascii="微軟正黑體" w:eastAsia="微軟正黑體" w:hAnsi="微軟正黑體" w:hint="eastAsia"/>
                <w:spacing w:val="8"/>
                <w:szCs w:val="24"/>
                <w:lang w:val="es-ES_tradnl"/>
              </w:rPr>
              <w:t>一項第一款</w:t>
            </w:r>
            <w:r w:rsidRPr="00D0780F">
              <w:rPr>
                <w:rFonts w:ascii="微軟正黑體" w:eastAsia="微軟正黑體" w:hAnsi="微軟正黑體" w:hint="eastAsia"/>
                <w:spacing w:val="8"/>
                <w:szCs w:val="24"/>
                <w:lang w:val="es-ES_tradnl"/>
              </w:rPr>
              <w:t>。</w:t>
            </w:r>
          </w:p>
          <w:p w14:paraId="5BB8AD0B" w14:textId="0FF0DF73" w:rsidR="002A013B" w:rsidRPr="00D0780F" w:rsidRDefault="00095244" w:rsidP="00D0780F">
            <w:pPr>
              <w:spacing w:line="360" w:lineRule="exact"/>
              <w:ind w:left="550" w:hangingChars="215" w:hanging="550"/>
              <w:jc w:val="both"/>
              <w:rPr>
                <w:rFonts w:ascii="微軟正黑體" w:eastAsia="微軟正黑體" w:hAnsi="微軟正黑體"/>
                <w:spacing w:val="8"/>
                <w:szCs w:val="24"/>
                <w:lang w:val="es-ES_tradnl"/>
              </w:rPr>
            </w:pPr>
            <w:r w:rsidRPr="00D0780F">
              <w:rPr>
                <w:rFonts w:ascii="微軟正黑體" w:eastAsia="微軟正黑體" w:hAnsi="微軟正黑體" w:hint="eastAsia"/>
                <w:spacing w:val="8"/>
                <w:szCs w:val="24"/>
                <w:lang w:val="es-ES_tradnl"/>
              </w:rPr>
              <w:t>二、</w:t>
            </w:r>
            <w:r w:rsidR="00BD1525" w:rsidRPr="00D0780F">
              <w:rPr>
                <w:rFonts w:ascii="微軟正黑體" w:eastAsia="微軟正黑體" w:hAnsi="微軟正黑體" w:hint="eastAsia"/>
                <w:spacing w:val="8"/>
                <w:szCs w:val="24"/>
                <w:lang w:val="es-ES_tradnl"/>
              </w:rPr>
              <w:t>依據</w:t>
            </w:r>
            <w:r w:rsidR="002A013B" w:rsidRPr="00D0780F">
              <w:rPr>
                <w:rFonts w:ascii="微軟正黑體" w:eastAsia="微軟正黑體" w:hAnsi="微軟正黑體" w:hint="eastAsia"/>
                <w:spacing w:val="8"/>
                <w:szCs w:val="24"/>
                <w:lang w:val="es-ES_tradnl"/>
              </w:rPr>
              <w:t>金融監督管理委員會109年12月28日金管證券字第1090366019號令辦理。</w:t>
            </w:r>
          </w:p>
          <w:p w14:paraId="41E84A4E" w14:textId="1BD51778" w:rsidR="0067422F" w:rsidRPr="00D0780F" w:rsidRDefault="008F3FC9" w:rsidP="00D0780F">
            <w:pPr>
              <w:spacing w:line="360" w:lineRule="exact"/>
              <w:ind w:left="550" w:right="28" w:hangingChars="215" w:hanging="550"/>
              <w:jc w:val="both"/>
              <w:rPr>
                <w:rFonts w:ascii="微軟正黑體" w:eastAsia="微軟正黑體" w:hAnsi="微軟正黑體"/>
                <w:spacing w:val="8"/>
                <w:u w:val="single"/>
              </w:rPr>
            </w:pPr>
            <w:r w:rsidRPr="00D0780F">
              <w:rPr>
                <w:rFonts w:ascii="微軟正黑體" w:eastAsia="微軟正黑體" w:hAnsi="微軟正黑體" w:hint="eastAsia"/>
                <w:spacing w:val="8"/>
                <w:szCs w:val="24"/>
                <w:lang w:val="es-ES_tradnl"/>
              </w:rPr>
              <w:t>三、</w:t>
            </w:r>
            <w:r w:rsidR="00D0780F" w:rsidRPr="00D0780F">
              <w:rPr>
                <w:rFonts w:ascii="微軟正黑體" w:eastAsia="微軟正黑體" w:hAnsi="微軟正黑體" w:hint="eastAsia"/>
                <w:spacing w:val="8"/>
                <w:szCs w:val="24"/>
                <w:lang w:val="es-ES_tradnl"/>
              </w:rPr>
              <w:t>為滿足國內專業機構投資人定義不一致問題，爰參考金融監督管理委員會94年1月20日金管證二字第0930159964號令， 以正面表列方式明訂代理買賣外國債券之買受人範圍，包括銀行業、保險業、證券期貨業、信託業、票券金融公司、基金管理公司、政府投資機構、政府基金、退休基金、共同基金、單位信託、辦理儲金匯兌之郵政機構及其他經主管機關核准之機構。</w:t>
            </w:r>
          </w:p>
        </w:tc>
      </w:tr>
    </w:tbl>
    <w:p w14:paraId="2FF1CAC3" w14:textId="77777777" w:rsidR="00D76147" w:rsidRPr="00513F03" w:rsidRDefault="00D76147" w:rsidP="00513F03">
      <w:pPr>
        <w:spacing w:line="400" w:lineRule="exact"/>
        <w:rPr>
          <w:rFonts w:ascii="微軟正黑體" w:eastAsia="微軟正黑體" w:hAnsi="微軟正黑體"/>
          <w:spacing w:val="20"/>
        </w:rPr>
      </w:pPr>
    </w:p>
    <w:sectPr w:rsidR="00D76147" w:rsidRPr="00513F03" w:rsidSect="007F5B2E">
      <w:headerReference w:type="default" r:id="rId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BD060" w14:textId="77777777" w:rsidR="0039648E" w:rsidRDefault="0039648E" w:rsidP="0092018C">
      <w:r>
        <w:separator/>
      </w:r>
    </w:p>
  </w:endnote>
  <w:endnote w:type="continuationSeparator" w:id="0">
    <w:p w14:paraId="321435D4" w14:textId="77777777" w:rsidR="0039648E" w:rsidRDefault="0039648E" w:rsidP="0092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DF03" w14:textId="77777777" w:rsidR="0039648E" w:rsidRDefault="0039648E" w:rsidP="0092018C">
      <w:r>
        <w:separator/>
      </w:r>
    </w:p>
  </w:footnote>
  <w:footnote w:type="continuationSeparator" w:id="0">
    <w:p w14:paraId="47174D40" w14:textId="77777777" w:rsidR="0039648E" w:rsidRDefault="0039648E" w:rsidP="00920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67AC0" w14:textId="4D29CC18" w:rsidR="0067422F" w:rsidRPr="00513F03" w:rsidRDefault="0067422F" w:rsidP="00456ABA">
    <w:pPr>
      <w:spacing w:afterLines="50" w:after="120" w:line="400" w:lineRule="exact"/>
      <w:jc w:val="center"/>
      <w:rPr>
        <w:rFonts w:ascii="微軟正黑體" w:eastAsia="微軟正黑體" w:hAnsi="微軟正黑體"/>
      </w:rPr>
    </w:pPr>
    <w:r w:rsidRPr="00513F03">
      <w:rPr>
        <w:rFonts w:ascii="微軟正黑體" w:eastAsia="微軟正黑體" w:hAnsi="微軟正黑體" w:hint="eastAsia"/>
        <w:b/>
        <w:bCs/>
        <w:spacing w:val="20"/>
        <w:sz w:val="28"/>
        <w:szCs w:val="28"/>
      </w:rPr>
      <w:t>證券商內部控制制度標準規範</w:t>
    </w:r>
    <w:r w:rsidRPr="00513F03">
      <w:rPr>
        <w:rFonts w:ascii="微軟正黑體" w:eastAsia="微軟正黑體" w:hAnsi="微軟正黑體"/>
        <w:b/>
        <w:bCs/>
        <w:spacing w:val="20"/>
        <w:sz w:val="28"/>
        <w:szCs w:val="28"/>
      </w:rPr>
      <w:t>—</w:t>
    </w:r>
    <w:r w:rsidRPr="00513F03">
      <w:rPr>
        <w:rFonts w:ascii="微軟正黑體" w:eastAsia="微軟正黑體" w:hAnsi="微軟正黑體" w:hint="eastAsia"/>
        <w:b/>
        <w:bCs/>
        <w:spacing w:val="20"/>
        <w:sz w:val="28"/>
        <w:szCs w:val="28"/>
      </w:rPr>
      <w:t>內部控制制度（</w:t>
    </w:r>
    <w:r w:rsidR="00BC2BA5" w:rsidRPr="00BC2BA5">
      <w:rPr>
        <w:rFonts w:ascii="微軟正黑體" w:eastAsia="微軟正黑體" w:hAnsi="微軟正黑體" w:hint="eastAsia"/>
        <w:b/>
        <w:bCs/>
        <w:spacing w:val="20"/>
        <w:sz w:val="28"/>
        <w:szCs w:val="28"/>
      </w:rPr>
      <w:t>代理買賣外國債券</w:t>
    </w:r>
    <w:r w:rsidRPr="00513F03">
      <w:rPr>
        <w:rFonts w:ascii="微軟正黑體" w:eastAsia="微軟正黑體" w:hAnsi="微軟正黑體" w:hint="eastAsia"/>
        <w:b/>
        <w:bCs/>
        <w:spacing w:val="20"/>
        <w:sz w:val="28"/>
        <w:szCs w:val="28"/>
      </w:rPr>
      <w:t xml:space="preserve">）修正對照表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95B79"/>
    <w:multiLevelType w:val="hybridMultilevel"/>
    <w:tmpl w:val="02083E7E"/>
    <w:lvl w:ilvl="0" w:tplc="B334830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1FB0195"/>
    <w:multiLevelType w:val="hybridMultilevel"/>
    <w:tmpl w:val="DBC8107C"/>
    <w:lvl w:ilvl="0" w:tplc="B77818FC">
      <w:start w:val="1"/>
      <w:numFmt w:val="taiwaneseCountingThousand"/>
      <w:lvlText w:val="(%1)"/>
      <w:lvlJc w:val="left"/>
      <w:pPr>
        <w:ind w:left="893" w:hanging="720"/>
      </w:pPr>
      <w:rPr>
        <w:rFonts w:ascii="新細明體" w:eastAsia="新細明體" w:hAnsi="新細明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3"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16cid:durableId="547183053">
    <w:abstractNumId w:val="3"/>
  </w:num>
  <w:num w:numId="2" w16cid:durableId="734665967">
    <w:abstractNumId w:val="4"/>
  </w:num>
  <w:num w:numId="3" w16cid:durableId="1954483257">
    <w:abstractNumId w:val="2"/>
  </w:num>
  <w:num w:numId="4" w16cid:durableId="490606857">
    <w:abstractNumId w:val="0"/>
  </w:num>
  <w:num w:numId="5" w16cid:durableId="2108698471">
    <w:abstractNumId w:val="5"/>
  </w:num>
  <w:num w:numId="6" w16cid:durableId="14000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style="mso-position-horizontal:center;mso-height-percent:200;mso-width-relative:margin;mso-height-relative:margin" fillcolor="white">
      <v:fill color="white"/>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54AA3"/>
    <w:rsid w:val="000743C7"/>
    <w:rsid w:val="000832F3"/>
    <w:rsid w:val="00095244"/>
    <w:rsid w:val="000A6358"/>
    <w:rsid w:val="000C0F82"/>
    <w:rsid w:val="001068E9"/>
    <w:rsid w:val="001427AF"/>
    <w:rsid w:val="001642F3"/>
    <w:rsid w:val="0019532B"/>
    <w:rsid w:val="001E74CA"/>
    <w:rsid w:val="001F55BC"/>
    <w:rsid w:val="00212E69"/>
    <w:rsid w:val="002361F1"/>
    <w:rsid w:val="00274351"/>
    <w:rsid w:val="00291D2C"/>
    <w:rsid w:val="002A013B"/>
    <w:rsid w:val="002C672B"/>
    <w:rsid w:val="002C68F4"/>
    <w:rsid w:val="002D42AE"/>
    <w:rsid w:val="002D5AA3"/>
    <w:rsid w:val="002E047F"/>
    <w:rsid w:val="00306055"/>
    <w:rsid w:val="00336F3E"/>
    <w:rsid w:val="0039648E"/>
    <w:rsid w:val="003A6E71"/>
    <w:rsid w:val="00456ABA"/>
    <w:rsid w:val="004819EF"/>
    <w:rsid w:val="004D6B92"/>
    <w:rsid w:val="004E36F5"/>
    <w:rsid w:val="00513F03"/>
    <w:rsid w:val="00541D89"/>
    <w:rsid w:val="00595B1D"/>
    <w:rsid w:val="005A1DDB"/>
    <w:rsid w:val="005D1814"/>
    <w:rsid w:val="00600863"/>
    <w:rsid w:val="006157BB"/>
    <w:rsid w:val="00627D44"/>
    <w:rsid w:val="00653377"/>
    <w:rsid w:val="00662ACC"/>
    <w:rsid w:val="0067422F"/>
    <w:rsid w:val="006826FF"/>
    <w:rsid w:val="00685CFD"/>
    <w:rsid w:val="007005FC"/>
    <w:rsid w:val="00732861"/>
    <w:rsid w:val="00733DE1"/>
    <w:rsid w:val="00735681"/>
    <w:rsid w:val="007A41DA"/>
    <w:rsid w:val="007C3A99"/>
    <w:rsid w:val="007F5B2E"/>
    <w:rsid w:val="00806B16"/>
    <w:rsid w:val="00811A9E"/>
    <w:rsid w:val="00816BD3"/>
    <w:rsid w:val="00822BD0"/>
    <w:rsid w:val="00856E50"/>
    <w:rsid w:val="0086056A"/>
    <w:rsid w:val="008627C7"/>
    <w:rsid w:val="00867873"/>
    <w:rsid w:val="00875289"/>
    <w:rsid w:val="00893A64"/>
    <w:rsid w:val="008C2AC5"/>
    <w:rsid w:val="008C7F24"/>
    <w:rsid w:val="008F3A97"/>
    <w:rsid w:val="008F3FC9"/>
    <w:rsid w:val="00912069"/>
    <w:rsid w:val="0092018C"/>
    <w:rsid w:val="00966BAE"/>
    <w:rsid w:val="009674E1"/>
    <w:rsid w:val="00996CE8"/>
    <w:rsid w:val="009C0906"/>
    <w:rsid w:val="009C1AE1"/>
    <w:rsid w:val="009C551A"/>
    <w:rsid w:val="009D61B0"/>
    <w:rsid w:val="00A1276D"/>
    <w:rsid w:val="00A806AB"/>
    <w:rsid w:val="00A95260"/>
    <w:rsid w:val="00AA502D"/>
    <w:rsid w:val="00AA5F41"/>
    <w:rsid w:val="00AC41D5"/>
    <w:rsid w:val="00AD469B"/>
    <w:rsid w:val="00AE6D40"/>
    <w:rsid w:val="00B25B65"/>
    <w:rsid w:val="00B30998"/>
    <w:rsid w:val="00B422AA"/>
    <w:rsid w:val="00B460F4"/>
    <w:rsid w:val="00B5176B"/>
    <w:rsid w:val="00B96B3D"/>
    <w:rsid w:val="00BC2BA5"/>
    <w:rsid w:val="00BD1525"/>
    <w:rsid w:val="00BD3849"/>
    <w:rsid w:val="00C122B9"/>
    <w:rsid w:val="00C143B3"/>
    <w:rsid w:val="00C2447D"/>
    <w:rsid w:val="00C34670"/>
    <w:rsid w:val="00C42240"/>
    <w:rsid w:val="00C44A11"/>
    <w:rsid w:val="00C529A8"/>
    <w:rsid w:val="00C76245"/>
    <w:rsid w:val="00C803EB"/>
    <w:rsid w:val="00CE76AA"/>
    <w:rsid w:val="00D0780F"/>
    <w:rsid w:val="00D2580B"/>
    <w:rsid w:val="00D76147"/>
    <w:rsid w:val="00DB5DD1"/>
    <w:rsid w:val="00EA1BCB"/>
    <w:rsid w:val="00EE2675"/>
    <w:rsid w:val="00F00DD7"/>
    <w:rsid w:val="00F32C22"/>
    <w:rsid w:val="00F360D2"/>
    <w:rsid w:val="00FD5D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center;mso-height-percent:200;mso-width-relative:margin;mso-height-relative:margin" fillcolor="white">
      <v:fill color="white"/>
      <v:textbox style="mso-fit-shape-to-text:t"/>
    </o:shapedefaults>
    <o:shapelayout v:ext="edit">
      <o:idmap v:ext="edit" data="2"/>
    </o:shapelayout>
  </w:shapeDefaults>
  <w:decimalSymbol w:val="."/>
  <w:listSeparator w:val=","/>
  <w14:docId w14:val="0B687776"/>
  <w15:chartTrackingRefBased/>
  <w15:docId w15:val="{E61CF26A-4F59-46D5-99B0-1947186F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22F"/>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Calibri Light" w:hAnsi="Calibri Light"/>
      <w:sz w:val="18"/>
      <w:szCs w:val="18"/>
    </w:rPr>
  </w:style>
  <w:style w:type="character" w:customStyle="1" w:styleId="a5">
    <w:name w:val="註解方塊文字 字元"/>
    <w:link w:val="a4"/>
    <w:uiPriority w:val="99"/>
    <w:semiHidden/>
    <w:rsid w:val="00AC41D5"/>
    <w:rPr>
      <w:rFonts w:ascii="Calibri Light" w:eastAsia="新細明體" w:hAnsi="Calibri Light" w:cs="Times New Roman"/>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link w:val="3"/>
    <w:semiHidden/>
    <w:rsid w:val="001427AF"/>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91</Words>
  <Characters>524</Characters>
  <Application>Microsoft Office Word</Application>
  <DocSecurity>0</DocSecurity>
  <Lines>4</Lines>
  <Paragraphs>1</Paragraphs>
  <ScaleCrop>false</ScaleCrop>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賴育新</dc:creator>
  <cp:keywords/>
  <dc:description/>
  <cp:lastModifiedBy>賴育新</cp:lastModifiedBy>
  <cp:revision>29</cp:revision>
  <cp:lastPrinted>2019-09-25T08:40:00Z</cp:lastPrinted>
  <dcterms:created xsi:type="dcterms:W3CDTF">2021-11-16T06:00:00Z</dcterms:created>
  <dcterms:modified xsi:type="dcterms:W3CDTF">2022-06-29T08:25:00Z</dcterms:modified>
</cp:coreProperties>
</file>