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39"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446"/>
        <w:gridCol w:w="4791"/>
        <w:gridCol w:w="4819"/>
        <w:gridCol w:w="3006"/>
      </w:tblGrid>
      <w:tr w:rsidR="00D76147" w:rsidRPr="0011332F" w14:paraId="41592D18" w14:textId="77777777" w:rsidTr="006C07E3">
        <w:trPr>
          <w:tblHeader/>
        </w:trPr>
        <w:tc>
          <w:tcPr>
            <w:tcW w:w="1277" w:type="dxa"/>
            <w:tcBorders>
              <w:top w:val="single" w:sz="4" w:space="0" w:color="auto"/>
              <w:bottom w:val="single" w:sz="4" w:space="0" w:color="auto"/>
              <w:right w:val="single" w:sz="4" w:space="0" w:color="auto"/>
            </w:tcBorders>
          </w:tcPr>
          <w:p w14:paraId="01B9D5E9" w14:textId="77777777" w:rsidR="00D76147" w:rsidRPr="0011332F" w:rsidRDefault="00D76147" w:rsidP="00922086">
            <w:pPr>
              <w:spacing w:line="340" w:lineRule="exact"/>
              <w:jc w:val="center"/>
              <w:rPr>
                <w:rFonts w:ascii="微軟正黑體" w:eastAsia="微軟正黑體" w:hAnsi="微軟正黑體"/>
                <w:spacing w:val="20"/>
                <w:szCs w:val="24"/>
              </w:rPr>
            </w:pPr>
            <w:r w:rsidRPr="0011332F">
              <w:rPr>
                <w:rFonts w:ascii="微軟正黑體" w:eastAsia="微軟正黑體" w:hAnsi="微軟正黑體" w:hint="eastAsia"/>
                <w:spacing w:val="20"/>
                <w:szCs w:val="24"/>
              </w:rPr>
              <w:t>編號</w:t>
            </w:r>
          </w:p>
        </w:tc>
        <w:tc>
          <w:tcPr>
            <w:tcW w:w="1446" w:type="dxa"/>
            <w:tcBorders>
              <w:top w:val="single" w:sz="4" w:space="0" w:color="auto"/>
              <w:left w:val="single" w:sz="4" w:space="0" w:color="auto"/>
              <w:bottom w:val="single" w:sz="4" w:space="0" w:color="auto"/>
              <w:right w:val="single" w:sz="4" w:space="0" w:color="auto"/>
            </w:tcBorders>
          </w:tcPr>
          <w:p w14:paraId="515001E4" w14:textId="77777777" w:rsidR="00D76147" w:rsidRPr="0011332F" w:rsidRDefault="00D76147" w:rsidP="00922086">
            <w:pPr>
              <w:spacing w:line="340" w:lineRule="exact"/>
              <w:jc w:val="center"/>
              <w:rPr>
                <w:rFonts w:ascii="微軟正黑體" w:eastAsia="微軟正黑體" w:hAnsi="微軟正黑體"/>
                <w:szCs w:val="24"/>
              </w:rPr>
            </w:pPr>
            <w:r w:rsidRPr="0011332F">
              <w:rPr>
                <w:rFonts w:ascii="微軟正黑體" w:eastAsia="微軟正黑體" w:hAnsi="微軟正黑體" w:hint="eastAsia"/>
                <w:szCs w:val="24"/>
              </w:rPr>
              <w:t>作業項目</w:t>
            </w:r>
          </w:p>
        </w:tc>
        <w:tc>
          <w:tcPr>
            <w:tcW w:w="4791" w:type="dxa"/>
            <w:tcBorders>
              <w:top w:val="single" w:sz="4" w:space="0" w:color="auto"/>
              <w:left w:val="single" w:sz="4" w:space="0" w:color="auto"/>
              <w:bottom w:val="single" w:sz="4" w:space="0" w:color="auto"/>
              <w:right w:val="single" w:sz="4" w:space="0" w:color="auto"/>
            </w:tcBorders>
          </w:tcPr>
          <w:p w14:paraId="05657528" w14:textId="77777777" w:rsidR="00D76147" w:rsidRPr="0011332F" w:rsidRDefault="00D76147" w:rsidP="00922086">
            <w:pPr>
              <w:spacing w:line="340" w:lineRule="exact"/>
              <w:jc w:val="center"/>
              <w:rPr>
                <w:rFonts w:ascii="微軟正黑體" w:eastAsia="微軟正黑體" w:hAnsi="微軟正黑體"/>
                <w:spacing w:val="20"/>
                <w:szCs w:val="24"/>
              </w:rPr>
            </w:pPr>
            <w:r w:rsidRPr="0011332F">
              <w:rPr>
                <w:rFonts w:ascii="微軟正黑體" w:eastAsia="微軟正黑體" w:hAnsi="微軟正黑體" w:hint="eastAsia"/>
                <w:spacing w:val="20"/>
                <w:szCs w:val="24"/>
              </w:rPr>
              <w:t>修訂後內容</w:t>
            </w:r>
          </w:p>
        </w:tc>
        <w:tc>
          <w:tcPr>
            <w:tcW w:w="4819" w:type="dxa"/>
            <w:tcBorders>
              <w:top w:val="single" w:sz="4" w:space="0" w:color="auto"/>
              <w:left w:val="single" w:sz="4" w:space="0" w:color="auto"/>
              <w:bottom w:val="single" w:sz="4" w:space="0" w:color="auto"/>
              <w:right w:val="single" w:sz="4" w:space="0" w:color="auto"/>
            </w:tcBorders>
          </w:tcPr>
          <w:p w14:paraId="204C242C" w14:textId="77777777" w:rsidR="00D76147" w:rsidRPr="0011332F" w:rsidRDefault="00D76147" w:rsidP="00922086">
            <w:pPr>
              <w:spacing w:line="340" w:lineRule="exact"/>
              <w:jc w:val="center"/>
              <w:rPr>
                <w:rFonts w:ascii="微軟正黑體" w:eastAsia="微軟正黑體" w:hAnsi="微軟正黑體"/>
                <w:spacing w:val="20"/>
                <w:szCs w:val="24"/>
              </w:rPr>
            </w:pPr>
            <w:r w:rsidRPr="0011332F">
              <w:rPr>
                <w:rFonts w:ascii="微軟正黑體" w:eastAsia="微軟正黑體" w:hAnsi="微軟正黑體" w:hint="eastAsia"/>
                <w:spacing w:val="20"/>
                <w:szCs w:val="24"/>
              </w:rPr>
              <w:t>修訂前內容</w:t>
            </w:r>
          </w:p>
        </w:tc>
        <w:tc>
          <w:tcPr>
            <w:tcW w:w="3006" w:type="dxa"/>
            <w:tcBorders>
              <w:top w:val="single" w:sz="4" w:space="0" w:color="auto"/>
              <w:left w:val="single" w:sz="4" w:space="0" w:color="auto"/>
              <w:bottom w:val="single" w:sz="4" w:space="0" w:color="auto"/>
            </w:tcBorders>
          </w:tcPr>
          <w:p w14:paraId="24147F02" w14:textId="77777777" w:rsidR="00D76147" w:rsidRPr="0011332F" w:rsidRDefault="00D76147" w:rsidP="00922086">
            <w:pPr>
              <w:spacing w:line="340" w:lineRule="exact"/>
              <w:jc w:val="center"/>
              <w:rPr>
                <w:rFonts w:ascii="微軟正黑體" w:eastAsia="微軟正黑體" w:hAnsi="微軟正黑體"/>
                <w:spacing w:val="20"/>
                <w:szCs w:val="24"/>
              </w:rPr>
            </w:pPr>
            <w:r w:rsidRPr="0011332F">
              <w:rPr>
                <w:rFonts w:ascii="微軟正黑體" w:eastAsia="微軟正黑體" w:hAnsi="微軟正黑體" w:hint="eastAsia"/>
                <w:spacing w:val="20"/>
                <w:szCs w:val="24"/>
              </w:rPr>
              <w:t>修正說明</w:t>
            </w:r>
          </w:p>
        </w:tc>
      </w:tr>
      <w:tr w:rsidR="00C143B3" w:rsidRPr="0011332F" w14:paraId="229A474C" w14:textId="77777777" w:rsidTr="007F185D">
        <w:trPr>
          <w:trHeight w:val="8072"/>
        </w:trPr>
        <w:tc>
          <w:tcPr>
            <w:tcW w:w="1277" w:type="dxa"/>
            <w:tcBorders>
              <w:top w:val="single" w:sz="4" w:space="0" w:color="auto"/>
              <w:bottom w:val="single" w:sz="4" w:space="0" w:color="auto"/>
              <w:right w:val="single" w:sz="4" w:space="0" w:color="auto"/>
            </w:tcBorders>
          </w:tcPr>
          <w:p w14:paraId="1523C27F" w14:textId="77777777" w:rsidR="00C143B3" w:rsidRPr="00922086" w:rsidRDefault="00C143B3" w:rsidP="00922086">
            <w:pPr>
              <w:spacing w:line="340" w:lineRule="exact"/>
              <w:rPr>
                <w:rFonts w:ascii="微軟正黑體" w:eastAsia="微軟正黑體" w:hAnsi="微軟正黑體"/>
                <w:spacing w:val="-20"/>
                <w:szCs w:val="24"/>
              </w:rPr>
            </w:pPr>
            <w:r w:rsidRPr="00922086">
              <w:rPr>
                <w:rFonts w:ascii="微軟正黑體" w:eastAsia="微軟正黑體" w:hAnsi="微軟正黑體"/>
                <w:spacing w:val="-20"/>
                <w:szCs w:val="24"/>
              </w:rPr>
              <w:t>CA-683</w:t>
            </w:r>
            <w:r w:rsidRPr="00922086">
              <w:rPr>
                <w:rFonts w:ascii="微軟正黑體" w:eastAsia="微軟正黑體" w:hAnsi="微軟正黑體" w:hint="eastAsia"/>
                <w:spacing w:val="-20"/>
                <w:szCs w:val="24"/>
              </w:rPr>
              <w:t>30</w:t>
            </w:r>
          </w:p>
          <w:p w14:paraId="17E92E46" w14:textId="77777777" w:rsidR="007F185D" w:rsidRPr="0011332F" w:rsidRDefault="007F185D" w:rsidP="00922086">
            <w:pPr>
              <w:spacing w:line="340" w:lineRule="exact"/>
              <w:rPr>
                <w:rFonts w:ascii="微軟正黑體" w:eastAsia="微軟正黑體" w:hAnsi="微軟正黑體"/>
                <w:szCs w:val="24"/>
              </w:rPr>
            </w:pPr>
          </w:p>
          <w:p w14:paraId="67A0E661" w14:textId="77777777" w:rsidR="007F185D" w:rsidRPr="0011332F" w:rsidRDefault="007F185D" w:rsidP="00922086">
            <w:pPr>
              <w:spacing w:line="340" w:lineRule="exact"/>
              <w:rPr>
                <w:rFonts w:ascii="微軟正黑體" w:eastAsia="微軟正黑體" w:hAnsi="微軟正黑體"/>
                <w:szCs w:val="24"/>
              </w:rPr>
            </w:pPr>
          </w:p>
          <w:p w14:paraId="22B304DC" w14:textId="77777777" w:rsidR="007F185D" w:rsidRPr="0011332F" w:rsidRDefault="007F185D" w:rsidP="00922086">
            <w:pPr>
              <w:spacing w:line="340" w:lineRule="exact"/>
              <w:rPr>
                <w:rFonts w:ascii="微軟正黑體" w:eastAsia="微軟正黑體" w:hAnsi="微軟正黑體"/>
                <w:szCs w:val="24"/>
              </w:rPr>
            </w:pPr>
          </w:p>
          <w:p w14:paraId="48CE3BCC" w14:textId="77777777" w:rsidR="007F185D" w:rsidRPr="0011332F" w:rsidRDefault="007F185D" w:rsidP="00922086">
            <w:pPr>
              <w:spacing w:line="340" w:lineRule="exact"/>
              <w:rPr>
                <w:rFonts w:ascii="微軟正黑體" w:eastAsia="微軟正黑體" w:hAnsi="微軟正黑體"/>
                <w:szCs w:val="24"/>
              </w:rPr>
            </w:pPr>
          </w:p>
          <w:p w14:paraId="2AD8CCB7" w14:textId="77777777" w:rsidR="007F185D" w:rsidRPr="0011332F" w:rsidRDefault="007F185D" w:rsidP="00922086">
            <w:pPr>
              <w:spacing w:line="340" w:lineRule="exact"/>
              <w:rPr>
                <w:rFonts w:ascii="微軟正黑體" w:eastAsia="微軟正黑體" w:hAnsi="微軟正黑體"/>
                <w:szCs w:val="24"/>
              </w:rPr>
            </w:pPr>
          </w:p>
          <w:p w14:paraId="5A324685" w14:textId="77777777" w:rsidR="007F185D" w:rsidRPr="0011332F" w:rsidRDefault="007F185D" w:rsidP="00922086">
            <w:pPr>
              <w:spacing w:line="340" w:lineRule="exact"/>
              <w:rPr>
                <w:rFonts w:ascii="微軟正黑體" w:eastAsia="微軟正黑體" w:hAnsi="微軟正黑體"/>
                <w:szCs w:val="24"/>
              </w:rPr>
            </w:pPr>
          </w:p>
          <w:p w14:paraId="55C84571" w14:textId="77777777" w:rsidR="007F185D" w:rsidRPr="0011332F" w:rsidRDefault="007F185D" w:rsidP="00922086">
            <w:pPr>
              <w:spacing w:line="340" w:lineRule="exact"/>
              <w:rPr>
                <w:rFonts w:ascii="微軟正黑體" w:eastAsia="微軟正黑體" w:hAnsi="微軟正黑體"/>
                <w:szCs w:val="24"/>
              </w:rPr>
            </w:pPr>
          </w:p>
          <w:p w14:paraId="7F1CD3D1" w14:textId="77777777" w:rsidR="007F185D" w:rsidRPr="0011332F" w:rsidRDefault="007F185D" w:rsidP="00922086">
            <w:pPr>
              <w:spacing w:line="340" w:lineRule="exact"/>
              <w:rPr>
                <w:rFonts w:ascii="微軟正黑體" w:eastAsia="微軟正黑體" w:hAnsi="微軟正黑體"/>
                <w:szCs w:val="24"/>
              </w:rPr>
            </w:pPr>
          </w:p>
          <w:p w14:paraId="0FF6FBFB" w14:textId="77777777" w:rsidR="007F185D" w:rsidRPr="0011332F" w:rsidRDefault="007F185D" w:rsidP="00922086">
            <w:pPr>
              <w:spacing w:line="340" w:lineRule="exact"/>
              <w:rPr>
                <w:rFonts w:ascii="微軟正黑體" w:eastAsia="微軟正黑體" w:hAnsi="微軟正黑體"/>
                <w:szCs w:val="24"/>
              </w:rPr>
            </w:pPr>
          </w:p>
          <w:p w14:paraId="112D73D3" w14:textId="77777777" w:rsidR="007F185D" w:rsidRPr="0011332F" w:rsidRDefault="007F185D" w:rsidP="00922086">
            <w:pPr>
              <w:spacing w:line="340" w:lineRule="exact"/>
              <w:rPr>
                <w:rFonts w:ascii="微軟正黑體" w:eastAsia="微軟正黑體" w:hAnsi="微軟正黑體"/>
                <w:szCs w:val="24"/>
              </w:rPr>
            </w:pPr>
          </w:p>
          <w:p w14:paraId="17C11C81" w14:textId="77777777" w:rsidR="007F185D" w:rsidRPr="0011332F" w:rsidRDefault="007F185D" w:rsidP="00922086">
            <w:pPr>
              <w:spacing w:line="340" w:lineRule="exact"/>
              <w:rPr>
                <w:rFonts w:ascii="微軟正黑體" w:eastAsia="微軟正黑體" w:hAnsi="微軟正黑體"/>
                <w:szCs w:val="24"/>
              </w:rPr>
            </w:pPr>
          </w:p>
          <w:p w14:paraId="666F32D7" w14:textId="77777777" w:rsidR="007F185D" w:rsidRPr="0011332F" w:rsidRDefault="007F185D" w:rsidP="00922086">
            <w:pPr>
              <w:spacing w:line="340" w:lineRule="exact"/>
              <w:rPr>
                <w:rFonts w:ascii="微軟正黑體" w:eastAsia="微軟正黑體" w:hAnsi="微軟正黑體"/>
                <w:szCs w:val="24"/>
              </w:rPr>
            </w:pPr>
          </w:p>
          <w:p w14:paraId="52FE41DD" w14:textId="77777777" w:rsidR="007F185D" w:rsidRPr="0011332F" w:rsidRDefault="007F185D" w:rsidP="00922086">
            <w:pPr>
              <w:spacing w:line="340" w:lineRule="exact"/>
              <w:rPr>
                <w:rFonts w:ascii="微軟正黑體" w:eastAsia="微軟正黑體" w:hAnsi="微軟正黑體"/>
                <w:szCs w:val="24"/>
              </w:rPr>
            </w:pPr>
          </w:p>
          <w:p w14:paraId="7F319A5E" w14:textId="77777777" w:rsidR="007F185D" w:rsidRPr="0011332F" w:rsidRDefault="007F185D" w:rsidP="00922086">
            <w:pPr>
              <w:spacing w:line="340" w:lineRule="exact"/>
              <w:rPr>
                <w:rFonts w:ascii="微軟正黑體" w:eastAsia="微軟正黑體" w:hAnsi="微軟正黑體"/>
                <w:szCs w:val="24"/>
              </w:rPr>
            </w:pPr>
          </w:p>
          <w:p w14:paraId="2CFBF53F" w14:textId="77777777" w:rsidR="007F185D" w:rsidRPr="0011332F" w:rsidRDefault="007F185D" w:rsidP="00922086">
            <w:pPr>
              <w:spacing w:line="340" w:lineRule="exact"/>
              <w:rPr>
                <w:rFonts w:ascii="微軟正黑體" w:eastAsia="微軟正黑體" w:hAnsi="微軟正黑體"/>
                <w:szCs w:val="24"/>
              </w:rPr>
            </w:pPr>
          </w:p>
          <w:p w14:paraId="58FC3758" w14:textId="77777777" w:rsidR="007F185D" w:rsidRPr="0011332F" w:rsidRDefault="007F185D" w:rsidP="00922086">
            <w:pPr>
              <w:spacing w:line="340" w:lineRule="exact"/>
              <w:rPr>
                <w:rFonts w:ascii="微軟正黑體" w:eastAsia="微軟正黑體" w:hAnsi="微軟正黑體"/>
                <w:szCs w:val="24"/>
              </w:rPr>
            </w:pPr>
          </w:p>
          <w:p w14:paraId="5EE4136B" w14:textId="77777777" w:rsidR="007F185D" w:rsidRPr="0011332F" w:rsidRDefault="007F185D" w:rsidP="00922086">
            <w:pPr>
              <w:spacing w:line="340" w:lineRule="exact"/>
              <w:rPr>
                <w:rFonts w:ascii="微軟正黑體" w:eastAsia="微軟正黑體" w:hAnsi="微軟正黑體"/>
                <w:szCs w:val="24"/>
              </w:rPr>
            </w:pPr>
          </w:p>
          <w:p w14:paraId="6EC9D1A6" w14:textId="77777777" w:rsidR="007F185D" w:rsidRPr="0011332F" w:rsidRDefault="007F185D" w:rsidP="00922086">
            <w:pPr>
              <w:spacing w:line="340" w:lineRule="exact"/>
              <w:rPr>
                <w:rFonts w:ascii="微軟正黑體" w:eastAsia="微軟正黑體" w:hAnsi="微軟正黑體"/>
                <w:szCs w:val="24"/>
              </w:rPr>
            </w:pPr>
          </w:p>
          <w:p w14:paraId="4F7CCF14" w14:textId="77777777" w:rsidR="007F185D" w:rsidRPr="0011332F" w:rsidRDefault="007F185D" w:rsidP="00922086">
            <w:pPr>
              <w:spacing w:line="340" w:lineRule="exact"/>
              <w:rPr>
                <w:rFonts w:ascii="微軟正黑體" w:eastAsia="微軟正黑體" w:hAnsi="微軟正黑體"/>
                <w:szCs w:val="24"/>
              </w:rPr>
            </w:pPr>
          </w:p>
          <w:p w14:paraId="02212330" w14:textId="77777777" w:rsidR="007F185D" w:rsidRPr="0011332F" w:rsidRDefault="007F185D" w:rsidP="00922086">
            <w:pPr>
              <w:spacing w:line="340" w:lineRule="exact"/>
              <w:rPr>
                <w:rFonts w:ascii="微軟正黑體" w:eastAsia="微軟正黑體" w:hAnsi="微軟正黑體"/>
                <w:szCs w:val="24"/>
              </w:rPr>
            </w:pPr>
          </w:p>
          <w:p w14:paraId="4C4F91A6" w14:textId="77777777" w:rsidR="007F185D" w:rsidRPr="0011332F" w:rsidRDefault="007F185D" w:rsidP="00922086">
            <w:pPr>
              <w:spacing w:line="340" w:lineRule="exact"/>
              <w:rPr>
                <w:rFonts w:ascii="微軟正黑體" w:eastAsia="微軟正黑體" w:hAnsi="微軟正黑體"/>
                <w:szCs w:val="24"/>
              </w:rPr>
            </w:pPr>
          </w:p>
          <w:p w14:paraId="23936367" w14:textId="77777777" w:rsidR="007F185D" w:rsidRPr="0011332F" w:rsidRDefault="007F185D" w:rsidP="00922086">
            <w:pPr>
              <w:spacing w:line="340" w:lineRule="exact"/>
              <w:rPr>
                <w:rFonts w:ascii="微軟正黑體" w:eastAsia="微軟正黑體" w:hAnsi="微軟正黑體" w:hint="eastAsia"/>
                <w:szCs w:val="24"/>
              </w:rPr>
            </w:pPr>
          </w:p>
        </w:tc>
        <w:tc>
          <w:tcPr>
            <w:tcW w:w="1446" w:type="dxa"/>
            <w:tcBorders>
              <w:top w:val="single" w:sz="4" w:space="0" w:color="auto"/>
              <w:left w:val="single" w:sz="4" w:space="0" w:color="auto"/>
              <w:bottom w:val="single" w:sz="4" w:space="0" w:color="auto"/>
              <w:right w:val="single" w:sz="4" w:space="0" w:color="auto"/>
            </w:tcBorders>
          </w:tcPr>
          <w:p w14:paraId="68592595" w14:textId="77777777" w:rsidR="00C143B3" w:rsidRPr="0011332F" w:rsidRDefault="00C143B3" w:rsidP="00922086">
            <w:pPr>
              <w:spacing w:line="340" w:lineRule="exact"/>
              <w:ind w:left="22" w:hanging="22"/>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受託買賣及成交作業</w:t>
            </w:r>
          </w:p>
          <w:p w14:paraId="3F03A3B0" w14:textId="77777777" w:rsidR="00C143B3" w:rsidRPr="0011332F" w:rsidRDefault="00C143B3" w:rsidP="00922086">
            <w:pPr>
              <w:spacing w:line="340" w:lineRule="exact"/>
              <w:rPr>
                <w:rFonts w:ascii="微軟正黑體" w:eastAsia="微軟正黑體" w:hAnsi="微軟正黑體"/>
                <w:spacing w:val="20"/>
                <w:szCs w:val="24"/>
              </w:rPr>
            </w:pPr>
          </w:p>
        </w:tc>
        <w:tc>
          <w:tcPr>
            <w:tcW w:w="4791" w:type="dxa"/>
            <w:tcBorders>
              <w:top w:val="single" w:sz="4" w:space="0" w:color="auto"/>
              <w:left w:val="single" w:sz="4" w:space="0" w:color="auto"/>
              <w:bottom w:val="single" w:sz="4" w:space="0" w:color="auto"/>
              <w:right w:val="single" w:sz="4" w:space="0" w:color="auto"/>
            </w:tcBorders>
          </w:tcPr>
          <w:p w14:paraId="09AB799F" w14:textId="77777777" w:rsidR="00C143B3" w:rsidRPr="0011332F" w:rsidRDefault="00C143B3" w:rsidP="00922086">
            <w:pPr>
              <w:spacing w:line="340" w:lineRule="exact"/>
              <w:ind w:left="560" w:hangingChars="200" w:hanging="560"/>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五、受託買賣作業：</w:t>
            </w:r>
          </w:p>
          <w:p w14:paraId="126584B5" w14:textId="77777777" w:rsidR="00C143B3" w:rsidRPr="0011332F" w:rsidRDefault="00C143B3" w:rsidP="00922086">
            <w:pPr>
              <w:spacing w:line="340" w:lineRule="exact"/>
              <w:ind w:leftChars="-55" w:left="694" w:hangingChars="295" w:hanging="826"/>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（一）公司應於交易前</w:t>
            </w:r>
            <w:r w:rsidRPr="0011332F">
              <w:rPr>
                <w:rFonts w:ascii="微軟正黑體" w:eastAsia="微軟正黑體" w:hAnsi="微軟正黑體" w:hint="eastAsia"/>
                <w:color w:val="FF0000"/>
                <w:spacing w:val="20"/>
                <w:szCs w:val="24"/>
                <w:u w:val="single"/>
              </w:rPr>
              <w:t>及成交後之對帳</w:t>
            </w:r>
            <w:r w:rsidRPr="0011332F">
              <w:rPr>
                <w:rFonts w:ascii="微軟正黑體" w:eastAsia="微軟正黑體" w:hAnsi="微軟正黑體" w:hint="eastAsia"/>
                <w:spacing w:val="20"/>
                <w:szCs w:val="24"/>
                <w:u w:val="single"/>
              </w:rPr>
              <w:t>單</w:t>
            </w:r>
            <w:r w:rsidRPr="0011332F">
              <w:rPr>
                <w:rFonts w:ascii="微軟正黑體" w:eastAsia="微軟正黑體" w:hAnsi="微軟正黑體" w:hint="eastAsia"/>
                <w:spacing w:val="20"/>
                <w:szCs w:val="24"/>
              </w:rPr>
              <w:t>向委託人揭露手續費、其他相關費用與其收取方式。</w:t>
            </w:r>
            <w:r w:rsidRPr="0011332F">
              <w:rPr>
                <w:rFonts w:ascii="微軟正黑體" w:eastAsia="微軟正黑體" w:hAnsi="微軟正黑體" w:hint="eastAsia"/>
                <w:color w:val="FF0000"/>
                <w:spacing w:val="20"/>
                <w:szCs w:val="24"/>
                <w:u w:val="single"/>
              </w:rPr>
              <w:t>前開費用有關手續費之揭露方式應敘明內含或外加之固定比率或區間比率範圍方式為之。</w:t>
            </w:r>
          </w:p>
          <w:p w14:paraId="5BA0D338" w14:textId="77777777" w:rsidR="00C143B3" w:rsidRPr="0011332F" w:rsidRDefault="00C143B3" w:rsidP="00922086">
            <w:pPr>
              <w:spacing w:line="340" w:lineRule="exact"/>
              <w:ind w:leftChars="300" w:left="720"/>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公司應依規定方式及相關程序接受委託人委託買賣外國有價證券。</w:t>
            </w:r>
          </w:p>
          <w:p w14:paraId="43D3DF6A" w14:textId="77777777" w:rsidR="00C143B3" w:rsidRPr="0011332F" w:rsidRDefault="00C143B3" w:rsidP="00922086">
            <w:pPr>
              <w:spacing w:line="340" w:lineRule="exact"/>
              <w:ind w:leftChars="300" w:left="720"/>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公司接受委託人以定期定股方式委託買賣外國有價證券，應就標的選定標準建立內部控管作業程序，並依相關作業程序辦理。</w:t>
            </w:r>
          </w:p>
          <w:p w14:paraId="322EB7B5" w14:textId="77777777" w:rsidR="00C143B3" w:rsidRPr="0011332F" w:rsidRDefault="00C143B3" w:rsidP="00922086">
            <w:pPr>
              <w:spacing w:line="340" w:lineRule="exact"/>
              <w:ind w:leftChars="300" w:left="720"/>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公司如接受委託人以定期定股方式委託買賣外國有價證券，應依前二項規定辦理，且應依規定就得受託標的進行審查。公司另應於營業處所或網站揭露公司受託定期定股買賣外國有價證券相關訊息。</w:t>
            </w:r>
          </w:p>
          <w:p w14:paraId="454A5832" w14:textId="77777777" w:rsidR="007F185D" w:rsidRPr="0011332F" w:rsidRDefault="007F185D" w:rsidP="00922086">
            <w:pPr>
              <w:spacing w:line="340" w:lineRule="exact"/>
              <w:ind w:leftChars="300" w:left="720"/>
              <w:jc w:val="both"/>
              <w:rPr>
                <w:rFonts w:ascii="微軟正黑體" w:eastAsia="微軟正黑體" w:hAnsi="微軟正黑體" w:hint="eastAsia"/>
                <w:spacing w:val="20"/>
                <w:szCs w:val="24"/>
              </w:rPr>
            </w:pPr>
          </w:p>
          <w:p w14:paraId="50264DE8" w14:textId="77777777" w:rsidR="00C143B3" w:rsidRPr="0011332F" w:rsidRDefault="007F185D" w:rsidP="00922086">
            <w:pPr>
              <w:spacing w:line="340" w:lineRule="exact"/>
              <w:ind w:leftChars="300" w:left="720"/>
              <w:jc w:val="both"/>
              <w:rPr>
                <w:rFonts w:ascii="微軟正黑體" w:eastAsia="微軟正黑體" w:hAnsi="微軟正黑體" w:hint="eastAsia"/>
                <w:spacing w:val="20"/>
                <w:szCs w:val="24"/>
              </w:rPr>
            </w:pPr>
            <w:r w:rsidRPr="0011332F">
              <w:rPr>
                <w:rFonts w:ascii="微軟正黑體" w:eastAsia="微軟正黑體" w:hAnsi="微軟正黑體" w:hint="eastAsia"/>
                <w:spacing w:val="20"/>
                <w:szCs w:val="24"/>
              </w:rPr>
              <w:t>(</w:t>
            </w:r>
            <w:r w:rsidRPr="0011332F">
              <w:rPr>
                <w:rFonts w:ascii="微軟正黑體" w:eastAsia="微軟正黑體" w:hAnsi="微軟正黑體"/>
                <w:spacing w:val="20"/>
                <w:szCs w:val="24"/>
              </w:rPr>
              <w:t>…</w:t>
            </w:r>
            <w:r w:rsidRPr="0011332F">
              <w:rPr>
                <w:rFonts w:ascii="微軟正黑體" w:eastAsia="微軟正黑體" w:hAnsi="微軟正黑體" w:hint="eastAsia"/>
                <w:spacing w:val="20"/>
                <w:szCs w:val="24"/>
              </w:rPr>
              <w:t>以下省略)</w:t>
            </w:r>
          </w:p>
        </w:tc>
        <w:tc>
          <w:tcPr>
            <w:tcW w:w="4819" w:type="dxa"/>
            <w:tcBorders>
              <w:top w:val="single" w:sz="4" w:space="0" w:color="auto"/>
              <w:left w:val="single" w:sz="4" w:space="0" w:color="auto"/>
              <w:bottom w:val="single" w:sz="4" w:space="0" w:color="auto"/>
              <w:right w:val="single" w:sz="4" w:space="0" w:color="auto"/>
            </w:tcBorders>
          </w:tcPr>
          <w:p w14:paraId="68878BA7" w14:textId="77777777" w:rsidR="00C143B3" w:rsidRPr="0011332F" w:rsidRDefault="00C143B3" w:rsidP="00922086">
            <w:pPr>
              <w:spacing w:line="340" w:lineRule="exact"/>
              <w:ind w:left="560" w:hangingChars="200" w:hanging="560"/>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五、受託買賣作業：</w:t>
            </w:r>
          </w:p>
          <w:p w14:paraId="330585B9" w14:textId="77777777" w:rsidR="00C143B3" w:rsidRPr="0011332F" w:rsidRDefault="00C143B3" w:rsidP="00922086">
            <w:pPr>
              <w:spacing w:line="340" w:lineRule="exact"/>
              <w:ind w:leftChars="-55" w:left="694" w:hangingChars="295" w:hanging="826"/>
              <w:rPr>
                <w:rFonts w:ascii="微軟正黑體" w:eastAsia="微軟正黑體" w:hAnsi="微軟正黑體"/>
                <w:spacing w:val="20"/>
                <w:szCs w:val="24"/>
              </w:rPr>
            </w:pPr>
            <w:r w:rsidRPr="0011332F">
              <w:rPr>
                <w:rFonts w:ascii="微軟正黑體" w:eastAsia="微軟正黑體" w:hAnsi="微軟正黑體" w:hint="eastAsia"/>
                <w:spacing w:val="20"/>
                <w:szCs w:val="24"/>
              </w:rPr>
              <w:t>（一）公司應於交易前向委託人揭露手續費、其他相關費用與其收取方式。</w:t>
            </w:r>
          </w:p>
          <w:p w14:paraId="75E7CDF0" w14:textId="77777777" w:rsidR="00977954" w:rsidRPr="0011332F" w:rsidRDefault="00977954" w:rsidP="00922086">
            <w:pPr>
              <w:spacing w:line="340" w:lineRule="exact"/>
              <w:ind w:leftChars="300" w:left="720"/>
              <w:jc w:val="both"/>
              <w:rPr>
                <w:rFonts w:ascii="微軟正黑體" w:eastAsia="微軟正黑體" w:hAnsi="微軟正黑體"/>
                <w:spacing w:val="20"/>
                <w:szCs w:val="24"/>
              </w:rPr>
            </w:pPr>
          </w:p>
          <w:p w14:paraId="58D4782E" w14:textId="77777777" w:rsidR="00977954" w:rsidRPr="0011332F" w:rsidRDefault="00977954" w:rsidP="00922086">
            <w:pPr>
              <w:spacing w:line="340" w:lineRule="exact"/>
              <w:ind w:leftChars="300" w:left="720"/>
              <w:jc w:val="both"/>
              <w:rPr>
                <w:rFonts w:ascii="微軟正黑體" w:eastAsia="微軟正黑體" w:hAnsi="微軟正黑體"/>
                <w:spacing w:val="20"/>
                <w:szCs w:val="24"/>
              </w:rPr>
            </w:pPr>
          </w:p>
          <w:p w14:paraId="6A13709F" w14:textId="77777777" w:rsidR="006C07E3" w:rsidRPr="0011332F" w:rsidRDefault="006C07E3" w:rsidP="00922086">
            <w:pPr>
              <w:spacing w:line="340" w:lineRule="exact"/>
              <w:ind w:leftChars="300" w:left="720"/>
              <w:jc w:val="both"/>
              <w:rPr>
                <w:rFonts w:ascii="微軟正黑體" w:eastAsia="微軟正黑體" w:hAnsi="微軟正黑體"/>
                <w:spacing w:val="20"/>
                <w:szCs w:val="24"/>
              </w:rPr>
            </w:pPr>
          </w:p>
          <w:p w14:paraId="06D483E5" w14:textId="77777777" w:rsidR="00C143B3" w:rsidRPr="0011332F" w:rsidRDefault="00C143B3" w:rsidP="00922086">
            <w:pPr>
              <w:spacing w:line="340" w:lineRule="exact"/>
              <w:ind w:leftChars="300" w:left="720"/>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公司應依規定方式及相關程序接受委託人委託買賣外國有價證券。</w:t>
            </w:r>
          </w:p>
          <w:p w14:paraId="21D48C89" w14:textId="77777777" w:rsidR="00C143B3" w:rsidRPr="0011332F" w:rsidRDefault="00C143B3" w:rsidP="00922086">
            <w:pPr>
              <w:spacing w:line="340" w:lineRule="exact"/>
              <w:ind w:leftChars="300" w:left="720"/>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公司接受委託人以定期定股方式委託買賣外國有價證券，應就標的選定標準建立內部控管作業程序，並依相關作業程序辦理。</w:t>
            </w:r>
          </w:p>
          <w:p w14:paraId="72201AEA" w14:textId="77777777" w:rsidR="00C143B3" w:rsidRPr="0011332F" w:rsidRDefault="00C143B3" w:rsidP="00922086">
            <w:pPr>
              <w:spacing w:line="340" w:lineRule="exact"/>
              <w:ind w:leftChars="300" w:left="720"/>
              <w:jc w:val="both"/>
              <w:rPr>
                <w:rFonts w:ascii="微軟正黑體" w:eastAsia="微軟正黑體" w:hAnsi="微軟正黑體"/>
                <w:spacing w:val="20"/>
                <w:szCs w:val="24"/>
              </w:rPr>
            </w:pPr>
            <w:r w:rsidRPr="0011332F">
              <w:rPr>
                <w:rFonts w:ascii="微軟正黑體" w:eastAsia="微軟正黑體" w:hAnsi="微軟正黑體" w:hint="eastAsia"/>
                <w:spacing w:val="20"/>
                <w:szCs w:val="24"/>
              </w:rPr>
              <w:t>公司如接受委託人以定期定股方式委託買賣外國有價證券，應依前二項規定辦理，且應依規定就得受託標的進行審查。公司另應於營業處所或網站揭露公司受託定期定股買賣外國有價證券相關訊息。</w:t>
            </w:r>
          </w:p>
          <w:p w14:paraId="54B57738" w14:textId="77777777" w:rsidR="007F185D" w:rsidRPr="0011332F" w:rsidRDefault="007F185D" w:rsidP="00922086">
            <w:pPr>
              <w:spacing w:line="340" w:lineRule="exact"/>
              <w:ind w:leftChars="300" w:left="720"/>
              <w:jc w:val="both"/>
              <w:rPr>
                <w:rFonts w:ascii="微軟正黑體" w:eastAsia="微軟正黑體" w:hAnsi="微軟正黑體"/>
                <w:spacing w:val="20"/>
                <w:szCs w:val="24"/>
              </w:rPr>
            </w:pPr>
          </w:p>
          <w:p w14:paraId="50AB950E" w14:textId="77777777" w:rsidR="007F185D" w:rsidRPr="0011332F" w:rsidRDefault="007F185D" w:rsidP="00922086">
            <w:pPr>
              <w:spacing w:line="340" w:lineRule="exact"/>
              <w:ind w:leftChars="300" w:left="720"/>
              <w:jc w:val="both"/>
              <w:rPr>
                <w:rFonts w:ascii="微軟正黑體" w:eastAsia="微軟正黑體" w:hAnsi="微軟正黑體" w:hint="eastAsia"/>
                <w:spacing w:val="20"/>
                <w:szCs w:val="24"/>
              </w:rPr>
            </w:pPr>
            <w:r w:rsidRPr="0011332F">
              <w:rPr>
                <w:rFonts w:ascii="微軟正黑體" w:eastAsia="微軟正黑體" w:hAnsi="微軟正黑體" w:hint="eastAsia"/>
                <w:spacing w:val="20"/>
                <w:szCs w:val="24"/>
              </w:rPr>
              <w:t>(</w:t>
            </w:r>
            <w:r w:rsidRPr="0011332F">
              <w:rPr>
                <w:rFonts w:ascii="微軟正黑體" w:eastAsia="微軟正黑體" w:hAnsi="微軟正黑體"/>
                <w:spacing w:val="20"/>
                <w:szCs w:val="24"/>
              </w:rPr>
              <w:t>…</w:t>
            </w:r>
            <w:r w:rsidRPr="0011332F">
              <w:rPr>
                <w:rFonts w:ascii="微軟正黑體" w:eastAsia="微軟正黑體" w:hAnsi="微軟正黑體" w:hint="eastAsia"/>
                <w:spacing w:val="20"/>
                <w:szCs w:val="24"/>
              </w:rPr>
              <w:t>以下省略)</w:t>
            </w:r>
          </w:p>
        </w:tc>
        <w:tc>
          <w:tcPr>
            <w:tcW w:w="3006" w:type="dxa"/>
            <w:tcBorders>
              <w:top w:val="single" w:sz="4" w:space="0" w:color="auto"/>
              <w:left w:val="single" w:sz="4" w:space="0" w:color="auto"/>
              <w:bottom w:val="single" w:sz="4" w:space="0" w:color="auto"/>
            </w:tcBorders>
          </w:tcPr>
          <w:p w14:paraId="618221A3" w14:textId="77777777" w:rsidR="008F3A97" w:rsidRPr="0011332F" w:rsidRDefault="008F3A97" w:rsidP="00922086">
            <w:pPr>
              <w:spacing w:line="340" w:lineRule="exact"/>
              <w:ind w:left="560" w:hangingChars="200" w:hanging="560"/>
              <w:jc w:val="both"/>
              <w:rPr>
                <w:rFonts w:ascii="微軟正黑體" w:eastAsia="微軟正黑體" w:hAnsi="微軟正黑體"/>
                <w:spacing w:val="20"/>
                <w:szCs w:val="24"/>
                <w:lang w:val="es-ES_tradnl"/>
              </w:rPr>
            </w:pPr>
            <w:r w:rsidRPr="0011332F">
              <w:rPr>
                <w:rFonts w:ascii="微軟正黑體" w:eastAsia="微軟正黑體" w:hAnsi="微軟正黑體" w:hint="eastAsia"/>
                <w:spacing w:val="20"/>
                <w:szCs w:val="24"/>
                <w:lang w:val="es-ES_tradnl"/>
              </w:rPr>
              <w:t>一、修訂第一款</w:t>
            </w:r>
            <w:r w:rsidRPr="0011332F">
              <w:rPr>
                <w:rFonts w:ascii="微軟正黑體" w:eastAsia="微軟正黑體" w:hAnsi="微軟正黑體" w:hint="eastAsia"/>
                <w:spacing w:val="20"/>
                <w:szCs w:val="24"/>
                <w:lang w:val="es-ES_tradnl" w:eastAsia="zh-HK"/>
              </w:rPr>
              <w:t>第一項</w:t>
            </w:r>
            <w:r w:rsidRPr="0011332F">
              <w:rPr>
                <w:rFonts w:ascii="微軟正黑體" w:eastAsia="微軟正黑體" w:hAnsi="微軟正黑體" w:hint="eastAsia"/>
                <w:spacing w:val="20"/>
                <w:szCs w:val="24"/>
                <w:lang w:val="es-ES_tradnl"/>
              </w:rPr>
              <w:t>。</w:t>
            </w:r>
          </w:p>
          <w:p w14:paraId="5851451A" w14:textId="77777777" w:rsidR="008F3A97" w:rsidRPr="0011332F" w:rsidRDefault="008F3A97" w:rsidP="00922086">
            <w:pPr>
              <w:spacing w:line="340" w:lineRule="exact"/>
              <w:ind w:left="560" w:hangingChars="200" w:hanging="560"/>
              <w:jc w:val="both"/>
              <w:rPr>
                <w:rFonts w:ascii="微軟正黑體" w:eastAsia="微軟正黑體" w:hAnsi="微軟正黑體"/>
                <w:spacing w:val="20"/>
                <w:szCs w:val="24"/>
                <w:lang w:val="es-ES_tradnl"/>
              </w:rPr>
            </w:pPr>
            <w:r w:rsidRPr="0011332F">
              <w:rPr>
                <w:rFonts w:ascii="微軟正黑體" w:eastAsia="微軟正黑體" w:hAnsi="微軟正黑體" w:hint="eastAsia"/>
                <w:spacing w:val="20"/>
                <w:szCs w:val="24"/>
                <w:lang w:val="es-ES_tradnl"/>
              </w:rPr>
              <w:t>二、配合本公會108年5月13日修訂「證券商受託買賣外國有價證券管理辦法」第</w:t>
            </w:r>
            <w:r w:rsidRPr="0011332F">
              <w:rPr>
                <w:rFonts w:ascii="微軟正黑體" w:eastAsia="微軟正黑體" w:hAnsi="微軟正黑體"/>
                <w:spacing w:val="20"/>
                <w:szCs w:val="24"/>
                <w:lang w:val="es-ES_tradnl"/>
              </w:rPr>
              <w:t>31</w:t>
            </w:r>
            <w:r w:rsidRPr="0011332F">
              <w:rPr>
                <w:rFonts w:ascii="微軟正黑體" w:eastAsia="微軟正黑體" w:hAnsi="微軟正黑體" w:hint="eastAsia"/>
                <w:spacing w:val="20"/>
                <w:szCs w:val="24"/>
                <w:lang w:val="es-ES_tradnl"/>
              </w:rPr>
              <w:t>條作修訂。</w:t>
            </w:r>
          </w:p>
          <w:p w14:paraId="40D4DCF3" w14:textId="77777777" w:rsidR="008F3A97" w:rsidRPr="0011332F" w:rsidRDefault="008F3A97" w:rsidP="00922086">
            <w:pPr>
              <w:spacing w:line="340" w:lineRule="exact"/>
              <w:ind w:left="560" w:hangingChars="200" w:hanging="560"/>
              <w:jc w:val="both"/>
              <w:rPr>
                <w:rFonts w:ascii="微軟正黑體" w:eastAsia="微軟正黑體" w:hAnsi="微軟正黑體"/>
                <w:spacing w:val="20"/>
                <w:sz w:val="22"/>
                <w:lang w:val="es-ES_tradnl"/>
              </w:rPr>
            </w:pPr>
            <w:r w:rsidRPr="0011332F">
              <w:rPr>
                <w:rFonts w:ascii="微軟正黑體" w:eastAsia="微軟正黑體" w:hAnsi="微軟正黑體" w:hint="eastAsia"/>
                <w:spacing w:val="20"/>
                <w:szCs w:val="24"/>
                <w:lang w:val="es-ES_tradnl"/>
              </w:rPr>
              <w:t>三、為保護投資人權益，訂定證券商辦理受託買賣外國有價證券業務，應於交易前及成交後之對帳單向委託人揭露相關費用與其收取方式。</w:t>
            </w:r>
          </w:p>
          <w:p w14:paraId="412D1C56" w14:textId="77777777" w:rsidR="006C07E3" w:rsidRPr="0011332F" w:rsidRDefault="006C07E3" w:rsidP="00922086">
            <w:pPr>
              <w:spacing w:line="340" w:lineRule="exact"/>
              <w:ind w:left="602" w:right="28" w:hangingChars="215" w:hanging="602"/>
              <w:jc w:val="both"/>
              <w:rPr>
                <w:rFonts w:ascii="微軟正黑體" w:eastAsia="微軟正黑體" w:hAnsi="微軟正黑體"/>
                <w:spacing w:val="20"/>
                <w:u w:val="single"/>
              </w:rPr>
            </w:pPr>
            <w:r w:rsidRPr="0011332F">
              <w:rPr>
                <w:rFonts w:ascii="微軟正黑體" w:eastAsia="微軟正黑體" w:hAnsi="微軟正黑體" w:hint="eastAsia"/>
                <w:spacing w:val="20"/>
                <w:u w:val="single"/>
              </w:rPr>
              <w:t>四</w:t>
            </w:r>
            <w:r w:rsidRPr="0011332F">
              <w:rPr>
                <w:rFonts w:ascii="微軟正黑體" w:eastAsia="微軟正黑體" w:hAnsi="微軟正黑體" w:hint="eastAsia"/>
                <w:spacing w:val="20"/>
                <w:szCs w:val="24"/>
                <w:lang w:val="es-ES_tradnl"/>
              </w:rPr>
              <w:t>、</w:t>
            </w:r>
            <w:r w:rsidRPr="0011332F">
              <w:rPr>
                <w:rFonts w:ascii="微軟正黑體" w:eastAsia="微軟正黑體" w:hAnsi="微軟正黑體" w:hint="eastAsia"/>
                <w:spacing w:val="20"/>
                <w:u w:val="single"/>
              </w:rPr>
              <w:t>金管會</w:t>
            </w:r>
            <w:r w:rsidRPr="0011332F">
              <w:rPr>
                <w:rFonts w:ascii="微軟正黑體" w:eastAsia="微軟正黑體" w:hAnsi="微軟正黑體"/>
                <w:spacing w:val="20"/>
                <w:u w:val="single"/>
              </w:rPr>
              <w:t>108</w:t>
            </w:r>
            <w:r w:rsidRPr="0011332F">
              <w:rPr>
                <w:rFonts w:ascii="微軟正黑體" w:eastAsia="微軟正黑體" w:hAnsi="微軟正黑體" w:hint="eastAsia"/>
                <w:spacing w:val="20"/>
                <w:u w:val="single"/>
              </w:rPr>
              <w:t>年</w:t>
            </w:r>
            <w:r w:rsidRPr="0011332F">
              <w:rPr>
                <w:rFonts w:ascii="微軟正黑體" w:eastAsia="微軟正黑體" w:hAnsi="微軟正黑體"/>
                <w:spacing w:val="20"/>
                <w:u w:val="single"/>
              </w:rPr>
              <w:t>12</w:t>
            </w:r>
            <w:r w:rsidRPr="0011332F">
              <w:rPr>
                <w:rFonts w:ascii="微軟正黑體" w:eastAsia="微軟正黑體" w:hAnsi="微軟正黑體" w:hint="eastAsia"/>
                <w:spacing w:val="20"/>
                <w:u w:val="single"/>
              </w:rPr>
              <w:t>月</w:t>
            </w:r>
            <w:r w:rsidRPr="0011332F">
              <w:rPr>
                <w:rFonts w:ascii="微軟正黑體" w:eastAsia="微軟正黑體" w:hAnsi="微軟正黑體"/>
                <w:spacing w:val="20"/>
                <w:u w:val="single"/>
              </w:rPr>
              <w:t>23</w:t>
            </w:r>
            <w:r w:rsidRPr="0011332F">
              <w:rPr>
                <w:rFonts w:ascii="微軟正黑體" w:eastAsia="微軟正黑體" w:hAnsi="微軟正黑體" w:hint="eastAsia"/>
                <w:spacing w:val="20"/>
                <w:u w:val="single"/>
              </w:rPr>
              <w:t>日金管證券字第</w:t>
            </w:r>
            <w:r w:rsidRPr="0011332F">
              <w:rPr>
                <w:rFonts w:ascii="微軟正黑體" w:eastAsia="微軟正黑體" w:hAnsi="微軟正黑體"/>
                <w:spacing w:val="20"/>
                <w:u w:val="single"/>
              </w:rPr>
              <w:t>1080339157</w:t>
            </w:r>
            <w:r w:rsidRPr="0011332F">
              <w:rPr>
                <w:rFonts w:ascii="微軟正黑體" w:eastAsia="微軟正黑體" w:hAnsi="微軟正黑體" w:hint="eastAsia"/>
                <w:spacing w:val="20"/>
                <w:u w:val="single"/>
              </w:rPr>
              <w:t>號函同意增訂</w:t>
            </w:r>
            <w:r w:rsidRPr="0011332F">
              <w:rPr>
                <w:rFonts w:ascii="微軟正黑體" w:eastAsia="微軟正黑體" w:hAnsi="微軟正黑體" w:hint="eastAsia"/>
                <w:spacing w:val="20"/>
                <w:szCs w:val="24"/>
                <w:lang w:val="es-ES_tradnl"/>
              </w:rPr>
              <w:t>。</w:t>
            </w:r>
          </w:p>
          <w:p w14:paraId="7AA4E2B6" w14:textId="77777777" w:rsidR="00733DE1" w:rsidRPr="0011332F" w:rsidRDefault="00733DE1" w:rsidP="00922086">
            <w:pPr>
              <w:spacing w:line="340" w:lineRule="exact"/>
              <w:ind w:left="520" w:rightChars="-45" w:right="-108" w:hangingChars="200" w:hanging="520"/>
              <w:rPr>
                <w:rFonts w:ascii="微軟正黑體" w:eastAsia="微軟正黑體" w:hAnsi="微軟正黑體"/>
                <w:spacing w:val="20"/>
                <w:sz w:val="22"/>
              </w:rPr>
            </w:pPr>
          </w:p>
        </w:tc>
      </w:tr>
    </w:tbl>
    <w:p w14:paraId="13ADE6BC" w14:textId="77777777" w:rsidR="00D76147" w:rsidRPr="0011332F" w:rsidRDefault="00D76147" w:rsidP="00922086">
      <w:pPr>
        <w:spacing w:line="340" w:lineRule="exact"/>
        <w:rPr>
          <w:rFonts w:ascii="微軟正黑體" w:eastAsia="微軟正黑體" w:hAnsi="微軟正黑體"/>
          <w:spacing w:val="20"/>
        </w:rPr>
      </w:pPr>
    </w:p>
    <w:sectPr w:rsidR="00D76147" w:rsidRPr="0011332F" w:rsidSect="00922086">
      <w:headerReference w:type="default" r:id="rId7"/>
      <w:pgSz w:w="16838" w:h="11906" w:orient="landscape"/>
      <w:pgMar w:top="1134" w:right="962"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648AC" w14:textId="77777777" w:rsidR="00032C1B" w:rsidRDefault="00032C1B" w:rsidP="0092018C">
      <w:r>
        <w:separator/>
      </w:r>
    </w:p>
  </w:endnote>
  <w:endnote w:type="continuationSeparator" w:id="0">
    <w:p w14:paraId="7F0CB521" w14:textId="77777777" w:rsidR="00032C1B" w:rsidRDefault="00032C1B" w:rsidP="0092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FF932" w14:textId="77777777" w:rsidR="00032C1B" w:rsidRDefault="00032C1B" w:rsidP="0092018C">
      <w:r>
        <w:separator/>
      </w:r>
    </w:p>
  </w:footnote>
  <w:footnote w:type="continuationSeparator" w:id="0">
    <w:p w14:paraId="32C9EE73" w14:textId="77777777" w:rsidR="00032C1B" w:rsidRDefault="00032C1B" w:rsidP="0092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CD4B4" w14:textId="784627D3" w:rsidR="0067422F" w:rsidRPr="0011332F" w:rsidRDefault="00977954" w:rsidP="0067422F">
    <w:pPr>
      <w:spacing w:afterLines="50" w:after="120" w:line="400" w:lineRule="exact"/>
      <w:jc w:val="center"/>
      <w:rPr>
        <w:rFonts w:ascii="微軟正黑體" w:eastAsia="微軟正黑體" w:hAnsi="微軟正黑體"/>
        <w:b/>
        <w:bCs/>
        <w:spacing w:val="20"/>
        <w:sz w:val="26"/>
        <w:szCs w:val="26"/>
      </w:rPr>
    </w:pPr>
    <w:r w:rsidRPr="0011332F">
      <w:rPr>
        <w:rFonts w:ascii="微軟正黑體" w:eastAsia="微軟正黑體" w:hAnsi="微軟正黑體" w:hint="eastAsia"/>
        <w:b/>
        <w:bCs/>
        <w:sz w:val="28"/>
        <w:szCs w:val="28"/>
      </w:rPr>
      <w:t>期貨商經營證券交易輔助業務內部控制制度標準規範—內部控制制度（外國有價證券）修正對照表</w:t>
    </w:r>
    <w:r w:rsidR="0067422F" w:rsidRPr="0011332F">
      <w:rPr>
        <w:rFonts w:ascii="微軟正黑體" w:eastAsia="微軟正黑體" w:hAnsi="微軟正黑體" w:hint="eastAsia"/>
        <w:b/>
        <w:bCs/>
        <w:spacing w:val="20"/>
        <w:sz w:val="26"/>
        <w:szCs w:val="26"/>
      </w:rPr>
      <w:t xml:space="preserve"> </w:t>
    </w:r>
    <w:r w:rsidR="00922086">
      <w:rPr>
        <w:rFonts w:ascii="微軟正黑體" w:eastAsia="微軟正黑體" w:hAnsi="微軟正黑體" w:hint="eastAsia"/>
        <w:b/>
        <w:bCs/>
        <w:spacing w:val="20"/>
        <w:sz w:val="22"/>
      </w:rPr>
      <w:t>(108年修訂通過</w:t>
    </w:r>
    <w:r w:rsidR="00922086">
      <w:rPr>
        <w:rFonts w:ascii="微軟正黑體" w:eastAsia="微軟正黑體" w:hAnsi="微軟正黑體" w:hint="eastAsia"/>
        <w:b/>
        <w:bCs/>
        <w:spacing w:val="20"/>
        <w:sz w:val="22"/>
        <w:lang w:eastAsia="zh-HK"/>
      </w:rPr>
      <w:t>)</w:t>
    </w:r>
  </w:p>
  <w:p w14:paraId="6838F68C" w14:textId="77777777" w:rsidR="0067422F" w:rsidRPr="0067422F" w:rsidRDefault="0067422F">
    <w:pPr>
      <w:pStyle w:val="a6"/>
    </w:pPr>
  </w:p>
  <w:p w14:paraId="6C574E1F" w14:textId="77777777" w:rsidR="0067422F" w:rsidRDefault="006742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95B79"/>
    <w:multiLevelType w:val="hybridMultilevel"/>
    <w:tmpl w:val="02083E7E"/>
    <w:lvl w:ilvl="0" w:tplc="B334830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FB0195"/>
    <w:multiLevelType w:val="hybridMultilevel"/>
    <w:tmpl w:val="DBC8107C"/>
    <w:lvl w:ilvl="0" w:tplc="B77818FC">
      <w:start w:val="1"/>
      <w:numFmt w:val="taiwaneseCountingThousand"/>
      <w:lvlText w:val="(%1)"/>
      <w:lvlJc w:val="left"/>
      <w:pPr>
        <w:ind w:left="893" w:hanging="720"/>
      </w:pPr>
      <w:rPr>
        <w:rFonts w:ascii="新細明體" w:eastAsia="新細明體" w:hAnsi="新細明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3"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32C1B"/>
    <w:rsid w:val="000743C7"/>
    <w:rsid w:val="00095244"/>
    <w:rsid w:val="000A6358"/>
    <w:rsid w:val="000C0F82"/>
    <w:rsid w:val="001068E9"/>
    <w:rsid w:val="0011332F"/>
    <w:rsid w:val="001427AF"/>
    <w:rsid w:val="001642F3"/>
    <w:rsid w:val="0019532B"/>
    <w:rsid w:val="001B4298"/>
    <w:rsid w:val="001F55BC"/>
    <w:rsid w:val="00212E69"/>
    <w:rsid w:val="00274351"/>
    <w:rsid w:val="00291D2C"/>
    <w:rsid w:val="002C672B"/>
    <w:rsid w:val="002C68F4"/>
    <w:rsid w:val="002D42AE"/>
    <w:rsid w:val="002E047F"/>
    <w:rsid w:val="00336F3E"/>
    <w:rsid w:val="00595B1D"/>
    <w:rsid w:val="005A1DDB"/>
    <w:rsid w:val="005D1814"/>
    <w:rsid w:val="00627D44"/>
    <w:rsid w:val="00662ACC"/>
    <w:rsid w:val="0067422F"/>
    <w:rsid w:val="006826FF"/>
    <w:rsid w:val="00685CFD"/>
    <w:rsid w:val="006C07E3"/>
    <w:rsid w:val="007154F5"/>
    <w:rsid w:val="00733DE1"/>
    <w:rsid w:val="00735681"/>
    <w:rsid w:val="007C3A99"/>
    <w:rsid w:val="007F185D"/>
    <w:rsid w:val="007F5B2E"/>
    <w:rsid w:val="00806B16"/>
    <w:rsid w:val="00811A9E"/>
    <w:rsid w:val="00816BD3"/>
    <w:rsid w:val="00822BD0"/>
    <w:rsid w:val="008627C7"/>
    <w:rsid w:val="00867873"/>
    <w:rsid w:val="008737AC"/>
    <w:rsid w:val="00875289"/>
    <w:rsid w:val="008C2AC5"/>
    <w:rsid w:val="008C7F24"/>
    <w:rsid w:val="008F3A97"/>
    <w:rsid w:val="008F3FC9"/>
    <w:rsid w:val="00912069"/>
    <w:rsid w:val="0092018C"/>
    <w:rsid w:val="00922086"/>
    <w:rsid w:val="00966BAE"/>
    <w:rsid w:val="009674E1"/>
    <w:rsid w:val="00977954"/>
    <w:rsid w:val="00996CE8"/>
    <w:rsid w:val="009C0906"/>
    <w:rsid w:val="009C551A"/>
    <w:rsid w:val="009D61B0"/>
    <w:rsid w:val="00A1276D"/>
    <w:rsid w:val="00A806AB"/>
    <w:rsid w:val="00A95260"/>
    <w:rsid w:val="00AA5F41"/>
    <w:rsid w:val="00AC41D5"/>
    <w:rsid w:val="00AD469B"/>
    <w:rsid w:val="00B0398B"/>
    <w:rsid w:val="00B25B65"/>
    <w:rsid w:val="00B460F4"/>
    <w:rsid w:val="00BD1525"/>
    <w:rsid w:val="00BD3849"/>
    <w:rsid w:val="00C122B9"/>
    <w:rsid w:val="00C143B3"/>
    <w:rsid w:val="00C34670"/>
    <w:rsid w:val="00C42240"/>
    <w:rsid w:val="00C44A11"/>
    <w:rsid w:val="00C529A8"/>
    <w:rsid w:val="00C76245"/>
    <w:rsid w:val="00C803EB"/>
    <w:rsid w:val="00C85DF2"/>
    <w:rsid w:val="00CE76AA"/>
    <w:rsid w:val="00D2580B"/>
    <w:rsid w:val="00D76147"/>
    <w:rsid w:val="00EA1BCB"/>
    <w:rsid w:val="00F00DD7"/>
    <w:rsid w:val="00F32C22"/>
    <w:rsid w:val="00F629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180C3"/>
  <w15:chartTrackingRefBased/>
  <w15:docId w15:val="{D37DD962-0D21-4C4C-9D93-E022F1A9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5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Calibri Light" w:hAnsi="Calibri Light"/>
      <w:sz w:val="18"/>
      <w:szCs w:val="18"/>
    </w:rPr>
  </w:style>
  <w:style w:type="character" w:customStyle="1" w:styleId="a5">
    <w:name w:val="註解方塊文字 字元"/>
    <w:link w:val="a4"/>
    <w:uiPriority w:val="99"/>
    <w:semiHidden/>
    <w:rsid w:val="00AC41D5"/>
    <w:rPr>
      <w:rFonts w:ascii="Calibri Light" w:eastAsia="新細明體" w:hAnsi="Calibri Light" w:cs="Times New Roman"/>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link w:val="3"/>
    <w:semiHidden/>
    <w:rsid w:val="001427AF"/>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賴育新</dc:creator>
  <cp:keywords/>
  <dc:description/>
  <cp:lastModifiedBy>賴育新</cp:lastModifiedBy>
  <cp:revision>2</cp:revision>
  <cp:lastPrinted>2019-09-25T08:40:00Z</cp:lastPrinted>
  <dcterms:created xsi:type="dcterms:W3CDTF">2020-06-04T09:59:00Z</dcterms:created>
  <dcterms:modified xsi:type="dcterms:W3CDTF">2020-06-04T09:59:00Z</dcterms:modified>
</cp:coreProperties>
</file>