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569A" w14:textId="77777777" w:rsidR="000714F2" w:rsidRPr="00DB767F" w:rsidRDefault="000714F2" w:rsidP="000714F2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B767F">
        <w:rPr>
          <w:rFonts w:ascii="標楷體" w:eastAsia="標楷體" w:hAnsi="標楷體" w:hint="eastAsia"/>
          <w:b/>
          <w:sz w:val="32"/>
          <w:szCs w:val="32"/>
        </w:rPr>
        <w:t>中華民國</w:t>
      </w:r>
      <w:r>
        <w:rPr>
          <w:rFonts w:ascii="標楷體" w:eastAsia="標楷體" w:hAnsi="標楷體" w:hint="eastAsia"/>
          <w:b/>
          <w:sz w:val="32"/>
          <w:szCs w:val="32"/>
        </w:rPr>
        <w:t>證券商</w:t>
      </w:r>
      <w:r w:rsidRPr="00DB767F">
        <w:rPr>
          <w:rFonts w:ascii="標楷體" w:eastAsia="標楷體" w:hAnsi="標楷體" w:hint="eastAsia"/>
          <w:b/>
          <w:sz w:val="32"/>
          <w:szCs w:val="32"/>
        </w:rPr>
        <w:t>業同業公會</w:t>
      </w:r>
    </w:p>
    <w:p w14:paraId="1142E38E" w14:textId="265CE849" w:rsidR="000714F2" w:rsidRPr="00DB767F" w:rsidRDefault="000714F2" w:rsidP="000714F2">
      <w:pPr>
        <w:spacing w:afterLines="100" w:after="360"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B767F">
        <w:rPr>
          <w:rFonts w:ascii="標楷體" w:eastAsia="標楷體" w:hAnsi="標楷體" w:hint="eastAsia"/>
          <w:b/>
          <w:sz w:val="32"/>
          <w:szCs w:val="32"/>
        </w:rPr>
        <w:t>「資訊作業韌性自律規範」</w:t>
      </w:r>
      <w:r w:rsidRPr="00EF05C8">
        <w:rPr>
          <w:rFonts w:ascii="標楷體" w:eastAsia="標楷體" w:hAnsi="標楷體" w:hint="eastAsia"/>
          <w:b/>
          <w:sz w:val="32"/>
          <w:szCs w:val="32"/>
        </w:rPr>
        <w:t>修正條文對照表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3425"/>
        <w:gridCol w:w="3240"/>
      </w:tblGrid>
      <w:tr w:rsidR="000714F2" w:rsidRPr="00665B1D" w14:paraId="5E8E3BA0" w14:textId="77777777" w:rsidTr="000714F2">
        <w:trPr>
          <w:trHeight w:val="521"/>
          <w:tblHeader/>
          <w:jc w:val="center"/>
        </w:trPr>
        <w:tc>
          <w:tcPr>
            <w:tcW w:w="3505" w:type="dxa"/>
            <w:shd w:val="clear" w:color="auto" w:fill="auto"/>
            <w:vAlign w:val="center"/>
          </w:tcPr>
          <w:p w14:paraId="4E207FFF" w14:textId="77777777" w:rsidR="000714F2" w:rsidRPr="00665B1D" w:rsidRDefault="000714F2" w:rsidP="00646A86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 w:val="28"/>
                <w:szCs w:val="28"/>
              </w:rPr>
              <w:t>修正條文</w:t>
            </w:r>
          </w:p>
        </w:tc>
        <w:tc>
          <w:tcPr>
            <w:tcW w:w="3425" w:type="dxa"/>
            <w:vAlign w:val="center"/>
          </w:tcPr>
          <w:p w14:paraId="4FDB496E" w14:textId="77777777" w:rsidR="000714F2" w:rsidRPr="00665B1D" w:rsidRDefault="000714F2" w:rsidP="00646A86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 w:val="28"/>
                <w:szCs w:val="28"/>
              </w:rPr>
              <w:t>現行條文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A9CDB1A" w14:textId="77777777" w:rsidR="000714F2" w:rsidRPr="00665B1D" w:rsidRDefault="000714F2" w:rsidP="00646A86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kern w:val="2"/>
                <w:sz w:val="28"/>
                <w:szCs w:val="28"/>
              </w:rPr>
            </w:pPr>
            <w:r w:rsidRPr="00665B1D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 w:val="28"/>
                <w:szCs w:val="28"/>
              </w:rPr>
              <w:t>說明</w:t>
            </w:r>
          </w:p>
        </w:tc>
      </w:tr>
      <w:tr w:rsidR="000714F2" w:rsidRPr="00665B1D" w14:paraId="42B71F40" w14:textId="77777777" w:rsidTr="000714F2">
        <w:trPr>
          <w:trHeight w:val="3869"/>
          <w:jc w:val="center"/>
        </w:trPr>
        <w:tc>
          <w:tcPr>
            <w:tcW w:w="3505" w:type="dxa"/>
          </w:tcPr>
          <w:p w14:paraId="11925866" w14:textId="77777777" w:rsidR="000714F2" w:rsidRDefault="000714F2" w:rsidP="00D33FA9">
            <w:pPr>
              <w:pStyle w:val="a4"/>
              <w:spacing w:line="34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EF05C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第二條 名詞定義</w:t>
            </w:r>
          </w:p>
          <w:p w14:paraId="3655EA6B" w14:textId="77777777" w:rsidR="000714F2" w:rsidRPr="00EF05C8" w:rsidRDefault="000714F2" w:rsidP="00D33FA9">
            <w:pPr>
              <w:pStyle w:val="a4"/>
              <w:spacing w:line="34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F05C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一、～七、（略）</w:t>
            </w:r>
          </w:p>
          <w:p w14:paraId="190EC88A" w14:textId="77777777" w:rsidR="000714F2" w:rsidRDefault="000714F2" w:rsidP="00D33FA9">
            <w:pPr>
              <w:pStyle w:val="a4"/>
              <w:spacing w:line="34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F05C8">
              <w:rPr>
                <w:rFonts w:ascii="標楷體" w:eastAsia="標楷體" w:hAnsi="標楷體" w:hint="eastAsia"/>
                <w:color w:val="000000"/>
                <w:szCs w:val="24"/>
              </w:rPr>
              <w:t>八、第一類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證券</w:t>
            </w:r>
            <w:r w:rsidRPr="00EF05C8">
              <w:rPr>
                <w:rFonts w:ascii="標楷體" w:eastAsia="標楷體" w:hAnsi="標楷體" w:hint="eastAsia"/>
                <w:color w:val="000000"/>
                <w:szCs w:val="24"/>
              </w:rPr>
              <w:t>商：係指依「證券暨期貨市場各服務事業建立內部控制制度處理準則」第三十六條之二條文指派資訊安全長之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證券</w:t>
            </w:r>
            <w:r w:rsidRPr="00EF05C8">
              <w:rPr>
                <w:rFonts w:ascii="標楷體" w:eastAsia="標楷體" w:hAnsi="標楷體" w:hint="eastAsia"/>
                <w:color w:val="000000"/>
                <w:szCs w:val="24"/>
              </w:rPr>
              <w:t>商。</w:t>
            </w:r>
          </w:p>
          <w:p w14:paraId="3BBEF6E2" w14:textId="12984804" w:rsidR="000714F2" w:rsidRPr="00BA2C26" w:rsidRDefault="000714F2" w:rsidP="00D33FA9">
            <w:pPr>
              <w:pStyle w:val="a4"/>
              <w:spacing w:line="34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425" w:type="dxa"/>
          </w:tcPr>
          <w:p w14:paraId="281216EB" w14:textId="77777777" w:rsidR="000714F2" w:rsidRPr="00EF05C8" w:rsidRDefault="000714F2" w:rsidP="00D33FA9">
            <w:pPr>
              <w:pStyle w:val="a3"/>
              <w:spacing w:line="340" w:lineRule="exact"/>
              <w:ind w:leftChars="0" w:hangingChars="200" w:hanging="48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F05C8">
              <w:rPr>
                <w:rFonts w:ascii="標楷體" w:eastAsia="標楷體" w:hAnsi="標楷體" w:hint="eastAsia"/>
                <w:b/>
                <w:color w:val="000000"/>
                <w:szCs w:val="24"/>
              </w:rPr>
              <w:t>第二條 名詞定義</w:t>
            </w:r>
          </w:p>
          <w:p w14:paraId="5905EE8A" w14:textId="77777777" w:rsidR="000714F2" w:rsidRPr="00EF05C8" w:rsidRDefault="000714F2" w:rsidP="00D33FA9">
            <w:pPr>
              <w:pStyle w:val="a3"/>
              <w:spacing w:line="340" w:lineRule="exact"/>
              <w:ind w:leftChars="0" w:hangingChars="200" w:hanging="48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F05C8">
              <w:rPr>
                <w:rFonts w:ascii="標楷體" w:eastAsia="標楷體" w:hAnsi="標楷體" w:hint="eastAsia"/>
                <w:color w:val="000000"/>
                <w:szCs w:val="24"/>
              </w:rPr>
              <w:t>一、～七、（略）</w:t>
            </w:r>
          </w:p>
          <w:p w14:paraId="539D14AD" w14:textId="77777777" w:rsidR="000714F2" w:rsidRPr="00665B1D" w:rsidRDefault="000714F2" w:rsidP="00D33FA9">
            <w:pPr>
              <w:pStyle w:val="a3"/>
              <w:spacing w:line="340" w:lineRule="exact"/>
              <w:ind w:leftChars="0" w:hangingChars="200" w:hanging="48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F05C8">
              <w:rPr>
                <w:rFonts w:ascii="標楷體" w:eastAsia="標楷體" w:hAnsi="標楷體" w:hint="eastAsia"/>
                <w:color w:val="000000"/>
                <w:szCs w:val="24"/>
              </w:rPr>
              <w:t>八、第一類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證券</w:t>
            </w:r>
            <w:r w:rsidRPr="00EF05C8">
              <w:rPr>
                <w:rFonts w:ascii="標楷體" w:eastAsia="標楷體" w:hAnsi="標楷體" w:hint="eastAsia"/>
                <w:color w:val="000000"/>
                <w:szCs w:val="24"/>
              </w:rPr>
              <w:t>商：係指依「證券暨期貨市場各服務事業建立內部控制制度處理準則」第三十六條之二條文指派資訊安全長之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證券</w:t>
            </w:r>
            <w:r w:rsidRPr="00EF05C8">
              <w:rPr>
                <w:rFonts w:ascii="標楷體" w:eastAsia="標楷體" w:hAnsi="標楷體" w:hint="eastAsia"/>
                <w:color w:val="000000"/>
                <w:szCs w:val="24"/>
              </w:rPr>
              <w:t>商</w:t>
            </w:r>
            <w:r w:rsidRPr="00D33FA9">
              <w:rPr>
                <w:rFonts w:ascii="標楷體" w:eastAsia="標楷體" w:hAnsi="標楷體" w:hint="eastAsia"/>
                <w:strike/>
                <w:szCs w:val="24"/>
              </w:rPr>
              <w:t>或「建立證券商資通安全檢查機制-分級防護應辦事項附表」所列第一級、第二級、第三級證券商。</w:t>
            </w:r>
          </w:p>
        </w:tc>
        <w:tc>
          <w:tcPr>
            <w:tcW w:w="3240" w:type="dxa"/>
          </w:tcPr>
          <w:p w14:paraId="4C2F03F1" w14:textId="77777777" w:rsidR="000714F2" w:rsidRPr="00874F6F" w:rsidRDefault="000714F2" w:rsidP="00D33FA9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665B1D">
              <w:rPr>
                <w:rFonts w:ascii="標楷體" w:eastAsia="標楷體" w:hAnsi="標楷體" w:hint="eastAsia"/>
                <w:color w:val="000000"/>
              </w:rPr>
              <w:t>一、</w:t>
            </w:r>
            <w:r w:rsidRPr="00EF05C8">
              <w:rPr>
                <w:rFonts w:ascii="標楷體" w:eastAsia="標楷體" w:hAnsi="標楷體" w:hint="eastAsia"/>
                <w:color w:val="000000"/>
              </w:rPr>
              <w:t>參</w:t>
            </w:r>
            <w:r>
              <w:rPr>
                <w:rFonts w:ascii="標楷體" w:eastAsia="標楷體" w:hAnsi="標楷體" w:hint="eastAsia"/>
                <w:color w:val="000000"/>
              </w:rPr>
              <w:t>考</w:t>
            </w:r>
            <w:r w:rsidRPr="00EF05C8">
              <w:rPr>
                <w:rFonts w:ascii="標楷體" w:eastAsia="標楷體" w:hAnsi="標楷體" w:hint="eastAsia"/>
                <w:color w:val="000000"/>
              </w:rPr>
              <w:t>臺灣證券交易所</w:t>
            </w:r>
            <w:r w:rsidRPr="00BA2C26">
              <w:rPr>
                <w:rFonts w:ascii="標楷體" w:eastAsia="標楷體" w:hAnsi="標楷體" w:hint="eastAsia"/>
                <w:color w:val="000000"/>
              </w:rPr>
              <w:t>114年2月13日</w:t>
            </w:r>
            <w:proofErr w:type="gramStart"/>
            <w:r w:rsidRPr="00BA2C26">
              <w:rPr>
                <w:rFonts w:ascii="標楷體" w:eastAsia="標楷體" w:hAnsi="標楷體" w:hint="eastAsia"/>
                <w:color w:val="000000"/>
              </w:rPr>
              <w:t>臺證輔</w:t>
            </w:r>
            <w:proofErr w:type="gramEnd"/>
            <w:r w:rsidRPr="00BA2C26">
              <w:rPr>
                <w:rFonts w:ascii="標楷體" w:eastAsia="標楷體" w:hAnsi="標楷體" w:hint="eastAsia"/>
                <w:color w:val="000000"/>
              </w:rPr>
              <w:t>字第1140500496號函，</w:t>
            </w:r>
            <w:r>
              <w:rPr>
                <w:rFonts w:ascii="標楷體" w:eastAsia="標楷體" w:hAnsi="標楷體" w:hint="eastAsia"/>
                <w:color w:val="000000"/>
              </w:rPr>
              <w:t>公告</w:t>
            </w:r>
            <w:r w:rsidRPr="00EF05C8">
              <w:rPr>
                <w:rFonts w:ascii="標楷體" w:eastAsia="標楷體" w:hAnsi="標楷體" w:hint="eastAsia"/>
                <w:color w:val="000000"/>
              </w:rPr>
              <w:t>「證券暨期貨市場各服務事業資訊作業韌性參考指引」</w:t>
            </w:r>
            <w:r>
              <w:rPr>
                <w:rFonts w:ascii="標楷體" w:eastAsia="標楷體" w:hAnsi="標楷體" w:hint="eastAsia"/>
                <w:color w:val="000000"/>
              </w:rPr>
              <w:t>(下稱</w:t>
            </w:r>
            <w:r w:rsidRPr="00BA2C26">
              <w:rPr>
                <w:rFonts w:ascii="標楷體" w:eastAsia="標楷體" w:hAnsi="標楷體" w:hint="eastAsia"/>
                <w:color w:val="000000"/>
              </w:rPr>
              <w:t>參考指引</w:t>
            </w:r>
            <w:r>
              <w:rPr>
                <w:rFonts w:ascii="標楷體" w:eastAsia="標楷體" w:hAnsi="標楷體" w:hint="eastAsia"/>
                <w:color w:val="000000"/>
              </w:rPr>
              <w:t>)第二條及</w:t>
            </w:r>
            <w:r w:rsidRPr="00EF05C8">
              <w:rPr>
                <w:rFonts w:ascii="標楷體" w:eastAsia="標楷體" w:hAnsi="標楷體" w:hint="eastAsia"/>
                <w:color w:val="000000"/>
              </w:rPr>
              <w:t>金管會113年1月4日金管證券字第1120385996號</w:t>
            </w:r>
            <w:r>
              <w:rPr>
                <w:rFonts w:ascii="標楷體" w:eastAsia="標楷體" w:hAnsi="標楷體" w:hint="eastAsia"/>
                <w:color w:val="000000"/>
              </w:rPr>
              <w:t>函</w:t>
            </w:r>
            <w:r w:rsidRPr="00EF05C8">
              <w:rPr>
                <w:rFonts w:ascii="標楷體" w:eastAsia="標楷體" w:hAnsi="標楷體" w:hint="eastAsia"/>
                <w:color w:val="000000"/>
              </w:rPr>
              <w:t>令，有關設立資訊安全長條件調整，刪除分類之條件。</w:t>
            </w:r>
          </w:p>
        </w:tc>
      </w:tr>
      <w:tr w:rsidR="000714F2" w:rsidRPr="00665B1D" w14:paraId="291E8156" w14:textId="77777777" w:rsidTr="000714F2">
        <w:trPr>
          <w:trHeight w:val="260"/>
          <w:jc w:val="center"/>
        </w:trPr>
        <w:tc>
          <w:tcPr>
            <w:tcW w:w="3505" w:type="dxa"/>
          </w:tcPr>
          <w:p w14:paraId="0636A6E8" w14:textId="77777777" w:rsidR="000714F2" w:rsidRDefault="000714F2" w:rsidP="00D33FA9">
            <w:pPr>
              <w:pStyle w:val="a4"/>
              <w:spacing w:line="360" w:lineRule="exact"/>
              <w:ind w:left="879" w:hangingChars="366" w:hanging="879"/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6C390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第三條 營運持續管理</w:t>
            </w:r>
            <w:r w:rsidRPr="006C3908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single"/>
              </w:rPr>
              <w:t>及營運持續計畫演練</w:t>
            </w:r>
          </w:p>
          <w:p w14:paraId="79ADBEC9" w14:textId="77777777" w:rsidR="000714F2" w:rsidRDefault="000714F2" w:rsidP="00D33FA9">
            <w:pPr>
              <w:pStyle w:val="a4"/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C3908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single"/>
              </w:rPr>
              <w:t>一</w:t>
            </w:r>
            <w:r w:rsidRPr="006C3908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、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證券商</w:t>
            </w:r>
            <w:r w:rsidRPr="006C390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營運持續管理應參考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證交</w:t>
            </w:r>
            <w:r w:rsidRPr="006C390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所「建立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證券</w:t>
            </w:r>
            <w:r w:rsidRPr="006C390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商資通安全檢查機制」之營運持續管理相關規定辦理。</w:t>
            </w:r>
          </w:p>
          <w:p w14:paraId="197D212E" w14:textId="22A4CF90" w:rsidR="000714F2" w:rsidRPr="006C3908" w:rsidRDefault="000714F2" w:rsidP="00D33FA9">
            <w:pPr>
              <w:pStyle w:val="a4"/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  <w:color w:val="FF0000"/>
                <w:szCs w:val="24"/>
                <w:u w:val="single"/>
              </w:rPr>
            </w:pPr>
            <w:r w:rsidRPr="006C3908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二、</w:t>
            </w:r>
            <w:r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證券商</w:t>
            </w:r>
            <w:r w:rsidRPr="006C3908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應針對各情境、各業務狀況進行演練並可參考「核心系統備援演練參考程序」</w:t>
            </w:r>
            <w:r w:rsidRPr="003F24F3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(附件)</w:t>
            </w:r>
            <w:r w:rsidRPr="006C3908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，進行事前準備、演練實施及演練後檢討之各階段檢核作業，以確認演練及測試程序之有效運作</w:t>
            </w:r>
            <w:r w:rsidR="00D649CB" w:rsidRPr="00D21517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，並</w:t>
            </w:r>
            <w:r w:rsidR="00BB6901" w:rsidRPr="00D21517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依據「建立證券商資通安全檢查機制－分級防護應辦事項附表」第十四</w:t>
            </w:r>
            <w:r w:rsidR="00683658" w:rsidRPr="00D21517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項</w:t>
            </w:r>
            <w:r w:rsidR="00BB6901" w:rsidRPr="00D21517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所</w:t>
            </w:r>
            <w:r w:rsidR="00D649CB" w:rsidRPr="00D21517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規</w:t>
            </w:r>
            <w:r w:rsidR="00BB6901" w:rsidRPr="00D21517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定之業務持續運作演練辦理。</w:t>
            </w:r>
          </w:p>
          <w:p w14:paraId="706E946F" w14:textId="7E13F01E" w:rsidR="000714F2" w:rsidRDefault="000714F2" w:rsidP="00D33FA9">
            <w:pPr>
              <w:pStyle w:val="a4"/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  <w:color w:val="FF000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(</w:t>
            </w:r>
            <w:proofErr w:type="gramStart"/>
            <w:r w:rsidRPr="00D0660D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)</w:t>
            </w:r>
            <w:r w:rsidRPr="00D0660D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應針對已辨識可能造成核心業務中斷之風險情境(包含天然災害、人為災害與資通訊安全事件)設計演練情</w:t>
            </w:r>
            <w:r w:rsidRPr="00D0660D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lastRenderedPageBreak/>
              <w:t>境並宜規劃針對所有情境或輪流針對部分情境進行演練。</w:t>
            </w:r>
          </w:p>
          <w:p w14:paraId="5D416567" w14:textId="77777777" w:rsidR="000714F2" w:rsidRPr="00D0660D" w:rsidRDefault="000714F2" w:rsidP="00D33FA9">
            <w:pPr>
              <w:pStyle w:val="a4"/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  <w:color w:val="FF000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(</w:t>
            </w:r>
            <w:r w:rsidRPr="00D0660D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二</w:t>
            </w:r>
            <w:r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)</w:t>
            </w:r>
            <w:r w:rsidRPr="00D0660D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應進行模擬災害或意外發生時之情境操作，考量納入核心系統復原負責人員、核心業務執行人員與復原所需供應商；並規劃演練之系統</w:t>
            </w:r>
            <w:r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相關資訊</w:t>
            </w:r>
            <w:r w:rsidRPr="00D0660D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。</w:t>
            </w:r>
          </w:p>
          <w:p w14:paraId="30DBFCA8" w14:textId="77777777" w:rsidR="000714F2" w:rsidRPr="00D0660D" w:rsidRDefault="000714F2" w:rsidP="00D33FA9">
            <w:pPr>
              <w:pStyle w:val="a4"/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  <w:color w:val="FF000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(</w:t>
            </w:r>
            <w:r w:rsidRPr="00D0660D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三</w:t>
            </w:r>
            <w:r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)</w:t>
            </w:r>
            <w:r w:rsidRPr="00D0660D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應於演練前辨識可能造成之風險，並事先擬定保護措施。</w:t>
            </w:r>
          </w:p>
          <w:p w14:paraId="02788384" w14:textId="77777777" w:rsidR="000714F2" w:rsidRPr="00D0660D" w:rsidRDefault="000714F2" w:rsidP="00D33FA9">
            <w:pPr>
              <w:pStyle w:val="a4"/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  <w:color w:val="FF000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(</w:t>
            </w:r>
            <w:r w:rsidRPr="00D0660D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四</w:t>
            </w:r>
            <w:r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)</w:t>
            </w:r>
            <w:r w:rsidRPr="00D0660D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演練內容應驗證各項核心系統所制定之標準作業程序。</w:t>
            </w:r>
          </w:p>
          <w:p w14:paraId="645A0132" w14:textId="5DEFB4CB" w:rsidR="000714F2" w:rsidRPr="00D0660D" w:rsidRDefault="000714F2" w:rsidP="00D33FA9">
            <w:pPr>
              <w:pStyle w:val="a4"/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  <w:color w:val="FF000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(</w:t>
            </w:r>
            <w:r w:rsidRPr="00D0660D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五</w:t>
            </w:r>
            <w:r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)</w:t>
            </w:r>
            <w:r w:rsidRPr="00D0660D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應定期演練並驗證其核心系統可用性，依需求規劃為同異地系統備援演練或同異地資料備份回存測試，以確保人員熟悉程度與程序有效性，並應留存相關演練紀錄。</w:t>
            </w:r>
          </w:p>
          <w:p w14:paraId="6BECB561" w14:textId="77777777" w:rsidR="000714F2" w:rsidRPr="00D0660D" w:rsidRDefault="000714F2" w:rsidP="00D33FA9">
            <w:pPr>
              <w:pStyle w:val="a4"/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  <w:color w:val="FF000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(</w:t>
            </w:r>
            <w:r w:rsidRPr="00D0660D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六</w:t>
            </w:r>
            <w:r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)</w:t>
            </w:r>
            <w:r w:rsidRPr="00D0660D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第一類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證券</w:t>
            </w:r>
            <w:r w:rsidRPr="00EF05C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商</w:t>
            </w:r>
            <w:r w:rsidRPr="00D0660D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應於異地系統備援演練時，納入實際業務運作驗證，以實證最小可接受服務水準所仰賴之內部資源配置及人力調度、外部夥伴之協同作業及資訊網路調整</w:t>
            </w:r>
            <w:proofErr w:type="gramStart"/>
            <w:r w:rsidRPr="00D0660D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介</w:t>
            </w:r>
            <w:proofErr w:type="gramEnd"/>
            <w:r w:rsidRPr="00D0660D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接等作業，於關鍵時刻皆能有效運作。並鼓勵第二類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證券</w:t>
            </w:r>
            <w:r w:rsidRPr="00EF05C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商</w:t>
            </w:r>
            <w:r w:rsidRPr="00D0660D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執行。</w:t>
            </w:r>
          </w:p>
          <w:p w14:paraId="72F72F64" w14:textId="242045ED" w:rsidR="000714F2" w:rsidRPr="006C3908" w:rsidRDefault="000714F2" w:rsidP="00D33FA9">
            <w:pPr>
              <w:pStyle w:val="a4"/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b/>
                <w:bCs/>
                <w:color w:val="FF000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(</w:t>
            </w:r>
            <w:r w:rsidRPr="00D0660D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七</w:t>
            </w:r>
            <w:r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)</w:t>
            </w:r>
            <w:r w:rsidRPr="00D0660D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應於演練後召開檢討會議</w:t>
            </w:r>
            <w:r w:rsidR="003F24F3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，</w:t>
            </w:r>
            <w:r w:rsidRPr="00D0660D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t>確認復原機制與演練結果是否符合所制定的復原時間目標(RTO)及資料復原點目標(RPO)要求，並檢視核心系統現有同異地系統備</w:t>
            </w:r>
            <w:r w:rsidRPr="00D0660D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</w:rPr>
              <w:lastRenderedPageBreak/>
              <w:t>援機制與同異地資料備份機制是否符合核心業務之需求。</w:t>
            </w:r>
          </w:p>
        </w:tc>
        <w:tc>
          <w:tcPr>
            <w:tcW w:w="3425" w:type="dxa"/>
          </w:tcPr>
          <w:p w14:paraId="0FE1F190" w14:textId="77777777" w:rsidR="000714F2" w:rsidRDefault="000714F2" w:rsidP="00D33FA9">
            <w:pPr>
              <w:pStyle w:val="a3"/>
              <w:spacing w:line="34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C3908">
              <w:rPr>
                <w:rFonts w:ascii="標楷體" w:eastAsia="標楷體" w:hAnsi="標楷體" w:hint="eastAsia"/>
                <w:b/>
                <w:color w:val="000000"/>
                <w:szCs w:val="24"/>
              </w:rPr>
              <w:lastRenderedPageBreak/>
              <w:t>第三條 營運持續管理</w:t>
            </w:r>
          </w:p>
          <w:p w14:paraId="69FCD9E2" w14:textId="77777777" w:rsidR="000714F2" w:rsidRPr="006C3908" w:rsidRDefault="000714F2" w:rsidP="00D33FA9">
            <w:pPr>
              <w:pStyle w:val="a3"/>
              <w:spacing w:line="34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14:paraId="243F9243" w14:textId="77777777" w:rsidR="000714F2" w:rsidRPr="00EF05C8" w:rsidRDefault="000714F2" w:rsidP="00D33FA9">
            <w:pPr>
              <w:pStyle w:val="a3"/>
              <w:spacing w:line="34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證券商</w:t>
            </w:r>
            <w:r w:rsidRPr="006C3908">
              <w:rPr>
                <w:rFonts w:ascii="標楷體" w:eastAsia="標楷體" w:hAnsi="標楷體" w:hint="eastAsia"/>
                <w:color w:val="000000"/>
                <w:szCs w:val="24"/>
              </w:rPr>
              <w:t>營運持續管理應參考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證交</w:t>
            </w:r>
            <w:r w:rsidRPr="006C390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所「建立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證券</w:t>
            </w:r>
            <w:r w:rsidRPr="006C390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商資通安全檢查機制」</w:t>
            </w:r>
            <w:r w:rsidRPr="006C3908">
              <w:rPr>
                <w:rFonts w:ascii="標楷體" w:eastAsia="標楷體" w:hAnsi="標楷體" w:hint="eastAsia"/>
                <w:color w:val="000000"/>
                <w:szCs w:val="24"/>
              </w:rPr>
              <w:t>之營運持續管理相關規定辦理。</w:t>
            </w:r>
          </w:p>
        </w:tc>
        <w:tc>
          <w:tcPr>
            <w:tcW w:w="3240" w:type="dxa"/>
          </w:tcPr>
          <w:p w14:paraId="35DAE20B" w14:textId="77777777" w:rsidR="000714F2" w:rsidRDefault="000714F2" w:rsidP="00D33FA9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71F79">
              <w:rPr>
                <w:rFonts w:ascii="標楷體" w:eastAsia="標楷體" w:hAnsi="標楷體" w:hint="eastAsia"/>
                <w:color w:val="000000"/>
              </w:rPr>
              <w:t>依據參考指引第</w:t>
            </w:r>
            <w:r>
              <w:rPr>
                <w:rFonts w:ascii="標楷體" w:eastAsia="標楷體" w:hAnsi="標楷體" w:hint="eastAsia"/>
                <w:color w:val="000000"/>
              </w:rPr>
              <w:t>十二</w:t>
            </w:r>
            <w:r w:rsidRPr="00071F79">
              <w:rPr>
                <w:rFonts w:ascii="標楷體" w:eastAsia="標楷體" w:hAnsi="標楷體" w:hint="eastAsia"/>
                <w:color w:val="000000"/>
              </w:rPr>
              <w:t>條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071F79">
              <w:rPr>
                <w:rFonts w:ascii="標楷體" w:eastAsia="標楷體" w:hAnsi="標楷體" w:hint="eastAsia"/>
                <w:color w:val="000000"/>
              </w:rPr>
              <w:t>營運持續計畫演練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Pr="00071F79">
              <w:rPr>
                <w:rFonts w:ascii="標楷體" w:eastAsia="標楷體" w:hAnsi="標楷體" w:hint="eastAsia"/>
                <w:color w:val="000000"/>
              </w:rPr>
              <w:t>，增修制定風險情境之營運持續計畫應輪流進行演練，以測試程序之有效性，</w:t>
            </w:r>
            <w:r>
              <w:rPr>
                <w:rFonts w:ascii="標楷體" w:eastAsia="標楷體" w:hAnsi="標楷體" w:hint="eastAsia"/>
                <w:color w:val="000000"/>
              </w:rPr>
              <w:t>並</w:t>
            </w:r>
            <w:r w:rsidRPr="00071F79">
              <w:rPr>
                <w:rFonts w:ascii="標楷體" w:eastAsia="標楷體" w:hAnsi="標楷體" w:hint="eastAsia"/>
                <w:color w:val="000000"/>
              </w:rPr>
              <w:t>增列「核心系統備援演練參考程序」</w:t>
            </w:r>
            <w:r>
              <w:rPr>
                <w:rFonts w:ascii="標楷體" w:eastAsia="標楷體" w:hAnsi="標楷體" w:hint="eastAsia"/>
                <w:color w:val="000000"/>
              </w:rPr>
              <w:t>(附件)</w:t>
            </w:r>
            <w:r w:rsidRPr="00071F79">
              <w:rPr>
                <w:rFonts w:ascii="標楷體" w:eastAsia="標楷體" w:hAnsi="標楷體" w:hint="eastAsia"/>
                <w:color w:val="000000"/>
              </w:rPr>
              <w:t>強化核心系統演練作業確實性。</w:t>
            </w:r>
          </w:p>
        </w:tc>
      </w:tr>
      <w:tr w:rsidR="000714F2" w:rsidRPr="00665B1D" w14:paraId="7AE5F41A" w14:textId="77777777" w:rsidTr="00D21517">
        <w:trPr>
          <w:trHeight w:val="1700"/>
          <w:jc w:val="center"/>
        </w:trPr>
        <w:tc>
          <w:tcPr>
            <w:tcW w:w="3505" w:type="dxa"/>
          </w:tcPr>
          <w:p w14:paraId="125482B5" w14:textId="77777777" w:rsidR="000714F2" w:rsidRDefault="000714F2" w:rsidP="00D33FA9">
            <w:pPr>
              <w:pStyle w:val="a4"/>
              <w:spacing w:line="340" w:lineRule="exact"/>
              <w:ind w:left="480" w:hangingChars="200" w:hanging="480"/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EF05C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lastRenderedPageBreak/>
              <w:t>第五條 備份備援機制</w:t>
            </w:r>
          </w:p>
          <w:p w14:paraId="4F2711A6" w14:textId="77777777" w:rsidR="000714F2" w:rsidRDefault="000714F2" w:rsidP="00D33FA9">
            <w:pPr>
              <w:pStyle w:val="a4"/>
              <w:spacing w:line="34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A2C26">
              <w:rPr>
                <w:rFonts w:ascii="標楷體" w:eastAsia="標楷體" w:hAnsi="標楷體" w:hint="eastAsia"/>
                <w:color w:val="000000"/>
                <w:szCs w:val="24"/>
              </w:rPr>
              <w:t>一、～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Pr="00BA2C26">
              <w:rPr>
                <w:rFonts w:ascii="標楷體" w:eastAsia="標楷體" w:hAnsi="標楷體" w:hint="eastAsia"/>
                <w:color w:val="000000"/>
                <w:szCs w:val="24"/>
              </w:rPr>
              <w:t>、（略）</w:t>
            </w:r>
          </w:p>
          <w:p w14:paraId="28DCFA7A" w14:textId="77777777" w:rsidR="000714F2" w:rsidRPr="00DD56A1" w:rsidRDefault="000714F2" w:rsidP="00D33FA9">
            <w:pPr>
              <w:pStyle w:val="a4"/>
              <w:spacing w:line="34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  <w:color w:val="FF0000"/>
                <w:szCs w:val="24"/>
                <w:u w:val="single"/>
              </w:rPr>
            </w:pPr>
            <w:r w:rsidRPr="00DD56A1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三、應針對機密與敏感性資料，實施妥善之防護措施。</w:t>
            </w:r>
          </w:p>
        </w:tc>
        <w:tc>
          <w:tcPr>
            <w:tcW w:w="3425" w:type="dxa"/>
          </w:tcPr>
          <w:p w14:paraId="4081E6BF" w14:textId="77777777" w:rsidR="000714F2" w:rsidRPr="00EF05C8" w:rsidRDefault="000714F2" w:rsidP="00D33FA9">
            <w:pPr>
              <w:pStyle w:val="a3"/>
              <w:spacing w:line="34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F05C8">
              <w:rPr>
                <w:rFonts w:ascii="標楷體" w:eastAsia="標楷體" w:hAnsi="標楷體" w:hint="eastAsia"/>
                <w:b/>
                <w:color w:val="000000"/>
                <w:szCs w:val="24"/>
              </w:rPr>
              <w:t>第五條 備份備援機制</w:t>
            </w:r>
          </w:p>
        </w:tc>
        <w:tc>
          <w:tcPr>
            <w:tcW w:w="3240" w:type="dxa"/>
          </w:tcPr>
          <w:p w14:paraId="527E11B7" w14:textId="77777777" w:rsidR="000714F2" w:rsidRDefault="000714F2" w:rsidP="00D33FA9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BA2C26">
              <w:rPr>
                <w:rFonts w:ascii="標楷體" w:eastAsia="標楷體" w:hAnsi="標楷體" w:hint="eastAsia"/>
                <w:color w:val="000000"/>
              </w:rPr>
              <w:t>、新增本條第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BA2C26">
              <w:rPr>
                <w:rFonts w:ascii="標楷體" w:eastAsia="標楷體" w:hAnsi="標楷體" w:hint="eastAsia"/>
                <w:color w:val="000000"/>
              </w:rPr>
              <w:t>點。</w:t>
            </w:r>
          </w:p>
          <w:p w14:paraId="497A7BA3" w14:textId="77777777" w:rsidR="000714F2" w:rsidRPr="00BA2C26" w:rsidRDefault="000714F2" w:rsidP="00D33FA9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BA2C26">
              <w:rPr>
                <w:rFonts w:ascii="標楷體" w:eastAsia="標楷體" w:hAnsi="標楷體" w:hint="eastAsia"/>
                <w:color w:val="000000"/>
              </w:rPr>
              <w:t>、依據參考指引第八條(備份備援機制)</w:t>
            </w:r>
            <w:r>
              <w:rPr>
                <w:rFonts w:hint="eastAsia"/>
              </w:rPr>
              <w:t xml:space="preserve"> </w:t>
            </w:r>
            <w:r w:rsidRPr="00BA2C26">
              <w:rPr>
                <w:rFonts w:ascii="標楷體" w:eastAsia="標楷體" w:hAnsi="標楷體" w:hint="eastAsia"/>
                <w:color w:val="000000"/>
              </w:rPr>
              <w:t>，增修制定資料備份機制時機敏資料應妥善防護。</w:t>
            </w:r>
          </w:p>
        </w:tc>
      </w:tr>
      <w:tr w:rsidR="000714F2" w:rsidRPr="00665B1D" w14:paraId="31A302C5" w14:textId="77777777" w:rsidTr="00D33FA9">
        <w:trPr>
          <w:trHeight w:val="7640"/>
          <w:jc w:val="center"/>
        </w:trPr>
        <w:tc>
          <w:tcPr>
            <w:tcW w:w="3505" w:type="dxa"/>
          </w:tcPr>
          <w:p w14:paraId="62D28C1E" w14:textId="77777777" w:rsidR="000714F2" w:rsidRPr="004A6C9F" w:rsidRDefault="000714F2" w:rsidP="00D33FA9">
            <w:pPr>
              <w:pStyle w:val="a4"/>
              <w:spacing w:line="340" w:lineRule="exact"/>
              <w:ind w:left="480" w:hangingChars="200" w:hanging="480"/>
              <w:jc w:val="both"/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</w:pPr>
            <w:r w:rsidRPr="004A6C9F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第九條 核心系統委外之管理</w:t>
            </w:r>
          </w:p>
          <w:p w14:paraId="425652B5" w14:textId="7E3E372E" w:rsidR="000714F2" w:rsidRPr="004A6C9F" w:rsidRDefault="000714F2" w:rsidP="00D33FA9">
            <w:pPr>
              <w:pStyle w:val="a4"/>
              <w:spacing w:line="340" w:lineRule="exac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4A6C9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一、核心系統委外時，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證券商</w:t>
            </w:r>
            <w:r w:rsidRPr="004A6C9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應依委外服務範圍及特性確保供應商因下列原因而造成營運中斷後，核心系統之復原水準可滿足系統復原時間目標(RTO)及資料復原點目標</w:t>
            </w:r>
            <w:r w:rsidRPr="003F24F3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(</w:t>
            </w:r>
            <w:r w:rsidR="00A531A5" w:rsidRPr="003F24F3">
              <w:rPr>
                <w:rFonts w:ascii="標楷體" w:eastAsia="標楷體" w:hAnsi="標楷體"/>
                <w:color w:val="FF0000"/>
                <w:szCs w:val="24"/>
                <w:u w:val="single"/>
              </w:rPr>
              <w:t>RPO)</w:t>
            </w:r>
            <w:r w:rsidR="00A531A5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，</w:t>
            </w:r>
            <w:r w:rsidRPr="004A6C9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以支持核心業務回復至最小可接受服務水準，並要求供應商配合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證券商</w:t>
            </w:r>
            <w:r w:rsidRPr="004A6C9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或自行辦理演練以驗證核心系統可用性。</w:t>
            </w:r>
          </w:p>
          <w:p w14:paraId="04AFD49B" w14:textId="77777777" w:rsidR="000714F2" w:rsidRPr="004A6C9F" w:rsidRDefault="000714F2" w:rsidP="00D33FA9">
            <w:pPr>
              <w:pStyle w:val="a4"/>
              <w:spacing w:line="340" w:lineRule="exac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4A6C9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(</w:t>
            </w:r>
            <w:proofErr w:type="gramStart"/>
            <w:r w:rsidRPr="004A6C9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一</w:t>
            </w:r>
            <w:proofErr w:type="gramEnd"/>
            <w:r w:rsidRPr="004A6C9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)因天然災害、人為災害與資通訊安全事件而中斷。</w:t>
            </w:r>
          </w:p>
          <w:p w14:paraId="687BF288" w14:textId="77777777" w:rsidR="000714F2" w:rsidRPr="004A6C9F" w:rsidRDefault="000714F2" w:rsidP="00D33FA9">
            <w:pPr>
              <w:pStyle w:val="a4"/>
              <w:spacing w:line="340" w:lineRule="exac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4A6C9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(二)未預期之設備故障或變更。</w:t>
            </w:r>
          </w:p>
          <w:p w14:paraId="76143C65" w14:textId="77777777" w:rsidR="000714F2" w:rsidRPr="004A6C9F" w:rsidRDefault="000714F2" w:rsidP="00D33FA9">
            <w:pPr>
              <w:pStyle w:val="a4"/>
              <w:spacing w:line="340" w:lineRule="exac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4A6C9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(三)系統功能調整或重大性架構變更 。</w:t>
            </w:r>
          </w:p>
          <w:p w14:paraId="015DEB9A" w14:textId="77777777" w:rsidR="000714F2" w:rsidRPr="004A6C9F" w:rsidRDefault="000714F2" w:rsidP="00D33FA9">
            <w:pPr>
              <w:pStyle w:val="a4"/>
              <w:spacing w:line="340" w:lineRule="exac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4A6C9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(四)產品生命週期結束且不再提供技術協助服務，或不具可用性。</w:t>
            </w:r>
          </w:p>
          <w:p w14:paraId="0B241EA2" w14:textId="77777777" w:rsidR="000714F2" w:rsidRPr="004A6C9F" w:rsidRDefault="000714F2" w:rsidP="00D33FA9">
            <w:pPr>
              <w:pStyle w:val="a4"/>
              <w:spacing w:line="340" w:lineRule="exac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4A6C9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二、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證券商</w:t>
            </w:r>
            <w:r w:rsidRPr="004A6C9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應將上述營運持續管理相關要求納入委外契約。</w:t>
            </w:r>
          </w:p>
        </w:tc>
        <w:tc>
          <w:tcPr>
            <w:tcW w:w="3425" w:type="dxa"/>
          </w:tcPr>
          <w:p w14:paraId="03B7DC5C" w14:textId="77777777" w:rsidR="000714F2" w:rsidRPr="006C3908" w:rsidRDefault="000714F2" w:rsidP="00D33FA9">
            <w:pPr>
              <w:pStyle w:val="a3"/>
              <w:spacing w:line="34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3240" w:type="dxa"/>
          </w:tcPr>
          <w:p w14:paraId="3F8D7A8B" w14:textId="77777777" w:rsidR="000714F2" w:rsidRPr="004A6C9F" w:rsidRDefault="000714F2" w:rsidP="00D33FA9">
            <w:pPr>
              <w:pStyle w:val="a3"/>
              <w:spacing w:line="340" w:lineRule="exact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4A6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依據參考指引第十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四</w:t>
            </w:r>
            <w:r w:rsidRPr="004A6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條(核心系統委外之管理)增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訂核心系統委外之管理</w:t>
            </w:r>
            <w:r w:rsidRPr="004A6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，列舉供應商可能面臨導致營運中斷之原因，並要求供應商應配合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證券商</w:t>
            </w:r>
            <w:r w:rsidRPr="004A6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辦理演練以驗證系統可用性。</w:t>
            </w:r>
          </w:p>
        </w:tc>
      </w:tr>
      <w:tr w:rsidR="000714F2" w:rsidRPr="00665B1D" w14:paraId="25A13436" w14:textId="77777777" w:rsidTr="000714F2">
        <w:trPr>
          <w:trHeight w:val="1610"/>
          <w:jc w:val="center"/>
        </w:trPr>
        <w:tc>
          <w:tcPr>
            <w:tcW w:w="3505" w:type="dxa"/>
          </w:tcPr>
          <w:p w14:paraId="55AE20AC" w14:textId="77777777" w:rsidR="000714F2" w:rsidRDefault="000714F2" w:rsidP="00D33FA9">
            <w:pPr>
              <w:pStyle w:val="a4"/>
              <w:spacing w:line="340" w:lineRule="exact"/>
              <w:ind w:left="480" w:hangingChars="200" w:hanging="48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A6C9F">
              <w:rPr>
                <w:rFonts w:ascii="標楷體" w:eastAsia="標楷體" w:hAnsi="標楷體" w:hint="eastAsia"/>
                <w:b/>
                <w:color w:val="000000"/>
                <w:szCs w:val="24"/>
              </w:rPr>
              <w:t>第</w:t>
            </w:r>
            <w:r w:rsidRPr="004A6C9F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十</w:t>
            </w:r>
            <w:r w:rsidRPr="004A6C9F">
              <w:rPr>
                <w:rFonts w:ascii="標楷體" w:eastAsia="標楷體" w:hAnsi="標楷體" w:hint="eastAsia"/>
                <w:b/>
                <w:color w:val="000000"/>
                <w:szCs w:val="24"/>
              </w:rPr>
              <w:t>條 施行程序</w:t>
            </w:r>
          </w:p>
          <w:p w14:paraId="14284FE9" w14:textId="77777777" w:rsidR="000714F2" w:rsidRPr="004A6C9F" w:rsidRDefault="000714F2" w:rsidP="00D33FA9">
            <w:pPr>
              <w:pStyle w:val="a3"/>
              <w:spacing w:line="34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A6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本自律規範經本公會理事會會議通過，並報奉主管機關備查後實施，修正時亦同。</w:t>
            </w:r>
          </w:p>
        </w:tc>
        <w:tc>
          <w:tcPr>
            <w:tcW w:w="3425" w:type="dxa"/>
          </w:tcPr>
          <w:p w14:paraId="698E66EC" w14:textId="77777777" w:rsidR="000714F2" w:rsidRPr="004A6C9F" w:rsidRDefault="000714F2" w:rsidP="00D33FA9">
            <w:pPr>
              <w:pStyle w:val="a3"/>
              <w:spacing w:line="34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A6C9F">
              <w:rPr>
                <w:rFonts w:ascii="標楷體" w:eastAsia="標楷體" w:hAnsi="標楷體" w:hint="eastAsia"/>
                <w:b/>
                <w:color w:val="000000"/>
                <w:szCs w:val="24"/>
              </w:rPr>
              <w:t>第</w:t>
            </w:r>
            <w:r w:rsidRPr="004A6C9F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九</w:t>
            </w:r>
            <w:r w:rsidRPr="004A6C9F">
              <w:rPr>
                <w:rFonts w:ascii="標楷體" w:eastAsia="標楷體" w:hAnsi="標楷體" w:hint="eastAsia"/>
                <w:b/>
                <w:color w:val="000000"/>
                <w:szCs w:val="24"/>
              </w:rPr>
              <w:t>條 施行程序</w:t>
            </w:r>
          </w:p>
          <w:p w14:paraId="170F5E4D" w14:textId="77777777" w:rsidR="000714F2" w:rsidRPr="004A6C9F" w:rsidRDefault="000714F2" w:rsidP="00D33FA9">
            <w:pPr>
              <w:pStyle w:val="a3"/>
              <w:spacing w:line="340" w:lineRule="exact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4A6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本自律規範經本公會理事會會議通過，並報奉主管機關備查後實施，修正時亦同。</w:t>
            </w:r>
          </w:p>
        </w:tc>
        <w:tc>
          <w:tcPr>
            <w:tcW w:w="3240" w:type="dxa"/>
          </w:tcPr>
          <w:p w14:paraId="43A17F66" w14:textId="77777777" w:rsidR="000714F2" w:rsidRPr="004A6C9F" w:rsidRDefault="000714F2" w:rsidP="00D33FA9">
            <w:pPr>
              <w:pStyle w:val="a3"/>
              <w:spacing w:line="340" w:lineRule="exact"/>
              <w:ind w:leftChars="0"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條</w:t>
            </w:r>
            <w:r w:rsidRPr="004A6C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次調整。</w:t>
            </w:r>
          </w:p>
        </w:tc>
      </w:tr>
    </w:tbl>
    <w:p w14:paraId="7E31ACE7" w14:textId="77777777" w:rsidR="00C96E05" w:rsidRDefault="00C96E05"/>
    <w:sectPr w:rsidR="00C96E05" w:rsidSect="000714F2">
      <w:pgSz w:w="11906" w:h="16838"/>
      <w:pgMar w:top="1440" w:right="1152" w:bottom="1440" w:left="1152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3C49" w14:textId="77777777" w:rsidR="00DF18D1" w:rsidRDefault="00DF18D1" w:rsidP="00D33FA9">
      <w:r>
        <w:separator/>
      </w:r>
    </w:p>
  </w:endnote>
  <w:endnote w:type="continuationSeparator" w:id="0">
    <w:p w14:paraId="1F67D8E5" w14:textId="77777777" w:rsidR="00DF18D1" w:rsidRDefault="00DF18D1" w:rsidP="00D3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8BF89" w14:textId="77777777" w:rsidR="00DF18D1" w:rsidRDefault="00DF18D1" w:rsidP="00D33FA9">
      <w:r>
        <w:separator/>
      </w:r>
    </w:p>
  </w:footnote>
  <w:footnote w:type="continuationSeparator" w:id="0">
    <w:p w14:paraId="5BA5F338" w14:textId="77777777" w:rsidR="00DF18D1" w:rsidRDefault="00DF18D1" w:rsidP="00D33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F2"/>
    <w:rsid w:val="000542A6"/>
    <w:rsid w:val="000714F2"/>
    <w:rsid w:val="00286634"/>
    <w:rsid w:val="003F24F3"/>
    <w:rsid w:val="00683658"/>
    <w:rsid w:val="00A531A5"/>
    <w:rsid w:val="00BB6901"/>
    <w:rsid w:val="00C96E05"/>
    <w:rsid w:val="00CA4976"/>
    <w:rsid w:val="00CE2949"/>
    <w:rsid w:val="00D21517"/>
    <w:rsid w:val="00D33FA9"/>
    <w:rsid w:val="00D649CB"/>
    <w:rsid w:val="00D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FB52B"/>
  <w15:chartTrackingRefBased/>
  <w15:docId w15:val="{F5AD824D-A38B-4FFF-A570-3504F643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4F2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4F2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styleId="a4">
    <w:name w:val="No Spacing"/>
    <w:uiPriority w:val="1"/>
    <w:qFormat/>
    <w:rsid w:val="000714F2"/>
    <w:pPr>
      <w:widowControl w:val="0"/>
    </w:pPr>
    <w:rPr>
      <w:rFonts w:ascii="Calibri" w:eastAsia="新細明體" w:hAnsi="Calibri" w:cs="Times New Roman"/>
    </w:rPr>
  </w:style>
  <w:style w:type="character" w:styleId="a5">
    <w:name w:val="Hyperlink"/>
    <w:basedOn w:val="a0"/>
    <w:uiPriority w:val="99"/>
    <w:semiHidden/>
    <w:unhideWhenUsed/>
    <w:rsid w:val="00BB690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33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33FA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33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33FA9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 TWSA</dc:creator>
  <cp:keywords/>
  <dc:description/>
  <cp:lastModifiedBy>710 TWSA</cp:lastModifiedBy>
  <cp:revision>2</cp:revision>
  <dcterms:created xsi:type="dcterms:W3CDTF">2025-06-27T00:51:00Z</dcterms:created>
  <dcterms:modified xsi:type="dcterms:W3CDTF">2025-06-27T00:51:00Z</dcterms:modified>
</cp:coreProperties>
</file>