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0DB8" w14:textId="7DB12EAB" w:rsidR="00796FC7" w:rsidRPr="000321FF" w:rsidRDefault="0023632C" w:rsidP="00796FC7">
      <w:pPr>
        <w:spacing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321FF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中華民國證券商業同業公會網路安全防護自律規範</w:t>
      </w:r>
    </w:p>
    <w:p w14:paraId="03382683" w14:textId="45DE057F" w:rsidR="009D0F91" w:rsidRPr="000321FF" w:rsidRDefault="001D2180" w:rsidP="004C3347">
      <w:pPr>
        <w:spacing w:afterLines="50" w:after="180"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321FF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修正條文對照表</w:t>
      </w:r>
    </w:p>
    <w:tbl>
      <w:tblPr>
        <w:tblStyle w:val="a3"/>
        <w:tblW w:w="10795" w:type="dxa"/>
        <w:jc w:val="center"/>
        <w:tblLook w:val="04A0" w:firstRow="1" w:lastRow="0" w:firstColumn="1" w:lastColumn="0" w:noHBand="0" w:noVBand="1"/>
      </w:tblPr>
      <w:tblGrid>
        <w:gridCol w:w="3685"/>
        <w:gridCol w:w="3600"/>
        <w:gridCol w:w="3510"/>
      </w:tblGrid>
      <w:tr w:rsidR="000321FF" w:rsidRPr="000321FF" w14:paraId="1A1034ED" w14:textId="77777777" w:rsidTr="0009079D">
        <w:trPr>
          <w:trHeight w:val="411"/>
          <w:tblHeader/>
          <w:jc w:val="center"/>
        </w:trPr>
        <w:tc>
          <w:tcPr>
            <w:tcW w:w="3685" w:type="dxa"/>
            <w:shd w:val="clear" w:color="auto" w:fill="auto"/>
          </w:tcPr>
          <w:p w14:paraId="1C2A1AD3" w14:textId="77777777" w:rsidR="005C0DC9" w:rsidRPr="000321FF" w:rsidRDefault="00020670" w:rsidP="005C0DC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修正</w:t>
            </w:r>
            <w:r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條文</w:t>
            </w:r>
          </w:p>
        </w:tc>
        <w:tc>
          <w:tcPr>
            <w:tcW w:w="3600" w:type="dxa"/>
            <w:shd w:val="clear" w:color="auto" w:fill="auto"/>
          </w:tcPr>
          <w:p w14:paraId="1653E314" w14:textId="77777777" w:rsidR="005C0DC9" w:rsidRPr="000321FF" w:rsidRDefault="00020670" w:rsidP="005C0DC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現行條文</w:t>
            </w:r>
          </w:p>
        </w:tc>
        <w:tc>
          <w:tcPr>
            <w:tcW w:w="3510" w:type="dxa"/>
          </w:tcPr>
          <w:p w14:paraId="2B3B3941" w14:textId="77777777" w:rsidR="005C0DC9" w:rsidRPr="000321FF" w:rsidRDefault="005C0DC9" w:rsidP="005C0DC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說明</w:t>
            </w:r>
          </w:p>
        </w:tc>
      </w:tr>
      <w:tr w:rsidR="000321FF" w:rsidRPr="000321FF" w14:paraId="0E744111" w14:textId="77777777" w:rsidTr="004C3347">
        <w:trPr>
          <w:trHeight w:val="2133"/>
          <w:jc w:val="center"/>
        </w:trPr>
        <w:tc>
          <w:tcPr>
            <w:tcW w:w="3685" w:type="dxa"/>
          </w:tcPr>
          <w:p w14:paraId="7ACB386B" w14:textId="77777777" w:rsidR="00CC561F" w:rsidRPr="000321FF" w:rsidRDefault="00DF2044" w:rsidP="004C3347">
            <w:pPr>
              <w:spacing w:line="34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</w:t>
            </w:r>
            <w:r w:rsidR="00C34A75"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二</w:t>
            </w:r>
            <w:r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條</w:t>
            </w:r>
            <w:r w:rsidR="00C34A75"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 xml:space="preserve"> 名詞定義</w:t>
            </w:r>
          </w:p>
          <w:p w14:paraId="61405648" w14:textId="40603DA9" w:rsidR="0061746C" w:rsidRPr="000321FF" w:rsidRDefault="0009079D" w:rsidP="004C3347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一、～五、（</w:t>
            </w:r>
            <w:r w:rsidR="0061746C" w:rsidRPr="000321F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略</w:t>
            </w:r>
            <w:r w:rsidRPr="000321F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）</w:t>
            </w:r>
          </w:p>
          <w:p w14:paraId="7C3AFA45" w14:textId="466017EF" w:rsidR="004B5A08" w:rsidRPr="000321FF" w:rsidRDefault="00C34A75" w:rsidP="004C3347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六、資訊服務供應商</w:t>
            </w:r>
            <w:r w:rsidR="00EF7947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：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係指符合</w:t>
            </w:r>
            <w:r w:rsidR="00CB2C4E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「本公會</w:t>
            </w:r>
            <w:r w:rsidR="00561A52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證券商資通系統與服務供應鏈風險管理自律規範</w:t>
            </w:r>
            <w:r w:rsidR="00CB2C4E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」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遴選條件之廠商。</w:t>
            </w:r>
          </w:p>
        </w:tc>
        <w:tc>
          <w:tcPr>
            <w:tcW w:w="3600" w:type="dxa"/>
          </w:tcPr>
          <w:p w14:paraId="7DA01B67" w14:textId="77777777" w:rsidR="00C34A75" w:rsidRPr="000321FF" w:rsidRDefault="00C34A7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第二條 名詞定義</w:t>
            </w:r>
          </w:p>
          <w:p w14:paraId="4FE61E3C" w14:textId="77777777" w:rsidR="0009079D" w:rsidRPr="000321FF" w:rsidRDefault="0009079D" w:rsidP="004C3347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一、～五、（略）</w:t>
            </w:r>
          </w:p>
          <w:p w14:paraId="024845D1" w14:textId="76E1CF99" w:rsidR="00CC6F49" w:rsidRPr="000321FF" w:rsidRDefault="00CC6F49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10" w:type="dxa"/>
          </w:tcPr>
          <w:p w14:paraId="29AB1F18" w14:textId="14FD9AAC" w:rsidR="007A3E5C" w:rsidRPr="000321FF" w:rsidRDefault="00C34A75" w:rsidP="004C3347">
            <w:pPr>
              <w:pStyle w:val="a4"/>
              <w:numPr>
                <w:ilvl w:val="0"/>
                <w:numId w:val="20"/>
              </w:numPr>
              <w:spacing w:line="34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</w:t>
            </w:r>
            <w:r w:rsidR="00DF204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本條第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款</w:t>
            </w:r>
            <w:r w:rsidR="007A3E5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24D4B018" w14:textId="4CBECCA9" w:rsidR="00A913EC" w:rsidRPr="000321FF" w:rsidRDefault="00C34A75" w:rsidP="004C3347">
            <w:pPr>
              <w:pStyle w:val="a4"/>
              <w:numPr>
                <w:ilvl w:val="0"/>
                <w:numId w:val="20"/>
              </w:numPr>
              <w:spacing w:line="34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參照</w:t>
            </w:r>
            <w:r w:rsidR="00CB2C4E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本公會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證券商資通系統與服務</w:t>
            </w:r>
            <w:r w:rsidR="00CB2C4E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供應鏈風險管理自律規範」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新增「六、資訊服務供應商」之名詞定義。</w:t>
            </w:r>
          </w:p>
        </w:tc>
      </w:tr>
      <w:tr w:rsidR="000321FF" w:rsidRPr="000321FF" w14:paraId="191F6437" w14:textId="77777777" w:rsidTr="004C3347">
        <w:trPr>
          <w:trHeight w:val="3141"/>
          <w:jc w:val="center"/>
        </w:trPr>
        <w:tc>
          <w:tcPr>
            <w:tcW w:w="3685" w:type="dxa"/>
          </w:tcPr>
          <w:p w14:paraId="1CF0F36F" w14:textId="4C48FD07" w:rsidR="00C34A75" w:rsidRPr="000321FF" w:rsidRDefault="00C34A75" w:rsidP="004C3347">
            <w:pPr>
              <w:autoSpaceDE w:val="0"/>
              <w:autoSpaceDN w:val="0"/>
              <w:adjustRightInd w:val="0"/>
              <w:spacing w:line="340" w:lineRule="exact"/>
              <w:ind w:left="480" w:hangingChars="200" w:hanging="48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七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、第一類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：係指依「證券暨期貨市場各服務事業建立內部控制制度處理準則」第三十六條之二條文指派資訊安全長之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600" w:type="dxa"/>
          </w:tcPr>
          <w:p w14:paraId="62B79D06" w14:textId="6851AB6B" w:rsidR="00C34A75" w:rsidRPr="000321FF" w:rsidRDefault="00C34A7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六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、第一類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：係指依「證券暨期貨市場各服務事業建立內部控制制度處理準則」第三十六條之二條文指派資訊安全長之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或「建立</w:t>
            </w:r>
            <w:r w:rsidR="0023632C"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證券商</w:t>
            </w: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資通安全檢查機制-分級防護應辦事項附表」所列第一級、第二級、第三級</w:t>
            </w:r>
            <w:r w:rsidR="0023632C"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510" w:type="dxa"/>
          </w:tcPr>
          <w:p w14:paraId="390FD5C2" w14:textId="77777777" w:rsidR="00C34A75" w:rsidRPr="000321FF" w:rsidRDefault="00E01A7E" w:rsidP="004C3347">
            <w:pPr>
              <w:pStyle w:val="a4"/>
              <w:numPr>
                <w:ilvl w:val="0"/>
                <w:numId w:val="21"/>
              </w:numPr>
              <w:spacing w:line="34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項次調整</w:t>
            </w:r>
            <w:r w:rsidR="00C34A75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19867AF0" w14:textId="3AC3DCD1" w:rsidR="00560B72" w:rsidRPr="000321FF" w:rsidRDefault="00560B72" w:rsidP="004C3347">
            <w:pPr>
              <w:pStyle w:val="a4"/>
              <w:numPr>
                <w:ilvl w:val="0"/>
                <w:numId w:val="21"/>
              </w:numPr>
              <w:spacing w:line="34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依據金管會113年</w:t>
            </w:r>
            <w:r w:rsidR="00E31E2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1月4日金管證券字第1120385996號令，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有關設立資訊安全長條件調整，刪除分類之條件。</w:t>
            </w:r>
          </w:p>
          <w:p w14:paraId="2F884081" w14:textId="761EE00E" w:rsidR="00C34A75" w:rsidRPr="000321FF" w:rsidRDefault="00C34A75" w:rsidP="004C334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321FF" w:rsidRPr="000321FF" w14:paraId="391253FE" w14:textId="77777777" w:rsidTr="0009079D">
        <w:trPr>
          <w:trHeight w:val="801"/>
          <w:jc w:val="center"/>
        </w:trPr>
        <w:tc>
          <w:tcPr>
            <w:tcW w:w="3685" w:type="dxa"/>
          </w:tcPr>
          <w:p w14:paraId="6454532B" w14:textId="45B5BE48" w:rsidR="00C34A75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八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第二類證券商：係指非屬第一類證券商之證券商。</w:t>
            </w:r>
          </w:p>
        </w:tc>
        <w:tc>
          <w:tcPr>
            <w:tcW w:w="3600" w:type="dxa"/>
          </w:tcPr>
          <w:p w14:paraId="12077383" w14:textId="2FD4CF36" w:rsidR="00C34A75" w:rsidRPr="000321FF" w:rsidRDefault="00E01A7E" w:rsidP="004C3347">
            <w:pPr>
              <w:spacing w:line="340" w:lineRule="exact"/>
              <w:ind w:left="432" w:hangingChars="180" w:hanging="432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七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第二類證券商：係指非屬第一類證券商之證券商。</w:t>
            </w:r>
          </w:p>
        </w:tc>
        <w:tc>
          <w:tcPr>
            <w:tcW w:w="3510" w:type="dxa"/>
          </w:tcPr>
          <w:p w14:paraId="42E728BB" w14:textId="77777777" w:rsidR="00C34A75" w:rsidRPr="000321FF" w:rsidRDefault="00E01A7E" w:rsidP="004C3347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項次調整</w:t>
            </w:r>
          </w:p>
        </w:tc>
      </w:tr>
      <w:tr w:rsidR="000321FF" w:rsidRPr="000321FF" w14:paraId="35FD97EF" w14:textId="77777777" w:rsidTr="0009079D">
        <w:trPr>
          <w:jc w:val="center"/>
        </w:trPr>
        <w:tc>
          <w:tcPr>
            <w:tcW w:w="3685" w:type="dxa"/>
          </w:tcPr>
          <w:p w14:paraId="0F2D0ABF" w14:textId="30B2F2F8" w:rsidR="00E01A7E" w:rsidRPr="000321FF" w:rsidRDefault="00E01A7E" w:rsidP="004C3347">
            <w:pPr>
              <w:spacing w:afterLines="50" w:after="180"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九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外國證券商：係指外資集團在台子公司或分公司。外國證券商如有標準較佳之規範則從其規範；若無，則應遵守本國的規範。</w:t>
            </w:r>
          </w:p>
        </w:tc>
        <w:tc>
          <w:tcPr>
            <w:tcW w:w="3600" w:type="dxa"/>
          </w:tcPr>
          <w:p w14:paraId="4E020233" w14:textId="331BF604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八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外國證券商：係指外資集團在台子公司或分公司。外國證券商如有標準較佳之規範則從其規範；若無，則應遵守本國的規範。</w:t>
            </w:r>
          </w:p>
        </w:tc>
        <w:tc>
          <w:tcPr>
            <w:tcW w:w="3510" w:type="dxa"/>
          </w:tcPr>
          <w:p w14:paraId="3E1B3CF0" w14:textId="77777777" w:rsidR="00E01A7E" w:rsidRPr="000321FF" w:rsidRDefault="00E01A7E" w:rsidP="004C3347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項次調整</w:t>
            </w:r>
          </w:p>
        </w:tc>
      </w:tr>
      <w:tr w:rsidR="000321FF" w:rsidRPr="000321FF" w14:paraId="1F62723C" w14:textId="77777777" w:rsidTr="0009079D">
        <w:trPr>
          <w:jc w:val="center"/>
        </w:trPr>
        <w:tc>
          <w:tcPr>
            <w:tcW w:w="3685" w:type="dxa"/>
          </w:tcPr>
          <w:p w14:paraId="5CBA7002" w14:textId="77777777" w:rsidR="00E01A7E" w:rsidRPr="000321FF" w:rsidRDefault="00E01A7E" w:rsidP="004C3347">
            <w:pPr>
              <w:spacing w:line="340" w:lineRule="exact"/>
              <w:ind w:leftChars="-45" w:left="699" w:hangingChars="336" w:hanging="807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第三條 網路架構與網路安全管理</w:t>
            </w:r>
          </w:p>
          <w:p w14:paraId="674E76F2" w14:textId="00A2D84E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  <w:r w:rsidR="00561A52" w:rsidRPr="000321F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網路區域劃分</w:t>
            </w:r>
          </w:p>
          <w:p w14:paraId="5F0FB2D8" w14:textId="5C7E094C" w:rsidR="00E01A7E" w:rsidRPr="000321FF" w:rsidRDefault="00E01A7E" w:rsidP="004C3347">
            <w:pPr>
              <w:spacing w:line="340" w:lineRule="exact"/>
              <w:ind w:leftChars="-8" w:left="519" w:hangingChars="224" w:hanging="538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</w:t>
            </w:r>
            <w:r w:rsidR="009755D9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網段應以維持業務運作劃分區域：如隔離區(非軍事區， Demilitarized Zone，DMZ)、營運區(Production，  Prod.)、測試區(Unit Test, UT 或 User Acceptance Test, UAT)及其他等網段。</w:t>
            </w:r>
            <w:r w:rsidR="00D25684" w:rsidRPr="003337C9">
              <w:rPr>
                <w:rFonts w:ascii="標楷體" w:eastAsia="標楷體" w:hAnsi="標楷體" w:cs="Times New Roman"/>
                <w:color w:val="C00000"/>
                <w:szCs w:val="24"/>
                <w:u w:val="single"/>
              </w:rPr>
              <w:t>證券商</w:t>
            </w:r>
            <w:r w:rsidR="00D25684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應每半年檢視</w:t>
            </w:r>
            <w:r w:rsidR="00D25684" w:rsidRPr="003337C9">
              <w:rPr>
                <w:rFonts w:ascii="標楷體" w:eastAsia="標楷體" w:hAnsi="標楷體" w:cs="Times New Roman"/>
                <w:color w:val="C00000"/>
                <w:szCs w:val="24"/>
                <w:u w:val="single"/>
              </w:rPr>
              <w:t>DMZ區之防火牆規則，並留存相關檢視紀錄。</w:t>
            </w:r>
          </w:p>
          <w:p w14:paraId="784D036C" w14:textId="299BB12B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應定義外部網路與內部網路，外部網路連接網際網路，內部網路區域為組織人員與內部服務的伺服器配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置區域。由外部網路到內部網路的流量需要經過存取控制，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僅限於內</w:t>
            </w:r>
            <w:r w:rsidR="00D04F7E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部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人員公務用或資訊服務供應商申請核准後使用，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避免非允許的服務進入。</w:t>
            </w:r>
          </w:p>
          <w:p w14:paraId="56CA6393" w14:textId="01FC93F7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(五)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證券商應使用適當方式隔離限制存取與特定服務，且應視區隔方式，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每年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定期檢視防火牆規則或存取控制清單(Access Control List, ACL)。</w:t>
            </w:r>
          </w:p>
          <w:p w14:paraId="2D5AD8C4" w14:textId="652C4DC4" w:rsidR="00201A15" w:rsidRPr="000321FF" w:rsidRDefault="00201A1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  <w:r w:rsidR="006D0EBF" w:rsidRPr="006D0EB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內部網路</w:t>
            </w:r>
            <w:r w:rsidR="004E6615" w:rsidRPr="001D6CB5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與外部網路</w:t>
            </w:r>
            <w:r w:rsidR="003B1876" w:rsidRPr="000321F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管理</w:t>
            </w:r>
          </w:p>
          <w:p w14:paraId="113AB34B" w14:textId="3C7D2E58" w:rsidR="00373FF6" w:rsidRPr="003337C9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C00000"/>
                <w:szCs w:val="24"/>
                <w:u w:val="single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(一)</w:t>
            </w:r>
            <w:r w:rsidR="0023632C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證券商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如有提供內部無線網路使用，其存取保護應採用現行公開資訊已認可且無弱點之安全協定，並比照內部網路管理程序，僅限於內</w:t>
            </w:r>
            <w:r w:rsidR="006D0EBF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部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人員公務用或資訊服務供應商申請核准後使用。</w:t>
            </w:r>
          </w:p>
          <w:p w14:paraId="13FD00CB" w14:textId="0DE5F57E" w:rsidR="00201A15" w:rsidRPr="000321FF" w:rsidRDefault="00201A1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(</w:t>
            </w:r>
            <w:r w:rsidR="00373FF6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二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如有提供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外部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無線網路使用，</w:t>
            </w:r>
            <w:r w:rsidR="00373FF6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其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存取保護應採用現行公開資訊已認可且無弱點之安全協定。</w:t>
            </w:r>
          </w:p>
          <w:p w14:paraId="3AFF2D7B" w14:textId="77777777" w:rsidR="002A3862" w:rsidRPr="000321FF" w:rsidRDefault="002A3862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C14163A" w14:textId="2016272F" w:rsidR="00E01A7E" w:rsidRPr="000321FF" w:rsidRDefault="00201A1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(</w:t>
            </w:r>
            <w:r w:rsidR="00373FF6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三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應建立無線網路密碼原則，以降低密碼破解之風險。</w:t>
            </w:r>
          </w:p>
          <w:p w14:paraId="59A5AEE6" w14:textId="05DC8A73" w:rsidR="00373FF6" w:rsidRPr="000321FF" w:rsidRDefault="00373FF6" w:rsidP="004C3347">
            <w:pPr>
              <w:spacing w:afterLines="50" w:after="180"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(四)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如允許內部人員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>或資訊服務供應商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使用外部設備存取內部網路，應提出申請並檢視設備安全性與相關授權，並限制存取範圍。</w:t>
            </w:r>
          </w:p>
        </w:tc>
        <w:tc>
          <w:tcPr>
            <w:tcW w:w="3600" w:type="dxa"/>
          </w:tcPr>
          <w:p w14:paraId="443382E6" w14:textId="77777777" w:rsidR="00E01A7E" w:rsidRPr="000321FF" w:rsidRDefault="00E01A7E" w:rsidP="004C3347">
            <w:pPr>
              <w:spacing w:line="340" w:lineRule="exact"/>
              <w:ind w:leftChars="-45" w:left="481" w:hangingChars="245" w:hanging="589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第三條 網路架構與網路安全管理</w:t>
            </w:r>
          </w:p>
          <w:p w14:paraId="12199ABD" w14:textId="55543A4C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網路區域劃分</w:t>
            </w:r>
          </w:p>
          <w:p w14:paraId="134D0105" w14:textId="5DEAD14E" w:rsidR="00E01A7E" w:rsidRPr="000321FF" w:rsidRDefault="00E01A7E" w:rsidP="004C3347">
            <w:pPr>
              <w:spacing w:line="340" w:lineRule="exact"/>
              <w:ind w:left="516" w:hangingChars="215" w:hanging="516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網段應以維持業務運作劃分區域：如隔離區(非軍事區，Demilitarized Zone</w:t>
            </w:r>
            <w:r w:rsidR="009755D9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DMZ)、營運區(Production</w:t>
            </w:r>
            <w:r w:rsidR="009755D9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Prod.)、測試區(Unit</w:t>
            </w:r>
            <w:r w:rsidR="0009079D" w:rsidRPr="000321F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Test,</w:t>
            </w:r>
            <w:r w:rsidR="0009079D" w:rsidRPr="000321F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UT 或 User Acceptance Test, UAT)及其他等網段。</w:t>
            </w:r>
          </w:p>
          <w:p w14:paraId="1D905C7A" w14:textId="77777777" w:rsidR="00D25684" w:rsidRPr="000321FF" w:rsidRDefault="00D25684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551F272" w14:textId="77777777" w:rsidR="0009079D" w:rsidRPr="000321FF" w:rsidRDefault="0009079D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2CB2C80" w14:textId="77777777" w:rsidR="004C3347" w:rsidRPr="000321FF" w:rsidRDefault="004C3347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C2CCB33" w14:textId="3363FA91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應定義外部網路與內部網路，外部網路連接網際網路，內部網路區域為組織人員與內部服務的伺服器配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置區域。由外部網路到內部網路的流量需要經過存取控制，避免非允許的服務進入。</w:t>
            </w:r>
          </w:p>
          <w:p w14:paraId="691F0109" w14:textId="77777777" w:rsidR="003A62A0" w:rsidRPr="000321FF" w:rsidRDefault="003A62A0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3E9F9F9" w14:textId="77777777" w:rsidR="002A3862" w:rsidRPr="000321FF" w:rsidRDefault="002A3862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0888EC2" w14:textId="77777777" w:rsidR="0009079D" w:rsidRPr="000321FF" w:rsidRDefault="0009079D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CDF53D7" w14:textId="3FB1E2FA" w:rsidR="00E01A7E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(五)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證券商應使用適當方式隔離限制存取與特定服務，且應視區隔方式，定期檢視防火牆規則或存取控制清單(Access Control List, ACL)。</w:t>
            </w:r>
          </w:p>
          <w:p w14:paraId="6EA018CC" w14:textId="6B562F2A" w:rsidR="00201A15" w:rsidRPr="000321FF" w:rsidRDefault="00E01A7E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  <w:r w:rsidR="003B1876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內部網路管理</w:t>
            </w:r>
          </w:p>
          <w:p w14:paraId="0EE44512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63A79DC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6C61E135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209AADD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7EC9675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5A54ECDB" w14:textId="77777777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21118F9" w14:textId="77777777" w:rsidR="0023632C" w:rsidRPr="000321FF" w:rsidRDefault="0023632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070F830D" w14:textId="14F7F914" w:rsidR="00201A15" w:rsidRPr="000321FF" w:rsidRDefault="00201A1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(一)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如有提供無線網路</w:t>
            </w:r>
            <w:r w:rsidRPr="003337C9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供內/外部人員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使用，</w:t>
            </w:r>
            <w:r w:rsidRPr="003337C9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無線網路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存取保護應採用現行公開資訊已認可且無弱點之安全協定。</w:t>
            </w:r>
          </w:p>
          <w:p w14:paraId="79233601" w14:textId="081B280B" w:rsidR="00E01A7E" w:rsidRPr="000321FF" w:rsidRDefault="00201A15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(二)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應建立無線網路密碼原則，以降低密碼破解之風險。</w:t>
            </w:r>
          </w:p>
          <w:p w14:paraId="56DBAB9D" w14:textId="14DBF52E" w:rsidR="00373FF6" w:rsidRPr="000321FF" w:rsidRDefault="00373FF6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(三)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如允許內</w:t>
            </w:r>
            <w:r w:rsidRPr="003337C9">
              <w:rPr>
                <w:rFonts w:ascii="標楷體" w:eastAsia="標楷體" w:hAnsi="標楷體" w:cs="Times New Roman" w:hint="eastAsia"/>
                <w:color w:val="0070C0"/>
                <w:szCs w:val="24"/>
                <w:u w:val="single"/>
              </w:rPr>
              <w:t>/外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部人員使用外部設備存取內部網路，應提出申請並檢視設備安全性與相關授權，並限制存取範圍。</w:t>
            </w:r>
          </w:p>
        </w:tc>
        <w:tc>
          <w:tcPr>
            <w:tcW w:w="3510" w:type="dxa"/>
          </w:tcPr>
          <w:p w14:paraId="44538B90" w14:textId="29FC6342" w:rsidR="00706E2A" w:rsidRPr="000321FF" w:rsidRDefault="00D25684" w:rsidP="004C3347">
            <w:pPr>
              <w:spacing w:line="360" w:lineRule="exact"/>
              <w:ind w:leftChars="-9" w:left="427" w:rightChars="-16" w:right="-38" w:hangingChars="187" w:hanging="449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一、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修正本條第二款第二目及第五目。配合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證交所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113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日臺證輔字第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1130008401</w:t>
            </w:r>
            <w:r w:rsidR="00690452" w:rsidRPr="000321F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號函修正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「建立證券商資通安全檢查機制」通訊與作業管理（CC-17000）（1）b. (f)之規定，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</w:t>
            </w:r>
            <w:r w:rsidR="00487D73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</w:t>
            </w:r>
            <w:r w:rsidR="00487D73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應每半年檢視</w:t>
            </w:r>
            <w:r w:rsidR="00487D73" w:rsidRPr="000321F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DMZ區之防火牆規則</w:t>
            </w:r>
            <w:r w:rsidR="00487D73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，及每年定期檢視並維護防火牆存取控管設定</w:t>
            </w:r>
            <w:r w:rsidR="003A62A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59229CC8" w14:textId="37010038" w:rsidR="00E01A7E" w:rsidRPr="000321FF" w:rsidRDefault="003A62A0" w:rsidP="004C3347">
            <w:pPr>
              <w:spacing w:line="360" w:lineRule="exact"/>
              <w:ind w:left="430" w:hangingChars="179" w:hanging="43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修正本條第二款第三目，配合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期交所113年4月19日台期規字第1130001018號函修正「證券暨期貨市場各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服務事業網路安全防護參考指引」第五條第三款之規定，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由</w:t>
            </w:r>
            <w:r w:rsidR="00487D73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外部網路到內部網路之存取控制，</w:t>
            </w:r>
            <w:r w:rsidR="00706E2A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增訂僅限於組織人員公務用或資訊服務供應商申請核准後使用。</w:t>
            </w:r>
          </w:p>
          <w:p w14:paraId="61FCAAD6" w14:textId="742D14B8" w:rsidR="003737E5" w:rsidRPr="000321FF" w:rsidRDefault="00487D73" w:rsidP="004C3347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三、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新增本條第三款第一項，配合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前開期交所修正網路安全防護參考指引第七條第</w:t>
            </w:r>
            <w:r w:rsidR="00080E89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r w:rsidR="006904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款之規定，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將無線網路區分為內、外部網路進行管理，新增第一款有關內部無線網路之管理、使用者及申請使用方式。</w:t>
            </w:r>
          </w:p>
          <w:p w14:paraId="2B81EDE9" w14:textId="04CCDF77" w:rsidR="00FE717F" w:rsidRPr="000321FF" w:rsidRDefault="003737E5" w:rsidP="004C3347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四、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以下</w:t>
            </w:r>
            <w:r w:rsidR="00491420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項次配合調整。</w:t>
            </w:r>
          </w:p>
          <w:p w14:paraId="2D870B25" w14:textId="6AA5DB05" w:rsidR="00373FF6" w:rsidRPr="000321FF" w:rsidRDefault="002270D2" w:rsidP="004C3347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FE717F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C46594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修正本條第三款第二目，</w:t>
            </w:r>
            <w:r w:rsidR="00052CC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參照前開期交所修正網路安全防護參考指引第七條第二款之規定，</w:t>
            </w:r>
            <w:r w:rsidR="009C4F7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規範外部無線網路之存取保護方式</w:t>
            </w:r>
            <w:r w:rsidR="00373FF6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1FC338B0" w14:textId="3BB13891" w:rsidR="00373FF6" w:rsidRPr="000321FF" w:rsidRDefault="002270D2" w:rsidP="004C3347">
            <w:pPr>
              <w:spacing w:line="360" w:lineRule="exact"/>
              <w:ind w:left="425" w:hangingChars="177" w:hanging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六</w:t>
            </w:r>
            <w:r w:rsidR="00FE717F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9C4F7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修正本條第三款第四目，</w:t>
            </w:r>
            <w:r w:rsidR="002A386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參照前開期交所修正網路安全防護參考指引第八條第一項之規定，</w:t>
            </w:r>
            <w:r w:rsidR="009C4F7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證券商如允許內/外部人員使用外部設備存取內部網路，修訂為「組織內人員或資訊服務供應商」。</w:t>
            </w:r>
          </w:p>
        </w:tc>
      </w:tr>
      <w:tr w:rsidR="00706E2A" w:rsidRPr="000321FF" w14:paraId="73266B29" w14:textId="77777777" w:rsidTr="004C3347">
        <w:trPr>
          <w:trHeight w:val="2547"/>
          <w:jc w:val="center"/>
        </w:trPr>
        <w:tc>
          <w:tcPr>
            <w:tcW w:w="3685" w:type="dxa"/>
          </w:tcPr>
          <w:p w14:paraId="1EC5276A" w14:textId="77777777" w:rsidR="00706E2A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第四條 網路設備安全管理</w:t>
            </w:r>
          </w:p>
          <w:p w14:paraId="5AC1069F" w14:textId="77777777" w:rsidR="0061746C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四、網路設備委外</w:t>
            </w:r>
          </w:p>
          <w:p w14:paraId="3A27F3A7" w14:textId="2C70DBBD" w:rsidR="0061746C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所有網路設備若委由</w:t>
            </w:r>
            <w:r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資訊服務供應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商維運或管理應依「</w:t>
            </w:r>
            <w:r w:rsidR="00561A5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本公會</w:t>
            </w:r>
            <w:r w:rsidR="00561A52" w:rsidRPr="003337C9">
              <w:rPr>
                <w:rFonts w:ascii="標楷體" w:eastAsia="標楷體" w:hAnsi="標楷體" w:cs="Times New Roman" w:hint="eastAsia"/>
                <w:color w:val="C00000"/>
                <w:szCs w:val="24"/>
                <w:u w:val="single"/>
              </w:rPr>
              <w:t>證券商資通系統與服務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供應鏈風險管理自律規範」。</w:t>
            </w:r>
          </w:p>
        </w:tc>
        <w:tc>
          <w:tcPr>
            <w:tcW w:w="3600" w:type="dxa"/>
          </w:tcPr>
          <w:p w14:paraId="29BB2B1B" w14:textId="77777777" w:rsidR="00706E2A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第四條 網路設備安全管理</w:t>
            </w:r>
          </w:p>
          <w:p w14:paraId="1E6D3F8B" w14:textId="77777777" w:rsidR="0061746C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四、網路設備委外</w:t>
            </w:r>
          </w:p>
          <w:p w14:paraId="602B8BDD" w14:textId="1298F3D2" w:rsidR="0061746C" w:rsidRPr="000321FF" w:rsidRDefault="0061746C" w:rsidP="004C3347">
            <w:pPr>
              <w:spacing w:line="340" w:lineRule="exact"/>
              <w:ind w:left="480" w:hangingChars="200" w:hanging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="0023632C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證券商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所有網路設備若委由</w:t>
            </w:r>
            <w:r w:rsidRPr="003337C9">
              <w:rPr>
                <w:rFonts w:ascii="標楷體" w:eastAsia="標楷體" w:hAnsi="標楷體" w:cs="Times New Roman" w:hint="eastAsia"/>
                <w:strike/>
                <w:color w:val="0070C0"/>
                <w:szCs w:val="24"/>
              </w:rPr>
              <w:t>外部廠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商維運或管理應依「本公會供應鏈風險管理自律規範」。</w:t>
            </w:r>
          </w:p>
        </w:tc>
        <w:tc>
          <w:tcPr>
            <w:tcW w:w="3510" w:type="dxa"/>
          </w:tcPr>
          <w:p w14:paraId="0625CC97" w14:textId="560419AF" w:rsidR="0061746C" w:rsidRPr="000321FF" w:rsidRDefault="009C4F78" w:rsidP="004C3347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修正本條第四款，</w:t>
            </w:r>
            <w:r w:rsidR="00080E89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參照前開期交所修正網路安全防護參考指引</w:t>
            </w:r>
            <w:r w:rsidR="002270D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第十二條第一項之規定</w:t>
            </w:r>
            <w:r w:rsidR="00FE717F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645CA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將</w:t>
            </w:r>
            <w:r w:rsidR="002270D2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外部</w:t>
            </w:r>
            <w:r w:rsidR="00645CA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廠</w:t>
            </w:r>
            <w:r w:rsidR="0009079D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商</w:t>
            </w:r>
            <w:r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修訂為</w:t>
            </w:r>
            <w:r w:rsidR="00645CA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資訊服務供應商</w:t>
            </w:r>
            <w:r w:rsidR="0009079D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，其維運及管理應依</w:t>
            </w:r>
            <w:r w:rsidR="00645CA8" w:rsidRPr="000321F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本公會「證券商資通系統與服務供應鏈風險管理自律規範」。</w:t>
            </w:r>
          </w:p>
        </w:tc>
      </w:tr>
    </w:tbl>
    <w:p w14:paraId="23E9E77A" w14:textId="77777777" w:rsidR="002500E4" w:rsidRPr="000321FF" w:rsidRDefault="002500E4" w:rsidP="00FD6C79">
      <w:pPr>
        <w:spacing w:line="340" w:lineRule="exact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2500E4" w:rsidRPr="000321FF" w:rsidSect="004B5A08">
      <w:footerReference w:type="default" r:id="rId8"/>
      <w:pgSz w:w="11906" w:h="16838"/>
      <w:pgMar w:top="737" w:right="720" w:bottom="720" w:left="73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8D4" w14:textId="77777777" w:rsidR="006925FA" w:rsidRDefault="006925FA" w:rsidP="005C0DC9">
      <w:r>
        <w:separator/>
      </w:r>
    </w:p>
  </w:endnote>
  <w:endnote w:type="continuationSeparator" w:id="0">
    <w:p w14:paraId="6D0381AC" w14:textId="77777777" w:rsidR="006925FA" w:rsidRDefault="006925FA" w:rsidP="005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83AF" w14:textId="77777777" w:rsidR="008C13AC" w:rsidRPr="00946909" w:rsidRDefault="008C13AC" w:rsidP="008C13AC">
    <w:pPr>
      <w:pStyle w:val="a7"/>
      <w:jc w:val="center"/>
      <w:rPr>
        <w:rFonts w:ascii="標楷體" w:eastAsia="標楷體" w:hAnsi="標楷體"/>
      </w:rPr>
    </w:pPr>
    <w:r w:rsidRPr="008C13AC"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rFonts w:ascii="標楷體" w:eastAsia="標楷體" w:hAnsi="標楷體"/>
        </w:rPr>
      </w:sdtEndPr>
      <w:sdtContent>
        <w:r w:rsidRPr="00946909">
          <w:rPr>
            <w:rFonts w:ascii="標楷體" w:eastAsia="標楷體" w:hAnsi="標楷體" w:hint="eastAsia"/>
          </w:rPr>
          <w:t>第</w:t>
        </w:r>
        <w:r w:rsidRPr="00946909">
          <w:rPr>
            <w:rFonts w:ascii="標楷體" w:eastAsia="標楷體" w:hAnsi="標楷體"/>
            <w:bCs/>
          </w:rPr>
          <w:fldChar w:fldCharType="begin"/>
        </w:r>
        <w:r w:rsidRPr="00946909">
          <w:rPr>
            <w:rFonts w:ascii="標楷體" w:eastAsia="標楷體" w:hAnsi="標楷體"/>
            <w:bCs/>
          </w:rPr>
          <w:instrText>PAGE</w:instrText>
        </w:r>
        <w:r w:rsidRPr="00946909">
          <w:rPr>
            <w:rFonts w:ascii="標楷體" w:eastAsia="標楷體" w:hAnsi="標楷體"/>
            <w:bCs/>
          </w:rPr>
          <w:fldChar w:fldCharType="separate"/>
        </w:r>
        <w:r w:rsidR="00255584">
          <w:rPr>
            <w:rFonts w:ascii="標楷體" w:eastAsia="標楷體" w:hAnsi="標楷體"/>
            <w:bCs/>
            <w:noProof/>
          </w:rPr>
          <w:t>2</w:t>
        </w:r>
        <w:r w:rsidRPr="00946909">
          <w:rPr>
            <w:rFonts w:ascii="標楷體" w:eastAsia="標楷體" w:hAnsi="標楷體"/>
            <w:bCs/>
          </w:rPr>
          <w:fldChar w:fldCharType="end"/>
        </w:r>
        <w:r w:rsidRPr="00946909">
          <w:rPr>
            <w:rFonts w:ascii="標楷體" w:eastAsia="標楷體" w:hAnsi="標楷體" w:hint="eastAsia"/>
            <w:bCs/>
          </w:rPr>
          <w:t>頁、共</w:t>
        </w:r>
        <w:r w:rsidRPr="00946909">
          <w:rPr>
            <w:rFonts w:ascii="標楷體" w:eastAsia="標楷體" w:hAnsi="標楷體"/>
            <w:bCs/>
          </w:rPr>
          <w:fldChar w:fldCharType="begin"/>
        </w:r>
        <w:r w:rsidRPr="00946909">
          <w:rPr>
            <w:rFonts w:ascii="標楷體" w:eastAsia="標楷體" w:hAnsi="標楷體"/>
            <w:bCs/>
          </w:rPr>
          <w:instrText>NUMPAGES</w:instrText>
        </w:r>
        <w:r w:rsidRPr="00946909">
          <w:rPr>
            <w:rFonts w:ascii="標楷體" w:eastAsia="標楷體" w:hAnsi="標楷體"/>
            <w:bCs/>
          </w:rPr>
          <w:fldChar w:fldCharType="separate"/>
        </w:r>
        <w:r w:rsidR="00255584">
          <w:rPr>
            <w:rFonts w:ascii="標楷體" w:eastAsia="標楷體" w:hAnsi="標楷體"/>
            <w:bCs/>
            <w:noProof/>
          </w:rPr>
          <w:t>2</w:t>
        </w:r>
        <w:r w:rsidRPr="00946909">
          <w:rPr>
            <w:rFonts w:ascii="標楷體" w:eastAsia="標楷體" w:hAnsi="標楷體"/>
            <w:bCs/>
          </w:rPr>
          <w:fldChar w:fldCharType="end"/>
        </w:r>
        <w:r w:rsidRPr="00946909">
          <w:rPr>
            <w:rFonts w:ascii="標楷體" w:eastAsia="標楷體" w:hAnsi="標楷體" w:hint="eastAsia"/>
            <w:bCs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A8D9" w14:textId="77777777" w:rsidR="006925FA" w:rsidRDefault="006925FA" w:rsidP="005C0DC9">
      <w:r>
        <w:separator/>
      </w:r>
    </w:p>
  </w:footnote>
  <w:footnote w:type="continuationSeparator" w:id="0">
    <w:p w14:paraId="473BD19C" w14:textId="77777777" w:rsidR="006925FA" w:rsidRDefault="006925FA" w:rsidP="005C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34D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5A77F8"/>
    <w:multiLevelType w:val="hybridMultilevel"/>
    <w:tmpl w:val="FCE6CF1E"/>
    <w:lvl w:ilvl="0" w:tplc="CAEE9086">
      <w:start w:val="1"/>
      <w:numFmt w:val="taiwaneseCountingThousand"/>
      <w:lvlText w:val="%1、"/>
      <w:lvlJc w:val="left"/>
      <w:pPr>
        <w:ind w:left="809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8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2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97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2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7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12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691" w:hanging="480"/>
      </w:pPr>
      <w:rPr>
        <w:rFonts w:cs="Times New Roman"/>
      </w:rPr>
    </w:lvl>
  </w:abstractNum>
  <w:abstractNum w:abstractNumId="2" w15:restartNumberingAfterBreak="0">
    <w:nsid w:val="16E75A8A"/>
    <w:multiLevelType w:val="hybridMultilevel"/>
    <w:tmpl w:val="607C09B6"/>
    <w:lvl w:ilvl="0" w:tplc="A98872EC">
      <w:start w:val="1"/>
      <w:numFmt w:val="taiwaneseCountingThousand"/>
      <w:lvlText w:val="（%1）"/>
      <w:lvlJc w:val="left"/>
      <w:pPr>
        <w:ind w:left="1394" w:hanging="83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3" w15:restartNumberingAfterBreak="0">
    <w:nsid w:val="22ED2676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15EE1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64D46"/>
    <w:multiLevelType w:val="hybridMultilevel"/>
    <w:tmpl w:val="FD5661C4"/>
    <w:lvl w:ilvl="0" w:tplc="30A6B50C">
      <w:start w:val="1"/>
      <w:numFmt w:val="taiwaneseCountingThousand"/>
      <w:lvlText w:val="（%1）"/>
      <w:lvlJc w:val="left"/>
      <w:pPr>
        <w:ind w:left="1486" w:hanging="93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  <w:rPr>
        <w:rFonts w:cs="Times New Roman"/>
      </w:rPr>
    </w:lvl>
  </w:abstractNum>
  <w:abstractNum w:abstractNumId="6" w15:restartNumberingAfterBreak="0">
    <w:nsid w:val="38A1392A"/>
    <w:multiLevelType w:val="hybridMultilevel"/>
    <w:tmpl w:val="A1BC1C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DB43AA"/>
    <w:multiLevelType w:val="hybridMultilevel"/>
    <w:tmpl w:val="027A768A"/>
    <w:lvl w:ilvl="0" w:tplc="6FFEE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9150B7"/>
    <w:multiLevelType w:val="hybridMultilevel"/>
    <w:tmpl w:val="B106C010"/>
    <w:lvl w:ilvl="0" w:tplc="6FFEE82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B524C9C"/>
    <w:multiLevelType w:val="hybridMultilevel"/>
    <w:tmpl w:val="B106C010"/>
    <w:lvl w:ilvl="0" w:tplc="6FFEE82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4021982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B215A2"/>
    <w:multiLevelType w:val="hybridMultilevel"/>
    <w:tmpl w:val="8C3426CA"/>
    <w:lvl w:ilvl="0" w:tplc="B9C2C7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A85A5E"/>
    <w:multiLevelType w:val="hybridMultilevel"/>
    <w:tmpl w:val="27ECE906"/>
    <w:lvl w:ilvl="0" w:tplc="87B00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2B6D01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1E365B"/>
    <w:multiLevelType w:val="hybridMultilevel"/>
    <w:tmpl w:val="B106C010"/>
    <w:lvl w:ilvl="0" w:tplc="6FFEE82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3CA1583"/>
    <w:multiLevelType w:val="hybridMultilevel"/>
    <w:tmpl w:val="FD5661C4"/>
    <w:lvl w:ilvl="0" w:tplc="30A6B50C">
      <w:start w:val="1"/>
      <w:numFmt w:val="taiwaneseCountingThousand"/>
      <w:lvlText w:val="（%1）"/>
      <w:lvlJc w:val="left"/>
      <w:pPr>
        <w:ind w:left="1486" w:hanging="933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  <w:rPr>
        <w:rFonts w:cs="Times New Roman"/>
      </w:rPr>
    </w:lvl>
  </w:abstractNum>
  <w:abstractNum w:abstractNumId="16" w15:restartNumberingAfterBreak="0">
    <w:nsid w:val="64170F39"/>
    <w:multiLevelType w:val="hybridMultilevel"/>
    <w:tmpl w:val="E7647A54"/>
    <w:lvl w:ilvl="0" w:tplc="25243C8A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8D24DE"/>
    <w:multiLevelType w:val="hybridMultilevel"/>
    <w:tmpl w:val="30966E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FE33D9"/>
    <w:multiLevelType w:val="hybridMultilevel"/>
    <w:tmpl w:val="92820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0B2B3F"/>
    <w:multiLevelType w:val="hybridMultilevel"/>
    <w:tmpl w:val="6C321582"/>
    <w:lvl w:ilvl="0" w:tplc="8FAA0B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AF7A6F"/>
    <w:multiLevelType w:val="hybridMultilevel"/>
    <w:tmpl w:val="3CB2D1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354960"/>
    <w:multiLevelType w:val="hybridMultilevel"/>
    <w:tmpl w:val="4518217E"/>
    <w:lvl w:ilvl="0" w:tplc="E01AEB6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905194B"/>
    <w:multiLevelType w:val="hybridMultilevel"/>
    <w:tmpl w:val="E5F8FCFA"/>
    <w:lvl w:ilvl="0" w:tplc="52782F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F3F603A"/>
    <w:multiLevelType w:val="hybridMultilevel"/>
    <w:tmpl w:val="8C3426CA"/>
    <w:lvl w:ilvl="0" w:tplc="B9C2C7B8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2848003">
    <w:abstractNumId w:val="14"/>
  </w:num>
  <w:num w:numId="2" w16cid:durableId="199172004">
    <w:abstractNumId w:val="22"/>
  </w:num>
  <w:num w:numId="3" w16cid:durableId="189732179">
    <w:abstractNumId w:val="21"/>
  </w:num>
  <w:num w:numId="4" w16cid:durableId="363949040">
    <w:abstractNumId w:val="1"/>
  </w:num>
  <w:num w:numId="5" w16cid:durableId="2130856739">
    <w:abstractNumId w:val="2"/>
  </w:num>
  <w:num w:numId="6" w16cid:durableId="1171330246">
    <w:abstractNumId w:val="5"/>
  </w:num>
  <w:num w:numId="7" w16cid:durableId="296107325">
    <w:abstractNumId w:val="15"/>
  </w:num>
  <w:num w:numId="8" w16cid:durableId="869343741">
    <w:abstractNumId w:val="8"/>
  </w:num>
  <w:num w:numId="9" w16cid:durableId="1234511428">
    <w:abstractNumId w:val="9"/>
  </w:num>
  <w:num w:numId="10" w16cid:durableId="2142964487">
    <w:abstractNumId w:val="17"/>
  </w:num>
  <w:num w:numId="11" w16cid:durableId="852844628">
    <w:abstractNumId w:val="12"/>
  </w:num>
  <w:num w:numId="12" w16cid:durableId="2028869219">
    <w:abstractNumId w:val="18"/>
  </w:num>
  <w:num w:numId="13" w16cid:durableId="1744453170">
    <w:abstractNumId w:val="7"/>
  </w:num>
  <w:num w:numId="14" w16cid:durableId="1238514752">
    <w:abstractNumId w:val="6"/>
  </w:num>
  <w:num w:numId="15" w16cid:durableId="49230575">
    <w:abstractNumId w:val="19"/>
  </w:num>
  <w:num w:numId="16" w16cid:durableId="158083821">
    <w:abstractNumId w:val="16"/>
  </w:num>
  <w:num w:numId="17" w16cid:durableId="1434282127">
    <w:abstractNumId w:val="11"/>
  </w:num>
  <w:num w:numId="18" w16cid:durableId="889800758">
    <w:abstractNumId w:val="23"/>
  </w:num>
  <w:num w:numId="19" w16cid:durableId="1788890336">
    <w:abstractNumId w:val="20"/>
  </w:num>
  <w:num w:numId="20" w16cid:durableId="333151760">
    <w:abstractNumId w:val="10"/>
  </w:num>
  <w:num w:numId="21" w16cid:durableId="1855806950">
    <w:abstractNumId w:val="13"/>
  </w:num>
  <w:num w:numId="22" w16cid:durableId="943221435">
    <w:abstractNumId w:val="4"/>
  </w:num>
  <w:num w:numId="23" w16cid:durableId="652756497">
    <w:abstractNumId w:val="0"/>
  </w:num>
  <w:num w:numId="24" w16cid:durableId="1971788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4C"/>
    <w:rsid w:val="0000365F"/>
    <w:rsid w:val="00020670"/>
    <w:rsid w:val="000321FF"/>
    <w:rsid w:val="00037546"/>
    <w:rsid w:val="0004452F"/>
    <w:rsid w:val="00052CCC"/>
    <w:rsid w:val="00052ED9"/>
    <w:rsid w:val="000729E2"/>
    <w:rsid w:val="00076DC8"/>
    <w:rsid w:val="00080E89"/>
    <w:rsid w:val="0009079D"/>
    <w:rsid w:val="000D708F"/>
    <w:rsid w:val="0010146C"/>
    <w:rsid w:val="00131C2D"/>
    <w:rsid w:val="0013720A"/>
    <w:rsid w:val="00143AEE"/>
    <w:rsid w:val="001535AD"/>
    <w:rsid w:val="0016065B"/>
    <w:rsid w:val="0019789A"/>
    <w:rsid w:val="001B4A8A"/>
    <w:rsid w:val="001B691F"/>
    <w:rsid w:val="001C3D2A"/>
    <w:rsid w:val="001D2180"/>
    <w:rsid w:val="001D6CB5"/>
    <w:rsid w:val="001E0DDF"/>
    <w:rsid w:val="001E5A09"/>
    <w:rsid w:val="001F6A57"/>
    <w:rsid w:val="001F7A0F"/>
    <w:rsid w:val="00201A15"/>
    <w:rsid w:val="00204C9A"/>
    <w:rsid w:val="002270D2"/>
    <w:rsid w:val="00230C3B"/>
    <w:rsid w:val="0023632C"/>
    <w:rsid w:val="002500E4"/>
    <w:rsid w:val="00255584"/>
    <w:rsid w:val="00257742"/>
    <w:rsid w:val="00282B63"/>
    <w:rsid w:val="0029349C"/>
    <w:rsid w:val="002A164C"/>
    <w:rsid w:val="002A3862"/>
    <w:rsid w:val="002E27D9"/>
    <w:rsid w:val="002E34D1"/>
    <w:rsid w:val="002E5BD3"/>
    <w:rsid w:val="002E5FF5"/>
    <w:rsid w:val="002F15C4"/>
    <w:rsid w:val="00302857"/>
    <w:rsid w:val="0031573C"/>
    <w:rsid w:val="00327130"/>
    <w:rsid w:val="00332870"/>
    <w:rsid w:val="003337C9"/>
    <w:rsid w:val="00356A72"/>
    <w:rsid w:val="003737E5"/>
    <w:rsid w:val="00373FF6"/>
    <w:rsid w:val="0037749B"/>
    <w:rsid w:val="003A62A0"/>
    <w:rsid w:val="003B1876"/>
    <w:rsid w:val="003D6891"/>
    <w:rsid w:val="003E7C5F"/>
    <w:rsid w:val="003F0188"/>
    <w:rsid w:val="003F6A2A"/>
    <w:rsid w:val="0041705F"/>
    <w:rsid w:val="0043335D"/>
    <w:rsid w:val="00436E0E"/>
    <w:rsid w:val="00452788"/>
    <w:rsid w:val="00461BA8"/>
    <w:rsid w:val="00464609"/>
    <w:rsid w:val="00464675"/>
    <w:rsid w:val="00485680"/>
    <w:rsid w:val="00487D73"/>
    <w:rsid w:val="00491420"/>
    <w:rsid w:val="0049717E"/>
    <w:rsid w:val="004B5A08"/>
    <w:rsid w:val="004C3347"/>
    <w:rsid w:val="004E6615"/>
    <w:rsid w:val="004F0BBB"/>
    <w:rsid w:val="004F7413"/>
    <w:rsid w:val="004F776C"/>
    <w:rsid w:val="00517804"/>
    <w:rsid w:val="00524DEB"/>
    <w:rsid w:val="00532B3A"/>
    <w:rsid w:val="005459E6"/>
    <w:rsid w:val="005571D2"/>
    <w:rsid w:val="00560B72"/>
    <w:rsid w:val="00561A52"/>
    <w:rsid w:val="00584E96"/>
    <w:rsid w:val="0058766B"/>
    <w:rsid w:val="00590CD3"/>
    <w:rsid w:val="00590FDA"/>
    <w:rsid w:val="00591F08"/>
    <w:rsid w:val="00593723"/>
    <w:rsid w:val="005A5ACB"/>
    <w:rsid w:val="005C0DC9"/>
    <w:rsid w:val="005C21C0"/>
    <w:rsid w:val="005D3DD6"/>
    <w:rsid w:val="005E3747"/>
    <w:rsid w:val="005E7466"/>
    <w:rsid w:val="005F354C"/>
    <w:rsid w:val="00601C57"/>
    <w:rsid w:val="0060257A"/>
    <w:rsid w:val="0061746C"/>
    <w:rsid w:val="00620AD2"/>
    <w:rsid w:val="00636573"/>
    <w:rsid w:val="00645CA8"/>
    <w:rsid w:val="00660F2E"/>
    <w:rsid w:val="00683270"/>
    <w:rsid w:val="00690452"/>
    <w:rsid w:val="006925FA"/>
    <w:rsid w:val="00697491"/>
    <w:rsid w:val="006A54DB"/>
    <w:rsid w:val="006C45C9"/>
    <w:rsid w:val="006C6FBE"/>
    <w:rsid w:val="006C78E7"/>
    <w:rsid w:val="006D0EBF"/>
    <w:rsid w:val="006F0C0F"/>
    <w:rsid w:val="00702A32"/>
    <w:rsid w:val="00706E2A"/>
    <w:rsid w:val="00722F59"/>
    <w:rsid w:val="00753E6F"/>
    <w:rsid w:val="00754232"/>
    <w:rsid w:val="00763D77"/>
    <w:rsid w:val="00764412"/>
    <w:rsid w:val="007715FC"/>
    <w:rsid w:val="00774836"/>
    <w:rsid w:val="007862C5"/>
    <w:rsid w:val="00786D25"/>
    <w:rsid w:val="0079659D"/>
    <w:rsid w:val="00796FC7"/>
    <w:rsid w:val="007A3E5C"/>
    <w:rsid w:val="007C011E"/>
    <w:rsid w:val="007E68AB"/>
    <w:rsid w:val="0080618D"/>
    <w:rsid w:val="00815D89"/>
    <w:rsid w:val="008355AB"/>
    <w:rsid w:val="008551D6"/>
    <w:rsid w:val="00882B3F"/>
    <w:rsid w:val="00887DD2"/>
    <w:rsid w:val="008A0DD3"/>
    <w:rsid w:val="008B69DC"/>
    <w:rsid w:val="008C13AC"/>
    <w:rsid w:val="008C596E"/>
    <w:rsid w:val="008E44EA"/>
    <w:rsid w:val="008F09D7"/>
    <w:rsid w:val="0091001F"/>
    <w:rsid w:val="00922D93"/>
    <w:rsid w:val="009256A8"/>
    <w:rsid w:val="009453ED"/>
    <w:rsid w:val="00947E3D"/>
    <w:rsid w:val="00960945"/>
    <w:rsid w:val="009755D9"/>
    <w:rsid w:val="00986408"/>
    <w:rsid w:val="00993D34"/>
    <w:rsid w:val="009A0A16"/>
    <w:rsid w:val="009C4F78"/>
    <w:rsid w:val="009C5081"/>
    <w:rsid w:val="009D0F91"/>
    <w:rsid w:val="009F5D9E"/>
    <w:rsid w:val="00A13ACE"/>
    <w:rsid w:val="00A16A5D"/>
    <w:rsid w:val="00A24747"/>
    <w:rsid w:val="00A37206"/>
    <w:rsid w:val="00A604E1"/>
    <w:rsid w:val="00A913EC"/>
    <w:rsid w:val="00AB3D0B"/>
    <w:rsid w:val="00AC62E7"/>
    <w:rsid w:val="00AD17BE"/>
    <w:rsid w:val="00AD27B9"/>
    <w:rsid w:val="00AD28C6"/>
    <w:rsid w:val="00AD35E1"/>
    <w:rsid w:val="00AD76F2"/>
    <w:rsid w:val="00B041B5"/>
    <w:rsid w:val="00B260DD"/>
    <w:rsid w:val="00B47EAB"/>
    <w:rsid w:val="00B519B3"/>
    <w:rsid w:val="00B902E1"/>
    <w:rsid w:val="00B97547"/>
    <w:rsid w:val="00BA20E4"/>
    <w:rsid w:val="00BD4EBB"/>
    <w:rsid w:val="00C001B2"/>
    <w:rsid w:val="00C02FD8"/>
    <w:rsid w:val="00C04D38"/>
    <w:rsid w:val="00C06B6E"/>
    <w:rsid w:val="00C3325E"/>
    <w:rsid w:val="00C34A75"/>
    <w:rsid w:val="00C350B3"/>
    <w:rsid w:val="00C3595C"/>
    <w:rsid w:val="00C43A7F"/>
    <w:rsid w:val="00C46351"/>
    <w:rsid w:val="00C46594"/>
    <w:rsid w:val="00C55D92"/>
    <w:rsid w:val="00C578B2"/>
    <w:rsid w:val="00C57F5C"/>
    <w:rsid w:val="00C6416E"/>
    <w:rsid w:val="00C67F32"/>
    <w:rsid w:val="00C87E4B"/>
    <w:rsid w:val="00CA1E55"/>
    <w:rsid w:val="00CA7F6D"/>
    <w:rsid w:val="00CB2C4E"/>
    <w:rsid w:val="00CC561F"/>
    <w:rsid w:val="00CC6F49"/>
    <w:rsid w:val="00CD087D"/>
    <w:rsid w:val="00CD43D1"/>
    <w:rsid w:val="00CE3052"/>
    <w:rsid w:val="00CE6E0F"/>
    <w:rsid w:val="00CF7F35"/>
    <w:rsid w:val="00D04F7E"/>
    <w:rsid w:val="00D05567"/>
    <w:rsid w:val="00D102D1"/>
    <w:rsid w:val="00D17CDD"/>
    <w:rsid w:val="00D25684"/>
    <w:rsid w:val="00D319BB"/>
    <w:rsid w:val="00D37F84"/>
    <w:rsid w:val="00D56927"/>
    <w:rsid w:val="00D5758C"/>
    <w:rsid w:val="00D640ED"/>
    <w:rsid w:val="00D978E4"/>
    <w:rsid w:val="00DA5CF4"/>
    <w:rsid w:val="00DB1997"/>
    <w:rsid w:val="00DE091E"/>
    <w:rsid w:val="00DF2044"/>
    <w:rsid w:val="00DF445B"/>
    <w:rsid w:val="00E01A7E"/>
    <w:rsid w:val="00E122FB"/>
    <w:rsid w:val="00E12495"/>
    <w:rsid w:val="00E12A87"/>
    <w:rsid w:val="00E31E20"/>
    <w:rsid w:val="00E35C60"/>
    <w:rsid w:val="00E4595C"/>
    <w:rsid w:val="00E7410A"/>
    <w:rsid w:val="00E76A1B"/>
    <w:rsid w:val="00E8043F"/>
    <w:rsid w:val="00E852C9"/>
    <w:rsid w:val="00E905EE"/>
    <w:rsid w:val="00EB31D9"/>
    <w:rsid w:val="00ED2444"/>
    <w:rsid w:val="00EF7947"/>
    <w:rsid w:val="00F04DBB"/>
    <w:rsid w:val="00F136F3"/>
    <w:rsid w:val="00F20226"/>
    <w:rsid w:val="00F22103"/>
    <w:rsid w:val="00F2583D"/>
    <w:rsid w:val="00F27B5A"/>
    <w:rsid w:val="00F85A21"/>
    <w:rsid w:val="00FB02EA"/>
    <w:rsid w:val="00FC0582"/>
    <w:rsid w:val="00FC1F68"/>
    <w:rsid w:val="00FD249E"/>
    <w:rsid w:val="00FD6C79"/>
    <w:rsid w:val="00FE717F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78349"/>
  <w15:chartTrackingRefBased/>
  <w15:docId w15:val="{84756174-2B4E-43E6-A09D-57D50F6C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354C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a4">
    <w:name w:val="List Paragraph"/>
    <w:basedOn w:val="a"/>
    <w:uiPriority w:val="99"/>
    <w:qFormat/>
    <w:rsid w:val="000D70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0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0D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0C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491420"/>
    <w:rPr>
      <w:i/>
      <w:iCs/>
    </w:rPr>
  </w:style>
  <w:style w:type="paragraph" w:customStyle="1" w:styleId="Default">
    <w:name w:val="Default"/>
    <w:rsid w:val="002270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9580-03BA-4DA0-8224-84B7C902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陳明如</dc:creator>
  <cp:keywords/>
  <dc:description/>
  <cp:lastModifiedBy>710 TWSA</cp:lastModifiedBy>
  <cp:revision>3</cp:revision>
  <cp:lastPrinted>2022-09-21T08:22:00Z</cp:lastPrinted>
  <dcterms:created xsi:type="dcterms:W3CDTF">2024-10-26T05:05:00Z</dcterms:created>
  <dcterms:modified xsi:type="dcterms:W3CDTF">2024-11-04T09:33:00Z</dcterms:modified>
</cp:coreProperties>
</file>