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DC3C" w14:textId="4E25FB1A" w:rsidR="00063F24" w:rsidRPr="00593D15" w:rsidRDefault="00F52C9C" w:rsidP="00CC3408">
      <w:pPr>
        <w:spacing w:afterLines="50" w:after="120"/>
        <w:jc w:val="center"/>
        <w:rPr>
          <w:rFonts w:ascii="標楷體" w:eastAsia="標楷體" w:hAnsi="標楷體"/>
          <w:b/>
          <w:color w:val="000000" w:themeColor="text1"/>
          <w:spacing w:val="10"/>
          <w:sz w:val="32"/>
          <w:szCs w:val="32"/>
        </w:rPr>
      </w:pPr>
      <w:r w:rsidRPr="003E1CA6">
        <w:rPr>
          <w:rFonts w:ascii="標楷體" w:eastAsia="標楷體" w:hAnsi="標楷體" w:hint="eastAsia"/>
          <w:b/>
          <w:spacing w:val="10"/>
          <w:sz w:val="32"/>
          <w:szCs w:val="32"/>
        </w:rPr>
        <w:t>中華民國證券商業同業公會</w:t>
      </w:r>
      <w:r w:rsidRPr="003E1CA6">
        <w:rPr>
          <w:rFonts w:ascii="標楷體" w:eastAsia="標楷體" w:hAnsi="標楷體"/>
          <w:b/>
          <w:spacing w:val="10"/>
          <w:sz w:val="32"/>
          <w:szCs w:val="32"/>
        </w:rPr>
        <w:br/>
      </w:r>
      <w:r w:rsidRPr="003E1CA6">
        <w:rPr>
          <w:rFonts w:ascii="標楷體" w:eastAsia="標楷體" w:hAnsi="標楷體" w:hint="eastAsia"/>
          <w:b/>
          <w:spacing w:val="10"/>
          <w:sz w:val="32"/>
          <w:szCs w:val="32"/>
        </w:rPr>
        <w:t>證券商經營</w:t>
      </w:r>
      <w:r w:rsidRPr="00593D15">
        <w:rPr>
          <w:rFonts w:ascii="標楷體" w:eastAsia="標楷體" w:hAnsi="標楷體" w:hint="eastAsia"/>
          <w:b/>
          <w:color w:val="000000" w:themeColor="text1"/>
          <w:spacing w:val="10"/>
          <w:sz w:val="32"/>
          <w:szCs w:val="32"/>
          <w:u w:val="single"/>
        </w:rPr>
        <w:t>受託買賣外國有價證券業務、代理買賣外國債券業務及承銷業務因應嚴重特殊傳染病另覓營業處所措施</w:t>
      </w:r>
    </w:p>
    <w:p w14:paraId="17F068EC" w14:textId="77777777" w:rsidR="00280023" w:rsidRPr="00593D15" w:rsidRDefault="00280023" w:rsidP="00CC3408">
      <w:pPr>
        <w:spacing w:afterLines="50" w:after="120"/>
        <w:jc w:val="center"/>
        <w:rPr>
          <w:rFonts w:ascii="標楷體" w:eastAsia="標楷體" w:hAnsi="標楷體"/>
          <w:b/>
          <w:color w:val="000000" w:themeColor="text1"/>
          <w:spacing w:val="10"/>
          <w:sz w:val="32"/>
          <w:szCs w:val="32"/>
        </w:rPr>
      </w:pPr>
    </w:p>
    <w:p w14:paraId="299BA09A" w14:textId="438AAA9E" w:rsidR="00280023" w:rsidRPr="00593D15" w:rsidRDefault="00280023" w:rsidP="00280023">
      <w:pPr>
        <w:spacing w:line="215" w:lineRule="exact"/>
        <w:ind w:leftChars="-95" w:hangingChars="114" w:hanging="228"/>
        <w:jc w:val="right"/>
        <w:rPr>
          <w:rFonts w:ascii="標楷體" w:eastAsia="標楷體" w:hAnsi="標楷體"/>
          <w:color w:val="000000" w:themeColor="text1"/>
          <w:spacing w:val="-20"/>
          <w:sz w:val="22"/>
        </w:rPr>
      </w:pPr>
      <w:r w:rsidRPr="00593D15">
        <w:rPr>
          <w:rFonts w:ascii="標楷體" w:eastAsia="標楷體" w:hAnsi="標楷體"/>
          <w:color w:val="000000" w:themeColor="text1"/>
          <w:spacing w:val="-20"/>
          <w:sz w:val="22"/>
        </w:rPr>
        <w:t xml:space="preserve">金融監督管理委員會 </w:t>
      </w:r>
      <w:r w:rsidRPr="00593D15">
        <w:rPr>
          <w:rFonts w:ascii="標楷體" w:eastAsia="標楷體" w:hAnsi="標楷體" w:hint="eastAsia"/>
          <w:color w:val="000000" w:themeColor="text1"/>
          <w:spacing w:val="-20"/>
          <w:sz w:val="22"/>
        </w:rPr>
        <w:t>112年9月14日金管證券字第11203451712號</w:t>
      </w:r>
      <w:r w:rsidRPr="00593D15">
        <w:rPr>
          <w:rFonts w:ascii="標楷體" w:eastAsia="標楷體" w:hAnsi="標楷體"/>
          <w:color w:val="000000" w:themeColor="text1"/>
          <w:spacing w:val="-20"/>
          <w:sz w:val="22"/>
        </w:rPr>
        <w:t>准予備查</w:t>
      </w:r>
    </w:p>
    <w:p w14:paraId="68F6AC0D" w14:textId="2C2B0F50" w:rsidR="003E1CA6" w:rsidRPr="00593D15" w:rsidRDefault="003E1CA6" w:rsidP="003E1CA6">
      <w:pPr>
        <w:spacing w:beforeLines="50" w:before="120" w:line="0" w:lineRule="atLeast"/>
        <w:jc w:val="right"/>
        <w:rPr>
          <w:rFonts w:ascii="標楷體" w:eastAsia="標楷體" w:hAnsi="標楷體"/>
          <w:color w:val="000000" w:themeColor="text1"/>
          <w:spacing w:val="-20"/>
          <w:sz w:val="22"/>
        </w:rPr>
      </w:pPr>
      <w:r w:rsidRPr="00593D15">
        <w:rPr>
          <w:rFonts w:ascii="標楷體" w:eastAsia="標楷體" w:hAnsi="標楷體" w:hint="eastAsia"/>
          <w:color w:val="000000" w:themeColor="text1"/>
          <w:spacing w:val="-20"/>
          <w:sz w:val="22"/>
        </w:rPr>
        <w:t>中華民國證券商業同業公會1</w:t>
      </w:r>
      <w:r w:rsidRPr="00593D15">
        <w:rPr>
          <w:rFonts w:ascii="標楷體" w:eastAsia="標楷體" w:hAnsi="標楷體"/>
          <w:color w:val="000000" w:themeColor="text1"/>
          <w:spacing w:val="-20"/>
          <w:sz w:val="22"/>
        </w:rPr>
        <w:t>12</w:t>
      </w:r>
      <w:r w:rsidRPr="00593D15">
        <w:rPr>
          <w:rFonts w:ascii="標楷體" w:eastAsia="標楷體" w:hAnsi="標楷體" w:hint="eastAsia"/>
          <w:color w:val="000000" w:themeColor="text1"/>
          <w:spacing w:val="-20"/>
          <w:sz w:val="22"/>
        </w:rPr>
        <w:t>年</w:t>
      </w:r>
      <w:r w:rsidRPr="00593D15">
        <w:rPr>
          <w:rFonts w:ascii="標楷體" w:eastAsia="標楷體" w:hAnsi="標楷體"/>
          <w:color w:val="000000" w:themeColor="text1"/>
          <w:spacing w:val="-20"/>
          <w:sz w:val="22"/>
        </w:rPr>
        <w:t>10</w:t>
      </w:r>
      <w:r w:rsidRPr="00593D15">
        <w:rPr>
          <w:rFonts w:ascii="標楷體" w:eastAsia="標楷體" w:hAnsi="標楷體" w:hint="eastAsia"/>
          <w:color w:val="000000" w:themeColor="text1"/>
          <w:spacing w:val="-20"/>
          <w:sz w:val="22"/>
        </w:rPr>
        <w:t>月</w:t>
      </w:r>
      <w:r w:rsidR="002371F4" w:rsidRPr="00593D15">
        <w:rPr>
          <w:rFonts w:ascii="標楷體" w:eastAsia="標楷體" w:hAnsi="標楷體"/>
          <w:color w:val="000000" w:themeColor="text1"/>
          <w:spacing w:val="-20"/>
          <w:sz w:val="22"/>
        </w:rPr>
        <w:t>18</w:t>
      </w:r>
      <w:r w:rsidRPr="00593D15">
        <w:rPr>
          <w:rFonts w:ascii="標楷體" w:eastAsia="標楷體" w:hAnsi="標楷體" w:hint="eastAsia"/>
          <w:color w:val="000000" w:themeColor="text1"/>
          <w:spacing w:val="-20"/>
          <w:sz w:val="22"/>
        </w:rPr>
        <w:t>日</w:t>
      </w:r>
      <w:r w:rsidR="002371F4" w:rsidRPr="00593D15">
        <w:rPr>
          <w:rFonts w:ascii="標楷體" w:eastAsia="標楷體" w:hAnsi="標楷體" w:hint="eastAsia"/>
          <w:color w:val="000000" w:themeColor="text1"/>
          <w:spacing w:val="-20"/>
          <w:sz w:val="22"/>
        </w:rPr>
        <w:t>中證商業一字第1120005018號</w:t>
      </w:r>
      <w:r w:rsidRPr="00593D15">
        <w:rPr>
          <w:rFonts w:ascii="標楷體" w:eastAsia="標楷體" w:hAnsi="標楷體" w:hint="eastAsia"/>
          <w:color w:val="000000" w:themeColor="text1"/>
          <w:spacing w:val="-20"/>
          <w:sz w:val="22"/>
        </w:rPr>
        <w:t>函公告</w:t>
      </w:r>
      <w:r w:rsidR="00280023" w:rsidRPr="00593D15">
        <w:rPr>
          <w:rFonts w:ascii="標楷體" w:eastAsia="標楷體" w:hAnsi="標楷體" w:hint="eastAsia"/>
          <w:color w:val="000000" w:themeColor="text1"/>
          <w:spacing w:val="-20"/>
          <w:sz w:val="22"/>
        </w:rPr>
        <w:t>實施</w:t>
      </w:r>
    </w:p>
    <w:p w14:paraId="0B905F2C" w14:textId="77777777" w:rsidR="003E1CA6" w:rsidRPr="00593D15" w:rsidRDefault="003E1CA6" w:rsidP="003E1CA6">
      <w:pPr>
        <w:spacing w:beforeLines="50" w:before="120" w:line="0" w:lineRule="atLeast"/>
        <w:jc w:val="right"/>
        <w:rPr>
          <w:rFonts w:ascii="標楷體" w:eastAsia="標楷體" w:hAnsi="標楷體"/>
          <w:color w:val="000000" w:themeColor="text1"/>
          <w:spacing w:val="-20"/>
          <w:sz w:val="22"/>
        </w:rPr>
      </w:pPr>
    </w:p>
    <w:p w14:paraId="7725B805" w14:textId="77777777" w:rsidR="00E8138D" w:rsidRPr="00593D15" w:rsidRDefault="00E8138D" w:rsidP="003E1CA6">
      <w:pPr>
        <w:spacing w:beforeLines="50" w:before="120" w:line="440" w:lineRule="exact"/>
        <w:ind w:left="560" w:hangingChars="200" w:hanging="560"/>
        <w:jc w:val="both"/>
        <w:rPr>
          <w:rFonts w:ascii="標楷體" w:eastAsia="標楷體" w:hAnsi="標楷體"/>
          <w:bCs/>
          <w:color w:val="000000" w:themeColor="text1"/>
          <w:sz w:val="28"/>
          <w:szCs w:val="28"/>
        </w:rPr>
      </w:pPr>
      <w:r w:rsidRPr="00593D15">
        <w:rPr>
          <w:rFonts w:ascii="標楷體" w:eastAsia="標楷體" w:hAnsi="標楷體"/>
          <w:bCs/>
          <w:color w:val="000000" w:themeColor="text1"/>
          <w:sz w:val="28"/>
          <w:szCs w:val="28"/>
        </w:rPr>
        <w:t>一、為</w:t>
      </w:r>
      <w:r w:rsidR="006A507C" w:rsidRPr="00593D15">
        <w:rPr>
          <w:rFonts w:ascii="標楷體" w:eastAsia="標楷體" w:hAnsi="標楷體" w:hint="eastAsia"/>
          <w:bCs/>
          <w:color w:val="000000" w:themeColor="text1"/>
          <w:sz w:val="28"/>
          <w:szCs w:val="28"/>
        </w:rPr>
        <w:t>避免證券商因</w:t>
      </w:r>
      <w:r w:rsidR="006A507C" w:rsidRPr="00593D15">
        <w:rPr>
          <w:rFonts w:ascii="標楷體" w:eastAsia="標楷體" w:hAnsi="標楷體"/>
          <w:bCs/>
          <w:color w:val="000000" w:themeColor="text1"/>
          <w:sz w:val="28"/>
          <w:szCs w:val="28"/>
          <w:u w:val="single"/>
        </w:rPr>
        <w:t>嚴重特殊傳染</w:t>
      </w:r>
      <w:r w:rsidR="00B00BE2" w:rsidRPr="00593D15">
        <w:rPr>
          <w:rFonts w:ascii="標楷體" w:eastAsia="標楷體" w:hAnsi="標楷體" w:hint="eastAsia"/>
          <w:bCs/>
          <w:color w:val="000000" w:themeColor="text1"/>
          <w:sz w:val="28"/>
          <w:szCs w:val="28"/>
          <w:u w:val="single"/>
        </w:rPr>
        <w:t>病</w:t>
      </w:r>
      <w:proofErr w:type="gramStart"/>
      <w:r w:rsidR="0040204D" w:rsidRPr="00593D15">
        <w:rPr>
          <w:rFonts w:ascii="標楷體" w:eastAsia="標楷體" w:hAnsi="標楷體" w:hint="eastAsia"/>
          <w:bCs/>
          <w:color w:val="000000" w:themeColor="text1"/>
          <w:sz w:val="28"/>
          <w:szCs w:val="28"/>
        </w:rPr>
        <w:t>疫</w:t>
      </w:r>
      <w:proofErr w:type="gramEnd"/>
      <w:r w:rsidR="0040204D" w:rsidRPr="00593D15">
        <w:rPr>
          <w:rFonts w:ascii="標楷體" w:eastAsia="標楷體" w:hAnsi="標楷體" w:hint="eastAsia"/>
          <w:bCs/>
          <w:color w:val="000000" w:themeColor="text1"/>
          <w:sz w:val="28"/>
          <w:szCs w:val="28"/>
        </w:rPr>
        <w:t>情事件</w:t>
      </w:r>
      <w:r w:rsidR="006A507C" w:rsidRPr="00593D15">
        <w:rPr>
          <w:rFonts w:ascii="標楷體" w:eastAsia="標楷體" w:hAnsi="標楷體" w:hint="eastAsia"/>
          <w:bCs/>
          <w:color w:val="000000" w:themeColor="text1"/>
          <w:sz w:val="28"/>
          <w:szCs w:val="28"/>
        </w:rPr>
        <w:t>，發生</w:t>
      </w:r>
      <w:r w:rsidR="006A507C" w:rsidRPr="00593D15">
        <w:rPr>
          <w:rFonts w:ascii="標楷體" w:eastAsia="標楷體" w:hAnsi="標楷體" w:hint="eastAsia"/>
          <w:bCs/>
          <w:color w:val="000000" w:themeColor="text1"/>
          <w:sz w:val="28"/>
          <w:szCs w:val="28"/>
          <w:u w:val="single"/>
        </w:rPr>
        <w:t>營業據點</w:t>
      </w:r>
      <w:r w:rsidR="006A507C" w:rsidRPr="00593D15">
        <w:rPr>
          <w:rFonts w:ascii="標楷體" w:eastAsia="標楷體" w:hAnsi="標楷體" w:hint="eastAsia"/>
          <w:bCs/>
          <w:color w:val="000000" w:themeColor="text1"/>
          <w:sz w:val="28"/>
          <w:szCs w:val="28"/>
        </w:rPr>
        <w:t>之人員被隔離，而導致證券商</w:t>
      </w:r>
      <w:r w:rsidR="000A3F92" w:rsidRPr="00593D15">
        <w:rPr>
          <w:rFonts w:ascii="標楷體" w:eastAsia="標楷體" w:hAnsi="標楷體" w:hint="eastAsia"/>
          <w:bCs/>
          <w:color w:val="000000" w:themeColor="text1"/>
          <w:sz w:val="28"/>
          <w:szCs w:val="28"/>
        </w:rPr>
        <w:t>營業據點</w:t>
      </w:r>
      <w:r w:rsidR="006A507C" w:rsidRPr="00593D15">
        <w:rPr>
          <w:rFonts w:ascii="標楷體" w:eastAsia="標楷體" w:hAnsi="標楷體" w:hint="eastAsia"/>
          <w:bCs/>
          <w:color w:val="000000" w:themeColor="text1"/>
          <w:sz w:val="28"/>
          <w:szCs w:val="28"/>
        </w:rPr>
        <w:t>無法正常營運</w:t>
      </w:r>
      <w:r w:rsidRPr="00593D15">
        <w:rPr>
          <w:rFonts w:ascii="標楷體" w:eastAsia="標楷體" w:hAnsi="標楷體"/>
          <w:bCs/>
          <w:color w:val="000000" w:themeColor="text1"/>
          <w:sz w:val="28"/>
          <w:szCs w:val="28"/>
        </w:rPr>
        <w:t>，</w:t>
      </w:r>
      <w:r w:rsidR="006A507C" w:rsidRPr="00593D15">
        <w:rPr>
          <w:rFonts w:ascii="標楷體" w:eastAsia="標楷體" w:hAnsi="標楷體" w:hint="eastAsia"/>
          <w:bCs/>
          <w:color w:val="000000" w:themeColor="text1"/>
          <w:sz w:val="28"/>
          <w:szCs w:val="28"/>
        </w:rPr>
        <w:t>證券商得</w:t>
      </w:r>
      <w:proofErr w:type="gramStart"/>
      <w:r w:rsidR="006A507C" w:rsidRPr="00593D15">
        <w:rPr>
          <w:rFonts w:ascii="標楷體" w:eastAsia="標楷體" w:hAnsi="標楷體" w:hint="eastAsia"/>
          <w:bCs/>
          <w:color w:val="000000" w:themeColor="text1"/>
          <w:sz w:val="28"/>
          <w:szCs w:val="28"/>
        </w:rPr>
        <w:t>採</w:t>
      </w:r>
      <w:proofErr w:type="gramEnd"/>
      <w:r w:rsidR="006A507C" w:rsidRPr="00593D15">
        <w:rPr>
          <w:rFonts w:ascii="標楷體" w:eastAsia="標楷體" w:hAnsi="標楷體" w:hint="eastAsia"/>
          <w:bCs/>
          <w:color w:val="000000" w:themeColor="text1"/>
          <w:sz w:val="28"/>
          <w:szCs w:val="28"/>
        </w:rPr>
        <w:t>行緊急應變措施如下</w:t>
      </w:r>
      <w:r w:rsidRPr="00593D15">
        <w:rPr>
          <w:rFonts w:ascii="標楷體" w:eastAsia="標楷體" w:hAnsi="標楷體"/>
          <w:bCs/>
          <w:color w:val="000000" w:themeColor="text1"/>
          <w:sz w:val="28"/>
          <w:szCs w:val="28"/>
        </w:rPr>
        <w:t>：</w:t>
      </w:r>
    </w:p>
    <w:p w14:paraId="7D1189EE" w14:textId="77777777" w:rsidR="000A3F92" w:rsidRPr="00593D15" w:rsidRDefault="00E8138D" w:rsidP="003E1CA6">
      <w:pPr>
        <w:spacing w:beforeLines="50" w:before="120" w:line="440" w:lineRule="exact"/>
        <w:ind w:leftChars="200" w:left="1320" w:hangingChars="300" w:hanging="840"/>
        <w:jc w:val="both"/>
        <w:rPr>
          <w:rFonts w:ascii="標楷體" w:eastAsia="標楷體" w:hAnsi="標楷體"/>
          <w:bCs/>
          <w:color w:val="000000" w:themeColor="text1"/>
          <w:sz w:val="28"/>
          <w:szCs w:val="28"/>
        </w:rPr>
      </w:pPr>
      <w:r w:rsidRPr="00593D15">
        <w:rPr>
          <w:rFonts w:ascii="標楷體" w:eastAsia="標楷體" w:hAnsi="標楷體"/>
          <w:bCs/>
          <w:color w:val="000000" w:themeColor="text1"/>
          <w:sz w:val="28"/>
          <w:szCs w:val="28"/>
          <w:u w:val="single"/>
        </w:rPr>
        <w:t>（一）</w:t>
      </w:r>
      <w:r w:rsidR="000A3F92" w:rsidRPr="00593D15">
        <w:rPr>
          <w:rFonts w:ascii="標楷體" w:eastAsia="標楷體" w:hAnsi="標楷體" w:hint="eastAsia"/>
          <w:bCs/>
          <w:color w:val="000000" w:themeColor="text1"/>
          <w:sz w:val="28"/>
          <w:szCs w:val="28"/>
          <w:u w:val="single"/>
        </w:rPr>
        <w:t>使用現有營業處所</w:t>
      </w:r>
    </w:p>
    <w:p w14:paraId="4EA394AB" w14:textId="77777777" w:rsidR="003E1CA6" w:rsidRPr="00593D15" w:rsidRDefault="00037CBB" w:rsidP="003E1CA6">
      <w:pPr>
        <w:numPr>
          <w:ilvl w:val="0"/>
          <w:numId w:val="2"/>
        </w:numPr>
        <w:spacing w:beforeLines="50" w:before="120" w:line="440" w:lineRule="exact"/>
        <w:ind w:leftChars="400" w:left="1380" w:hangingChars="150" w:hanging="420"/>
        <w:jc w:val="both"/>
        <w:rPr>
          <w:rFonts w:ascii="標楷體" w:eastAsia="標楷體" w:cs="標楷體"/>
          <w:bCs/>
          <w:color w:val="000000" w:themeColor="text1"/>
          <w:sz w:val="28"/>
          <w:szCs w:val="28"/>
          <w:lang w:val="zh-TW"/>
        </w:rPr>
      </w:pPr>
      <w:r w:rsidRPr="00593D15">
        <w:rPr>
          <w:rFonts w:ascii="標楷體" w:eastAsia="標楷體" w:cs="標楷體" w:hint="eastAsia"/>
          <w:bCs/>
          <w:color w:val="000000" w:themeColor="text1"/>
          <w:sz w:val="28"/>
          <w:szCs w:val="28"/>
          <w:lang w:val="zh-TW"/>
        </w:rPr>
        <w:t>有二營業據點以上之證券商，可互相備援</w:t>
      </w:r>
      <w:r w:rsidR="00F52C9C" w:rsidRPr="00593D15">
        <w:rPr>
          <w:rFonts w:ascii="標楷體" w:eastAsia="標楷體" w:cs="標楷體" w:hint="eastAsia"/>
          <w:bCs/>
          <w:color w:val="000000" w:themeColor="text1"/>
          <w:sz w:val="28"/>
          <w:szCs w:val="28"/>
          <w:lang w:val="zh-TW"/>
        </w:rPr>
        <w:t>，不需向本公會申請備查</w:t>
      </w:r>
      <w:r w:rsidRPr="00593D15">
        <w:rPr>
          <w:rFonts w:ascii="標楷體" w:eastAsia="標楷體" w:cs="標楷體" w:hint="eastAsia"/>
          <w:bCs/>
          <w:color w:val="000000" w:themeColor="text1"/>
          <w:sz w:val="28"/>
          <w:szCs w:val="28"/>
          <w:lang w:val="zh-TW"/>
        </w:rPr>
        <w:t>。</w:t>
      </w:r>
    </w:p>
    <w:p w14:paraId="4E61B540" w14:textId="77777777" w:rsidR="003E1CA6" w:rsidRPr="00593D15" w:rsidRDefault="000A3F92" w:rsidP="003E1CA6">
      <w:pPr>
        <w:numPr>
          <w:ilvl w:val="0"/>
          <w:numId w:val="2"/>
        </w:numPr>
        <w:spacing w:beforeLines="50" w:before="120" w:line="440" w:lineRule="exact"/>
        <w:ind w:leftChars="400" w:left="1380" w:hangingChars="150" w:hanging="420"/>
        <w:jc w:val="both"/>
        <w:rPr>
          <w:rFonts w:ascii="標楷體" w:eastAsia="標楷體" w:cs="標楷體"/>
          <w:bCs/>
          <w:color w:val="000000" w:themeColor="text1"/>
          <w:sz w:val="28"/>
          <w:szCs w:val="28"/>
          <w:u w:val="single"/>
          <w:lang w:val="zh-TW"/>
        </w:rPr>
      </w:pPr>
      <w:r w:rsidRPr="00593D15">
        <w:rPr>
          <w:rFonts w:ascii="標楷體" w:eastAsia="標楷體" w:cs="標楷體" w:hint="eastAsia"/>
          <w:bCs/>
          <w:color w:val="000000" w:themeColor="text1"/>
          <w:sz w:val="28"/>
          <w:szCs w:val="28"/>
          <w:u w:val="single"/>
          <w:lang w:val="zh-TW"/>
        </w:rPr>
        <w:t>已自行訂定經營危機應變措施之證券商，得優先</w:t>
      </w:r>
      <w:r w:rsidR="00037CBB" w:rsidRPr="00593D15">
        <w:rPr>
          <w:rFonts w:ascii="標楷體" w:eastAsia="標楷體" w:cs="標楷體" w:hint="eastAsia"/>
          <w:bCs/>
          <w:color w:val="000000" w:themeColor="text1"/>
          <w:sz w:val="28"/>
          <w:szCs w:val="28"/>
          <w:u w:val="single"/>
          <w:lang w:val="zh-TW"/>
        </w:rPr>
        <w:t>啟用備援營業場所</w:t>
      </w:r>
      <w:r w:rsidR="00F52C9C" w:rsidRPr="00593D15">
        <w:rPr>
          <w:rFonts w:ascii="標楷體" w:eastAsia="標楷體" w:cs="標楷體" w:hint="eastAsia"/>
          <w:bCs/>
          <w:color w:val="000000" w:themeColor="text1"/>
          <w:sz w:val="28"/>
          <w:szCs w:val="28"/>
          <w:u w:val="single"/>
          <w:lang w:val="zh-TW"/>
        </w:rPr>
        <w:t>，不需向本公會申請備查。</w:t>
      </w:r>
    </w:p>
    <w:p w14:paraId="56C04E4F" w14:textId="1C218E6D" w:rsidR="00F52C9C" w:rsidRPr="00593D15" w:rsidRDefault="00F52C9C" w:rsidP="003E1CA6">
      <w:pPr>
        <w:numPr>
          <w:ilvl w:val="0"/>
          <w:numId w:val="2"/>
        </w:numPr>
        <w:spacing w:beforeLines="50" w:before="120" w:line="440" w:lineRule="exact"/>
        <w:ind w:leftChars="400" w:left="1380" w:hangingChars="150" w:hanging="420"/>
        <w:jc w:val="both"/>
        <w:rPr>
          <w:rFonts w:ascii="標楷體" w:eastAsia="標楷體" w:cs="標楷體"/>
          <w:bCs/>
          <w:color w:val="000000" w:themeColor="text1"/>
          <w:sz w:val="28"/>
          <w:szCs w:val="28"/>
          <w:u w:val="single"/>
          <w:lang w:val="zh-TW"/>
        </w:rPr>
      </w:pPr>
      <w:r w:rsidRPr="00593D15">
        <w:rPr>
          <w:rFonts w:ascii="標楷體" w:eastAsia="標楷體" w:cs="標楷體" w:hint="eastAsia"/>
          <w:bCs/>
          <w:color w:val="000000" w:themeColor="text1"/>
          <w:sz w:val="28"/>
          <w:szCs w:val="28"/>
          <w:u w:val="single"/>
          <w:lang w:val="zh-TW"/>
        </w:rPr>
        <w:t>倘營業處所須使用外國證券市場之投資資訊及受託買賣之必要資訊傳輸設備，應依「中華民國證券商業同業公會證券商及證券交易輔助人受託買賣外國有價證券營業處所場地及設備標準」第四點辦理。</w:t>
      </w:r>
    </w:p>
    <w:p w14:paraId="5E6FFE80" w14:textId="63372CD8" w:rsidR="000A3F92" w:rsidRPr="00593D15" w:rsidRDefault="00037CBB" w:rsidP="003E1CA6">
      <w:pPr>
        <w:spacing w:beforeLines="50" w:before="120" w:line="440" w:lineRule="exact"/>
        <w:ind w:left="1" w:firstLineChars="224" w:firstLine="627"/>
        <w:jc w:val="both"/>
        <w:rPr>
          <w:rFonts w:ascii="標楷體" w:eastAsia="標楷體" w:cs="標楷體"/>
          <w:bCs/>
          <w:color w:val="000000" w:themeColor="text1"/>
          <w:sz w:val="28"/>
          <w:szCs w:val="28"/>
          <w:lang w:val="zh-TW"/>
        </w:rPr>
      </w:pPr>
      <w:r w:rsidRPr="00593D15">
        <w:rPr>
          <w:rFonts w:ascii="標楷體" w:eastAsia="標楷體" w:hAnsi="標楷體" w:hint="eastAsia"/>
          <w:bCs/>
          <w:color w:val="000000" w:themeColor="text1"/>
          <w:sz w:val="28"/>
          <w:szCs w:val="28"/>
          <w:u w:val="single"/>
        </w:rPr>
        <w:t>(</w:t>
      </w:r>
      <w:r w:rsidR="000A3F92" w:rsidRPr="00593D15">
        <w:rPr>
          <w:rFonts w:ascii="標楷體" w:eastAsia="標楷體" w:hAnsi="標楷體" w:hint="eastAsia"/>
          <w:bCs/>
          <w:color w:val="000000" w:themeColor="text1"/>
          <w:sz w:val="28"/>
          <w:szCs w:val="28"/>
          <w:u w:val="single"/>
        </w:rPr>
        <w:t>二</w:t>
      </w:r>
      <w:r w:rsidRPr="00593D15">
        <w:rPr>
          <w:rFonts w:ascii="標楷體" w:eastAsia="標楷體" w:hAnsi="標楷體" w:hint="eastAsia"/>
          <w:bCs/>
          <w:color w:val="000000" w:themeColor="text1"/>
          <w:sz w:val="28"/>
          <w:szCs w:val="28"/>
          <w:u w:val="single"/>
        </w:rPr>
        <w:t xml:space="preserve">) </w:t>
      </w:r>
      <w:r w:rsidR="000A3F92" w:rsidRPr="00593D15">
        <w:rPr>
          <w:rFonts w:ascii="標楷體" w:eastAsia="標楷體" w:hAnsi="標楷體" w:hint="eastAsia"/>
          <w:bCs/>
          <w:color w:val="000000" w:themeColor="text1"/>
          <w:sz w:val="28"/>
          <w:szCs w:val="28"/>
          <w:u w:val="single"/>
        </w:rPr>
        <w:t>申請另覓營業處所</w:t>
      </w:r>
    </w:p>
    <w:p w14:paraId="098362CC" w14:textId="1C1D091C" w:rsidR="000A3F92" w:rsidRPr="00593D15" w:rsidRDefault="001E73FA" w:rsidP="003E1CA6">
      <w:pPr>
        <w:numPr>
          <w:ilvl w:val="0"/>
          <w:numId w:val="5"/>
        </w:numPr>
        <w:spacing w:beforeLines="50" w:before="120" w:line="440" w:lineRule="exact"/>
        <w:ind w:leftChars="400" w:left="1380" w:hangingChars="150" w:hanging="420"/>
        <w:jc w:val="both"/>
        <w:rPr>
          <w:rFonts w:ascii="標楷體" w:eastAsia="標楷體" w:cs="標楷體"/>
          <w:bCs/>
          <w:color w:val="000000" w:themeColor="text1"/>
          <w:sz w:val="28"/>
          <w:szCs w:val="28"/>
          <w:lang w:val="zh-TW"/>
        </w:rPr>
      </w:pPr>
      <w:r w:rsidRPr="00593D15">
        <w:rPr>
          <w:rFonts w:ascii="標楷體" w:eastAsia="標楷體" w:cs="標楷體" w:hint="eastAsia"/>
          <w:bCs/>
          <w:color w:val="000000" w:themeColor="text1"/>
          <w:sz w:val="28"/>
          <w:szCs w:val="28"/>
          <w:lang w:val="zh-TW"/>
        </w:rPr>
        <w:t>另覓</w:t>
      </w:r>
      <w:proofErr w:type="gramStart"/>
      <w:r w:rsidRPr="00593D15">
        <w:rPr>
          <w:rFonts w:ascii="標楷體" w:eastAsia="標楷體" w:cs="標楷體" w:hint="eastAsia"/>
          <w:bCs/>
          <w:color w:val="000000" w:themeColor="text1"/>
          <w:sz w:val="28"/>
          <w:szCs w:val="28"/>
          <w:lang w:val="zh-TW"/>
        </w:rPr>
        <w:t>一</w:t>
      </w:r>
      <w:proofErr w:type="gramEnd"/>
      <w:r w:rsidRPr="00593D15">
        <w:rPr>
          <w:rFonts w:ascii="標楷體" w:eastAsia="標楷體" w:cs="標楷體" w:hint="eastAsia"/>
          <w:bCs/>
          <w:color w:val="000000" w:themeColor="text1"/>
          <w:sz w:val="28"/>
          <w:szCs w:val="28"/>
          <w:lang w:val="zh-TW"/>
        </w:rPr>
        <w:t>臨時營業場所並與原營業處所分兩地營業，須事先提具緊急應變計畫向本公會申請核准，且該場所之使用期限不得超過三個月，必要時得再申請延長三個月。</w:t>
      </w:r>
    </w:p>
    <w:p w14:paraId="1071EDF9" w14:textId="39D07ECE" w:rsidR="00037CBB" w:rsidRPr="00593D15" w:rsidRDefault="001E73FA" w:rsidP="003E1CA6">
      <w:pPr>
        <w:numPr>
          <w:ilvl w:val="0"/>
          <w:numId w:val="5"/>
        </w:numPr>
        <w:spacing w:beforeLines="50" w:before="120" w:line="440" w:lineRule="exact"/>
        <w:ind w:leftChars="400" w:left="1380" w:hangingChars="150" w:hanging="420"/>
        <w:jc w:val="both"/>
        <w:rPr>
          <w:rFonts w:ascii="標楷體" w:eastAsia="標楷體" w:cs="標楷體"/>
          <w:bCs/>
          <w:color w:val="000000" w:themeColor="text1"/>
          <w:sz w:val="28"/>
          <w:szCs w:val="28"/>
          <w:lang w:val="zh-TW"/>
        </w:rPr>
      </w:pPr>
      <w:r w:rsidRPr="00593D15">
        <w:rPr>
          <w:rFonts w:ascii="標楷體" w:eastAsia="標楷體" w:cs="標楷體" w:hint="eastAsia"/>
          <w:bCs/>
          <w:color w:val="000000" w:themeColor="text1"/>
          <w:sz w:val="28"/>
          <w:szCs w:val="28"/>
          <w:lang w:val="zh-TW"/>
        </w:rPr>
        <w:t>上開計畫應含二營業處所之地址電話、聯絡人、人員配置、資訊傳輸設備、使用期間及作業方式(例如客戶委託交易之資料傳輸方式)等。</w:t>
      </w:r>
    </w:p>
    <w:p w14:paraId="7DC33654" w14:textId="3987C1DD" w:rsidR="00F6566C" w:rsidRPr="00593D15" w:rsidRDefault="00F52C9C" w:rsidP="003E1CA6">
      <w:pPr>
        <w:numPr>
          <w:ilvl w:val="0"/>
          <w:numId w:val="5"/>
        </w:numPr>
        <w:spacing w:beforeLines="50" w:before="120" w:line="440" w:lineRule="exact"/>
        <w:ind w:leftChars="400" w:left="1380" w:hangingChars="150" w:hanging="420"/>
        <w:jc w:val="both"/>
        <w:rPr>
          <w:rFonts w:ascii="標楷體" w:eastAsia="標楷體" w:cs="標楷體"/>
          <w:bCs/>
          <w:color w:val="000000" w:themeColor="text1"/>
          <w:sz w:val="28"/>
          <w:szCs w:val="28"/>
          <w:u w:val="single"/>
          <w:lang w:val="zh-TW"/>
        </w:rPr>
      </w:pPr>
      <w:proofErr w:type="gramStart"/>
      <w:r w:rsidRPr="00593D15">
        <w:rPr>
          <w:rFonts w:ascii="標楷體" w:eastAsia="標楷體" w:cs="標楷體" w:hint="eastAsia"/>
          <w:bCs/>
          <w:color w:val="000000" w:themeColor="text1"/>
          <w:sz w:val="28"/>
          <w:szCs w:val="28"/>
          <w:u w:val="single"/>
          <w:lang w:val="zh-TW"/>
        </w:rPr>
        <w:t>倘另覓</w:t>
      </w:r>
      <w:proofErr w:type="gramEnd"/>
      <w:r w:rsidRPr="00593D15">
        <w:rPr>
          <w:rFonts w:ascii="標楷體" w:eastAsia="標楷體" w:cs="標楷體" w:hint="eastAsia"/>
          <w:bCs/>
          <w:color w:val="000000" w:themeColor="text1"/>
          <w:sz w:val="28"/>
          <w:szCs w:val="28"/>
          <w:u w:val="single"/>
          <w:lang w:val="zh-TW"/>
        </w:rPr>
        <w:t>營業處所須使用外國證券市場之投資資訊及受託買賣之必要資訊傳輸設備，應依「中華民國證券商業同業公會證券商及證券交易輔助人受託買賣外國有價證券營業處所場地及設備標準」第四點辦理。</w:t>
      </w:r>
    </w:p>
    <w:p w14:paraId="450842A8" w14:textId="3FB6D663" w:rsidR="007D418D" w:rsidRPr="00593D15" w:rsidRDefault="00E8138D" w:rsidP="003E1CA6">
      <w:pPr>
        <w:spacing w:beforeLines="50" w:before="120" w:line="440" w:lineRule="exact"/>
        <w:ind w:leftChars="68" w:left="723" w:hangingChars="200" w:hanging="560"/>
        <w:jc w:val="both"/>
        <w:rPr>
          <w:rFonts w:ascii="標楷體" w:eastAsia="標楷體" w:hAnsi="標楷體"/>
          <w:bCs/>
          <w:color w:val="000000" w:themeColor="text1"/>
          <w:sz w:val="28"/>
          <w:szCs w:val="28"/>
          <w:u w:val="single"/>
        </w:rPr>
      </w:pPr>
      <w:r w:rsidRPr="00593D15">
        <w:rPr>
          <w:rFonts w:ascii="標楷體" w:eastAsia="標楷體" w:hAnsi="標楷體"/>
          <w:bCs/>
          <w:color w:val="000000" w:themeColor="text1"/>
          <w:sz w:val="28"/>
          <w:szCs w:val="28"/>
          <w:u w:val="single"/>
        </w:rPr>
        <w:t>二、</w:t>
      </w:r>
      <w:r w:rsidR="00F52C9C" w:rsidRPr="00593D15">
        <w:rPr>
          <w:rFonts w:ascii="標楷體" w:eastAsia="標楷體" w:cs="標楷體" w:hint="eastAsia"/>
          <w:bCs/>
          <w:color w:val="000000" w:themeColor="text1"/>
          <w:sz w:val="28"/>
          <w:szCs w:val="28"/>
          <w:u w:val="single"/>
          <w:lang w:val="zh-TW"/>
        </w:rPr>
        <w:t>證券商依前述規定申請另覓營業處所，</w:t>
      </w:r>
      <w:proofErr w:type="gramStart"/>
      <w:r w:rsidR="00F52C9C" w:rsidRPr="00593D15">
        <w:rPr>
          <w:rFonts w:ascii="標楷體" w:eastAsia="標楷體" w:cs="標楷體" w:hint="eastAsia"/>
          <w:bCs/>
          <w:color w:val="000000" w:themeColor="text1"/>
          <w:sz w:val="28"/>
          <w:szCs w:val="28"/>
          <w:u w:val="single"/>
          <w:lang w:val="zh-TW"/>
        </w:rPr>
        <w:t>倘所營</w:t>
      </w:r>
      <w:proofErr w:type="gramEnd"/>
      <w:r w:rsidR="00F52C9C" w:rsidRPr="00593D15">
        <w:rPr>
          <w:rFonts w:ascii="標楷體" w:eastAsia="標楷體" w:cs="標楷體" w:hint="eastAsia"/>
          <w:bCs/>
          <w:color w:val="000000" w:themeColor="text1"/>
          <w:sz w:val="28"/>
          <w:szCs w:val="28"/>
          <w:u w:val="single"/>
          <w:lang w:val="zh-TW"/>
        </w:rPr>
        <w:t>業務涉及其他證券相關單位權責範圍，應一併向各所涉業務權責單位提出申請。</w:t>
      </w:r>
    </w:p>
    <w:sectPr w:rsidR="007D418D" w:rsidRPr="00593D15" w:rsidSect="006F04EA">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6681" w14:textId="77777777" w:rsidR="0080796B" w:rsidRDefault="0080796B" w:rsidP="00B37C57">
      <w:r>
        <w:separator/>
      </w:r>
    </w:p>
  </w:endnote>
  <w:endnote w:type="continuationSeparator" w:id="0">
    <w:p w14:paraId="18A7E3ED" w14:textId="77777777" w:rsidR="0080796B" w:rsidRDefault="0080796B" w:rsidP="00B3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0010" w14:textId="77777777" w:rsidR="0080796B" w:rsidRDefault="0080796B" w:rsidP="00B37C57">
      <w:r>
        <w:separator/>
      </w:r>
    </w:p>
  </w:footnote>
  <w:footnote w:type="continuationSeparator" w:id="0">
    <w:p w14:paraId="43F4C295" w14:textId="77777777" w:rsidR="0080796B" w:rsidRDefault="0080796B" w:rsidP="00B37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81B15"/>
    <w:multiLevelType w:val="hybridMultilevel"/>
    <w:tmpl w:val="3670F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410F47"/>
    <w:multiLevelType w:val="singleLevel"/>
    <w:tmpl w:val="98DA8248"/>
    <w:lvl w:ilvl="0">
      <w:numFmt w:val="bullet"/>
      <w:lvlText w:val="□"/>
      <w:lvlJc w:val="left"/>
      <w:pPr>
        <w:tabs>
          <w:tab w:val="num" w:pos="285"/>
        </w:tabs>
        <w:ind w:left="285" w:hanging="285"/>
      </w:pPr>
      <w:rPr>
        <w:rFonts w:ascii="標楷體" w:eastAsia="標楷體" w:hAnsi="Times New Roman" w:hint="eastAsia"/>
      </w:rPr>
    </w:lvl>
  </w:abstractNum>
  <w:abstractNum w:abstractNumId="2" w15:restartNumberingAfterBreak="0">
    <w:nsid w:val="6B707938"/>
    <w:multiLevelType w:val="hybridMultilevel"/>
    <w:tmpl w:val="3670F97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7F7342E6"/>
    <w:multiLevelType w:val="hybridMultilevel"/>
    <w:tmpl w:val="3E90A5C0"/>
    <w:lvl w:ilvl="0" w:tplc="48F09E66">
      <w:start w:val="1"/>
      <w:numFmt w:val="decimal"/>
      <w:lvlText w:val="%1."/>
      <w:lvlJc w:val="left"/>
      <w:pPr>
        <w:ind w:left="1812" w:hanging="360"/>
      </w:pPr>
      <w:rPr>
        <w:rFonts w:hint="default"/>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4" w15:restartNumberingAfterBreak="0">
    <w:nsid w:val="7F750A79"/>
    <w:multiLevelType w:val="hybridMultilevel"/>
    <w:tmpl w:val="07A24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72740335">
    <w:abstractNumId w:val="1"/>
  </w:num>
  <w:num w:numId="2" w16cid:durableId="343821970">
    <w:abstractNumId w:val="0"/>
  </w:num>
  <w:num w:numId="3" w16cid:durableId="77866232">
    <w:abstractNumId w:val="3"/>
  </w:num>
  <w:num w:numId="4" w16cid:durableId="1834831190">
    <w:abstractNumId w:val="4"/>
  </w:num>
  <w:num w:numId="5" w16cid:durableId="748231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13D"/>
    <w:rsid w:val="00024B2E"/>
    <w:rsid w:val="00037CBB"/>
    <w:rsid w:val="000507E4"/>
    <w:rsid w:val="00063F24"/>
    <w:rsid w:val="000A3F92"/>
    <w:rsid w:val="000B08F5"/>
    <w:rsid w:val="000B289E"/>
    <w:rsid w:val="000C27A0"/>
    <w:rsid w:val="000C3DC9"/>
    <w:rsid w:val="000D36B1"/>
    <w:rsid w:val="000D3CF0"/>
    <w:rsid w:val="000E182B"/>
    <w:rsid w:val="001064D8"/>
    <w:rsid w:val="0011559C"/>
    <w:rsid w:val="0011679F"/>
    <w:rsid w:val="00123393"/>
    <w:rsid w:val="001544D3"/>
    <w:rsid w:val="001644A0"/>
    <w:rsid w:val="00166C34"/>
    <w:rsid w:val="00172738"/>
    <w:rsid w:val="0017352A"/>
    <w:rsid w:val="001836E2"/>
    <w:rsid w:val="001B4BDE"/>
    <w:rsid w:val="001C7465"/>
    <w:rsid w:val="001D5539"/>
    <w:rsid w:val="001E73FA"/>
    <w:rsid w:val="001F470A"/>
    <w:rsid w:val="00211A15"/>
    <w:rsid w:val="00220B84"/>
    <w:rsid w:val="00235A3C"/>
    <w:rsid w:val="0023700C"/>
    <w:rsid w:val="002371F4"/>
    <w:rsid w:val="00240636"/>
    <w:rsid w:val="00247854"/>
    <w:rsid w:val="0025358B"/>
    <w:rsid w:val="002573B9"/>
    <w:rsid w:val="00280023"/>
    <w:rsid w:val="00285155"/>
    <w:rsid w:val="002A72A5"/>
    <w:rsid w:val="002B3CA6"/>
    <w:rsid w:val="002B4DF5"/>
    <w:rsid w:val="002B6A20"/>
    <w:rsid w:val="002C43B2"/>
    <w:rsid w:val="002D24E3"/>
    <w:rsid w:val="002D26AB"/>
    <w:rsid w:val="002D2FF6"/>
    <w:rsid w:val="00310EB4"/>
    <w:rsid w:val="003129BE"/>
    <w:rsid w:val="00334007"/>
    <w:rsid w:val="00334995"/>
    <w:rsid w:val="0034384E"/>
    <w:rsid w:val="0036091A"/>
    <w:rsid w:val="00373DB7"/>
    <w:rsid w:val="00375A3E"/>
    <w:rsid w:val="0038389A"/>
    <w:rsid w:val="00392437"/>
    <w:rsid w:val="003C01B3"/>
    <w:rsid w:val="003C3C4E"/>
    <w:rsid w:val="003D2FAE"/>
    <w:rsid w:val="003D5789"/>
    <w:rsid w:val="003D6F33"/>
    <w:rsid w:val="003D736A"/>
    <w:rsid w:val="003E1CA6"/>
    <w:rsid w:val="0040204D"/>
    <w:rsid w:val="00402A3F"/>
    <w:rsid w:val="0040363D"/>
    <w:rsid w:val="0040594C"/>
    <w:rsid w:val="004108B3"/>
    <w:rsid w:val="004174BD"/>
    <w:rsid w:val="00435DCB"/>
    <w:rsid w:val="00443F6F"/>
    <w:rsid w:val="00447702"/>
    <w:rsid w:val="0047377B"/>
    <w:rsid w:val="004814EE"/>
    <w:rsid w:val="004824F3"/>
    <w:rsid w:val="004900CC"/>
    <w:rsid w:val="0049230A"/>
    <w:rsid w:val="00493D7F"/>
    <w:rsid w:val="004A0646"/>
    <w:rsid w:val="004A53C1"/>
    <w:rsid w:val="004E1416"/>
    <w:rsid w:val="004F0909"/>
    <w:rsid w:val="004F593F"/>
    <w:rsid w:val="004F73B4"/>
    <w:rsid w:val="00501A41"/>
    <w:rsid w:val="0052798E"/>
    <w:rsid w:val="005347A5"/>
    <w:rsid w:val="00550CD3"/>
    <w:rsid w:val="00551354"/>
    <w:rsid w:val="005778F6"/>
    <w:rsid w:val="00583DCF"/>
    <w:rsid w:val="00593D15"/>
    <w:rsid w:val="005A5681"/>
    <w:rsid w:val="005B7B4E"/>
    <w:rsid w:val="005C1B87"/>
    <w:rsid w:val="005C4641"/>
    <w:rsid w:val="005D7735"/>
    <w:rsid w:val="0060156A"/>
    <w:rsid w:val="006030EB"/>
    <w:rsid w:val="006130C2"/>
    <w:rsid w:val="00617228"/>
    <w:rsid w:val="00645663"/>
    <w:rsid w:val="006500C0"/>
    <w:rsid w:val="00652691"/>
    <w:rsid w:val="006546B9"/>
    <w:rsid w:val="00663FB8"/>
    <w:rsid w:val="006847C4"/>
    <w:rsid w:val="00695E04"/>
    <w:rsid w:val="006A507C"/>
    <w:rsid w:val="006A7959"/>
    <w:rsid w:val="006C5362"/>
    <w:rsid w:val="006F04EA"/>
    <w:rsid w:val="006F7E74"/>
    <w:rsid w:val="00725A46"/>
    <w:rsid w:val="00731B2A"/>
    <w:rsid w:val="00751DE9"/>
    <w:rsid w:val="00753BC7"/>
    <w:rsid w:val="00754707"/>
    <w:rsid w:val="007579F9"/>
    <w:rsid w:val="0076282E"/>
    <w:rsid w:val="007810AA"/>
    <w:rsid w:val="00784B01"/>
    <w:rsid w:val="00784C4B"/>
    <w:rsid w:val="007A1B9D"/>
    <w:rsid w:val="007A1E2E"/>
    <w:rsid w:val="007A7A14"/>
    <w:rsid w:val="007B0F08"/>
    <w:rsid w:val="007B0FE4"/>
    <w:rsid w:val="007C0F2F"/>
    <w:rsid w:val="007D3732"/>
    <w:rsid w:val="007D418D"/>
    <w:rsid w:val="007E2E55"/>
    <w:rsid w:val="007E4A7D"/>
    <w:rsid w:val="007F3DC8"/>
    <w:rsid w:val="00800734"/>
    <w:rsid w:val="0080796B"/>
    <w:rsid w:val="008121A5"/>
    <w:rsid w:val="008124ED"/>
    <w:rsid w:val="00825949"/>
    <w:rsid w:val="00841072"/>
    <w:rsid w:val="00843A59"/>
    <w:rsid w:val="00863DCB"/>
    <w:rsid w:val="00873EEA"/>
    <w:rsid w:val="00874F63"/>
    <w:rsid w:val="00886B6E"/>
    <w:rsid w:val="00892D14"/>
    <w:rsid w:val="008A3579"/>
    <w:rsid w:val="008A59E1"/>
    <w:rsid w:val="008A5E74"/>
    <w:rsid w:val="008B7AC8"/>
    <w:rsid w:val="008C2114"/>
    <w:rsid w:val="008D0484"/>
    <w:rsid w:val="008E0224"/>
    <w:rsid w:val="008E3C65"/>
    <w:rsid w:val="008F2FD0"/>
    <w:rsid w:val="008F5DAB"/>
    <w:rsid w:val="009040EB"/>
    <w:rsid w:val="00924C4C"/>
    <w:rsid w:val="00984087"/>
    <w:rsid w:val="00984DCE"/>
    <w:rsid w:val="009932CD"/>
    <w:rsid w:val="009A0253"/>
    <w:rsid w:val="009A75D5"/>
    <w:rsid w:val="009D344E"/>
    <w:rsid w:val="009D5FF6"/>
    <w:rsid w:val="009D7379"/>
    <w:rsid w:val="009E40DD"/>
    <w:rsid w:val="009F2C01"/>
    <w:rsid w:val="009F680E"/>
    <w:rsid w:val="00A00403"/>
    <w:rsid w:val="00A01071"/>
    <w:rsid w:val="00A015B2"/>
    <w:rsid w:val="00A46F3D"/>
    <w:rsid w:val="00A46F76"/>
    <w:rsid w:val="00A5003E"/>
    <w:rsid w:val="00A770CB"/>
    <w:rsid w:val="00A77B3E"/>
    <w:rsid w:val="00A830BD"/>
    <w:rsid w:val="00AA441D"/>
    <w:rsid w:val="00AB5E3F"/>
    <w:rsid w:val="00AD5DFE"/>
    <w:rsid w:val="00AE0951"/>
    <w:rsid w:val="00AE2A49"/>
    <w:rsid w:val="00AF6B45"/>
    <w:rsid w:val="00B00BE2"/>
    <w:rsid w:val="00B11898"/>
    <w:rsid w:val="00B21531"/>
    <w:rsid w:val="00B34401"/>
    <w:rsid w:val="00B359B8"/>
    <w:rsid w:val="00B37C57"/>
    <w:rsid w:val="00B450CD"/>
    <w:rsid w:val="00B564AB"/>
    <w:rsid w:val="00B62C1C"/>
    <w:rsid w:val="00BB106D"/>
    <w:rsid w:val="00BD4147"/>
    <w:rsid w:val="00BD725D"/>
    <w:rsid w:val="00BE0CB7"/>
    <w:rsid w:val="00BE7106"/>
    <w:rsid w:val="00BF1BD2"/>
    <w:rsid w:val="00C04271"/>
    <w:rsid w:val="00C378EF"/>
    <w:rsid w:val="00C6040F"/>
    <w:rsid w:val="00C607B3"/>
    <w:rsid w:val="00C758A1"/>
    <w:rsid w:val="00C7771F"/>
    <w:rsid w:val="00CA330A"/>
    <w:rsid w:val="00CC1DF7"/>
    <w:rsid w:val="00CC2160"/>
    <w:rsid w:val="00CC3408"/>
    <w:rsid w:val="00CE0CD6"/>
    <w:rsid w:val="00CF2AE1"/>
    <w:rsid w:val="00CF5D47"/>
    <w:rsid w:val="00D04044"/>
    <w:rsid w:val="00D05E47"/>
    <w:rsid w:val="00D31D20"/>
    <w:rsid w:val="00D4437C"/>
    <w:rsid w:val="00D60E10"/>
    <w:rsid w:val="00D84FE5"/>
    <w:rsid w:val="00D91F4F"/>
    <w:rsid w:val="00D92838"/>
    <w:rsid w:val="00DA1D9C"/>
    <w:rsid w:val="00DA4F13"/>
    <w:rsid w:val="00DC17E8"/>
    <w:rsid w:val="00DD14CD"/>
    <w:rsid w:val="00DD764B"/>
    <w:rsid w:val="00DE6204"/>
    <w:rsid w:val="00E22A9E"/>
    <w:rsid w:val="00E37284"/>
    <w:rsid w:val="00E42F68"/>
    <w:rsid w:val="00E50517"/>
    <w:rsid w:val="00E644D0"/>
    <w:rsid w:val="00E70CAA"/>
    <w:rsid w:val="00E8138D"/>
    <w:rsid w:val="00EA275E"/>
    <w:rsid w:val="00EA4AF9"/>
    <w:rsid w:val="00EB64BF"/>
    <w:rsid w:val="00EE0518"/>
    <w:rsid w:val="00EF4BB2"/>
    <w:rsid w:val="00F01063"/>
    <w:rsid w:val="00F03C15"/>
    <w:rsid w:val="00F10C1F"/>
    <w:rsid w:val="00F30000"/>
    <w:rsid w:val="00F52C9C"/>
    <w:rsid w:val="00F5360D"/>
    <w:rsid w:val="00F6566C"/>
    <w:rsid w:val="00F73FA0"/>
    <w:rsid w:val="00F93F58"/>
    <w:rsid w:val="00F94887"/>
    <w:rsid w:val="00FA3415"/>
    <w:rsid w:val="00FA490C"/>
    <w:rsid w:val="00FB47DF"/>
    <w:rsid w:val="00FE4CFE"/>
    <w:rsid w:val="00FE7AEB"/>
    <w:rsid w:val="00FF390C"/>
    <w:rsid w:val="00FF6E71"/>
  </w:rsids>
  <m:mathPr>
    <m:mathFont m:val="Cambria Math"/>
    <m:brkBin m:val="before"/>
    <m:brkBinSub m:val="--"/>
    <m:smallFrac m:val="0"/>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D2B703"/>
  <w15:chartTrackingRefBased/>
  <w15:docId w15:val="{21CBC6AD-2E3E-4B70-AA2E-B57603CF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7C57"/>
    <w:pPr>
      <w:tabs>
        <w:tab w:val="center" w:pos="4153"/>
        <w:tab w:val="right" w:pos="8306"/>
      </w:tabs>
      <w:snapToGrid w:val="0"/>
    </w:pPr>
    <w:rPr>
      <w:sz w:val="20"/>
      <w:szCs w:val="20"/>
    </w:rPr>
  </w:style>
  <w:style w:type="character" w:customStyle="1" w:styleId="a4">
    <w:name w:val="頁首 字元"/>
    <w:basedOn w:val="a0"/>
    <w:link w:val="a3"/>
    <w:rsid w:val="00B37C57"/>
  </w:style>
  <w:style w:type="paragraph" w:styleId="a5">
    <w:name w:val="footer"/>
    <w:basedOn w:val="a"/>
    <w:link w:val="a6"/>
    <w:rsid w:val="00B37C57"/>
    <w:pPr>
      <w:tabs>
        <w:tab w:val="center" w:pos="4153"/>
        <w:tab w:val="right" w:pos="8306"/>
      </w:tabs>
      <w:snapToGrid w:val="0"/>
    </w:pPr>
    <w:rPr>
      <w:sz w:val="20"/>
      <w:szCs w:val="20"/>
    </w:rPr>
  </w:style>
  <w:style w:type="character" w:customStyle="1" w:styleId="a6">
    <w:name w:val="頁尾 字元"/>
    <w:basedOn w:val="a0"/>
    <w:link w:val="a5"/>
    <w:rsid w:val="00B37C57"/>
  </w:style>
  <w:style w:type="paragraph" w:styleId="a7">
    <w:name w:val="Body Text Indent"/>
    <w:basedOn w:val="a"/>
    <w:link w:val="a8"/>
    <w:rsid w:val="00B37C57"/>
    <w:pPr>
      <w:widowControl w:val="0"/>
      <w:spacing w:line="500" w:lineRule="exact"/>
      <w:ind w:left="5670"/>
      <w:jc w:val="both"/>
    </w:pPr>
    <w:rPr>
      <w:rFonts w:ascii="標楷體" w:eastAsia="標楷體"/>
      <w:kern w:val="2"/>
      <w:sz w:val="28"/>
      <w:szCs w:val="20"/>
    </w:rPr>
  </w:style>
  <w:style w:type="character" w:customStyle="1" w:styleId="a8">
    <w:name w:val="本文縮排 字元"/>
    <w:link w:val="a7"/>
    <w:rsid w:val="00B37C57"/>
    <w:rPr>
      <w:rFonts w:ascii="標楷體" w:eastAsia="標楷體"/>
      <w:kern w:val="2"/>
      <w:sz w:val="28"/>
    </w:rPr>
  </w:style>
  <w:style w:type="paragraph" w:styleId="a9">
    <w:name w:val="Balloon Text"/>
    <w:basedOn w:val="a"/>
    <w:link w:val="aa"/>
    <w:rsid w:val="00FA490C"/>
    <w:rPr>
      <w:rFonts w:ascii="Calibri Light" w:hAnsi="Calibri Light"/>
      <w:sz w:val="18"/>
      <w:szCs w:val="18"/>
    </w:rPr>
  </w:style>
  <w:style w:type="character" w:customStyle="1" w:styleId="aa">
    <w:name w:val="註解方塊文字 字元"/>
    <w:link w:val="a9"/>
    <w:rsid w:val="00FA490C"/>
    <w:rPr>
      <w:rFonts w:ascii="Calibri Light" w:eastAsia="新細明體" w:hAnsi="Calibri Light" w:cs="Times New Roman"/>
      <w:sz w:val="18"/>
      <w:szCs w:val="18"/>
    </w:rPr>
  </w:style>
  <w:style w:type="paragraph" w:styleId="ab">
    <w:name w:val="Revision"/>
    <w:hidden/>
    <w:uiPriority w:val="99"/>
    <w:semiHidden/>
    <w:rsid w:val="009E40DD"/>
    <w:rPr>
      <w:sz w:val="24"/>
      <w:szCs w:val="24"/>
    </w:rPr>
  </w:style>
  <w:style w:type="paragraph" w:styleId="ac">
    <w:name w:val="List Paragraph"/>
    <w:basedOn w:val="a"/>
    <w:uiPriority w:val="34"/>
    <w:qFormat/>
    <w:rsid w:val="003E1CA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C134-CB05-46E1-8833-334B4497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期貨商輔導部-邱琳</dc:creator>
  <cp:keywords/>
  <cp:lastModifiedBy>710 TWSA</cp:lastModifiedBy>
  <cp:revision>2</cp:revision>
  <cp:lastPrinted>2023-09-26T02:11:00Z</cp:lastPrinted>
  <dcterms:created xsi:type="dcterms:W3CDTF">2023-10-18T07:04:00Z</dcterms:created>
  <dcterms:modified xsi:type="dcterms:W3CDTF">2023-10-18T07:04:00Z</dcterms:modified>
</cp:coreProperties>
</file>