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1D7F" w14:textId="77777777" w:rsidR="00E17E1F" w:rsidRPr="008A1A6B" w:rsidRDefault="00E17E1F" w:rsidP="00E17E1F">
      <w:pPr>
        <w:spacing w:before="36"/>
        <w:ind w:left="751"/>
        <w:rPr>
          <w:b/>
          <w:sz w:val="32"/>
        </w:rPr>
      </w:pPr>
      <w:r w:rsidRPr="008A1A6B">
        <w:rPr>
          <w:b/>
          <w:sz w:val="32"/>
        </w:rPr>
        <w:t>中華民國證券商業同業公會資訊作業韌性自律規範</w:t>
      </w:r>
    </w:p>
    <w:p w14:paraId="39469BA4" w14:textId="77777777" w:rsidR="008A1A6B" w:rsidRPr="008A1A6B" w:rsidRDefault="008A1A6B" w:rsidP="00E17E1F">
      <w:pPr>
        <w:spacing w:before="36"/>
        <w:ind w:left="751"/>
        <w:rPr>
          <w:b/>
          <w:sz w:val="32"/>
        </w:rPr>
      </w:pPr>
    </w:p>
    <w:p w14:paraId="4DC77B1D" w14:textId="28CCA28C" w:rsidR="00B7056C" w:rsidRPr="008A1A6B" w:rsidRDefault="00E17E1F" w:rsidP="007C5A01">
      <w:pPr>
        <w:spacing w:line="300" w:lineRule="exact"/>
        <w:ind w:leftChars="-122" w:right="374" w:hangingChars="122" w:hanging="268"/>
        <w:jc w:val="right"/>
      </w:pPr>
      <w:r w:rsidRPr="008A1A6B">
        <w:t>金融監督管理委員會112年8月15日金管證券字第1120344733號函准予備查</w:t>
      </w:r>
    </w:p>
    <w:p w14:paraId="65F75E3C" w14:textId="5FDCF50F" w:rsidR="00E17E1F" w:rsidRPr="008A1A6B" w:rsidRDefault="00E17E1F" w:rsidP="007C5A01">
      <w:pPr>
        <w:spacing w:line="300" w:lineRule="exact"/>
        <w:ind w:leftChars="-122" w:right="374" w:hangingChars="122" w:hanging="268"/>
        <w:jc w:val="right"/>
      </w:pPr>
      <w:r w:rsidRPr="008A1A6B">
        <w:t>中華民國證券商業同業公會112年8月17日中證商業一字第1120004366號公告實施</w:t>
      </w:r>
    </w:p>
    <w:p w14:paraId="2C4AF091" w14:textId="6413E2FD" w:rsidR="008A1A6B" w:rsidRPr="008A1A6B" w:rsidRDefault="008A1A6B" w:rsidP="00D1011E">
      <w:pPr>
        <w:spacing w:line="300" w:lineRule="exact"/>
        <w:ind w:leftChars="-122" w:right="374" w:hangingChars="122" w:hanging="268"/>
        <w:jc w:val="right"/>
      </w:pPr>
      <w:r w:rsidRPr="008A1A6B">
        <w:t>金融監督管理委員會</w:t>
      </w:r>
      <w:r w:rsidR="00D1011E">
        <w:t>114年6月26日</w:t>
      </w:r>
      <w:r w:rsidR="00D1011E">
        <w:rPr>
          <w:rFonts w:hint="eastAsia"/>
        </w:rPr>
        <w:t>金管證券字第</w:t>
      </w:r>
      <w:r w:rsidR="00D1011E">
        <w:t>1140346614號</w:t>
      </w:r>
      <w:r w:rsidRPr="008A1A6B">
        <w:t>函准予備查</w:t>
      </w:r>
    </w:p>
    <w:p w14:paraId="51FBC51D" w14:textId="6AFC36F1" w:rsidR="008A1A6B" w:rsidRPr="004A6073" w:rsidRDefault="008A1A6B" w:rsidP="008A1A6B">
      <w:pPr>
        <w:spacing w:line="300" w:lineRule="exact"/>
        <w:ind w:leftChars="-122" w:left="-14" w:right="374" w:hangingChars="122" w:hanging="254"/>
        <w:jc w:val="right"/>
        <w:rPr>
          <w:spacing w:val="-6"/>
        </w:rPr>
      </w:pPr>
      <w:r w:rsidRPr="004A6073">
        <w:rPr>
          <w:spacing w:val="-6"/>
        </w:rPr>
        <w:t>中華民國證券商業同業公會</w:t>
      </w:r>
      <w:r w:rsidR="00D1011E" w:rsidRPr="004A6073">
        <w:rPr>
          <w:spacing w:val="-6"/>
        </w:rPr>
        <w:t>114年6月</w:t>
      </w:r>
      <w:r w:rsidRPr="004A6073">
        <w:rPr>
          <w:spacing w:val="-6"/>
        </w:rPr>
        <w:t>月</w:t>
      </w:r>
      <w:r w:rsidR="00D1011E" w:rsidRPr="004A6073">
        <w:rPr>
          <w:rFonts w:hint="eastAsia"/>
          <w:spacing w:val="-6"/>
        </w:rPr>
        <w:t>3</w:t>
      </w:r>
      <w:r w:rsidR="00D1011E" w:rsidRPr="004A6073">
        <w:rPr>
          <w:spacing w:val="-6"/>
        </w:rPr>
        <w:t>0</w:t>
      </w:r>
      <w:r w:rsidRPr="004A6073">
        <w:rPr>
          <w:spacing w:val="-6"/>
        </w:rPr>
        <w:t>日</w:t>
      </w:r>
      <w:r w:rsidR="004A6073" w:rsidRPr="004A6073">
        <w:rPr>
          <w:rFonts w:hint="eastAsia"/>
          <w:spacing w:val="-6"/>
        </w:rPr>
        <w:t>中證商業一字第</w:t>
      </w:r>
      <w:r w:rsidR="004A6073" w:rsidRPr="004A6073">
        <w:rPr>
          <w:spacing w:val="-6"/>
        </w:rPr>
        <w:t>1140003295號</w:t>
      </w:r>
      <w:proofErr w:type="gramStart"/>
      <w:r w:rsidRPr="004A6073">
        <w:rPr>
          <w:spacing w:val="-6"/>
        </w:rPr>
        <w:t>號</w:t>
      </w:r>
      <w:proofErr w:type="gramEnd"/>
      <w:r w:rsidRPr="004A6073">
        <w:rPr>
          <w:spacing w:val="-6"/>
        </w:rPr>
        <w:t>公告實施</w:t>
      </w:r>
    </w:p>
    <w:p w14:paraId="5DE7207A" w14:textId="77777777" w:rsidR="00E17E1F" w:rsidRPr="008A1A6B" w:rsidRDefault="00E17E1F" w:rsidP="00E17E1F">
      <w:pPr>
        <w:pStyle w:val="a3"/>
        <w:spacing w:before="11"/>
        <w:rPr>
          <w:sz w:val="26"/>
        </w:rPr>
      </w:pPr>
    </w:p>
    <w:p w14:paraId="06D5CBC1" w14:textId="77777777" w:rsidR="00E17E1F" w:rsidRPr="008A1A6B" w:rsidRDefault="00E17E1F" w:rsidP="008A1A6B">
      <w:pPr>
        <w:pStyle w:val="1"/>
        <w:spacing w:beforeLines="50" w:before="180" w:line="440" w:lineRule="exact"/>
        <w:ind w:left="0"/>
      </w:pPr>
      <w:r w:rsidRPr="008A1A6B">
        <w:t>第一條 目的</w:t>
      </w:r>
    </w:p>
    <w:p w14:paraId="50CE3612" w14:textId="32688078" w:rsidR="00E17E1F" w:rsidRPr="008A1A6B" w:rsidRDefault="00E17E1F" w:rsidP="00E17E1F">
      <w:pPr>
        <w:pStyle w:val="a3"/>
        <w:spacing w:before="0" w:line="440" w:lineRule="exact"/>
      </w:pPr>
      <w:r w:rsidRPr="008A1A6B">
        <w:t>為協助證券商於核心系統遭受中斷事故時，能有效執行應變措施並將損害降低至可承受範圍，</w:t>
      </w:r>
      <w:proofErr w:type="gramStart"/>
      <w:r w:rsidRPr="008A1A6B">
        <w:t>爰</w:t>
      </w:r>
      <w:proofErr w:type="gramEnd"/>
      <w:r w:rsidRPr="008A1A6B">
        <w:t>訂定本自律規範。</w:t>
      </w:r>
    </w:p>
    <w:p w14:paraId="11FD285C" w14:textId="77777777" w:rsidR="00E17E1F" w:rsidRPr="008A1A6B" w:rsidRDefault="00E17E1F" w:rsidP="008A1A6B">
      <w:pPr>
        <w:pStyle w:val="1"/>
        <w:spacing w:beforeLines="50" w:before="180" w:line="440" w:lineRule="exact"/>
        <w:ind w:left="0"/>
      </w:pPr>
      <w:r w:rsidRPr="008A1A6B">
        <w:t>第二條 名詞定義</w:t>
      </w:r>
    </w:p>
    <w:p w14:paraId="38020067" w14:textId="15A563FD" w:rsidR="00E17E1F" w:rsidRPr="008A1A6B" w:rsidRDefault="00E17E1F" w:rsidP="008A1A6B">
      <w:pPr>
        <w:pStyle w:val="a3"/>
        <w:numPr>
          <w:ilvl w:val="0"/>
          <w:numId w:val="3"/>
        </w:numPr>
        <w:spacing w:before="0" w:line="440" w:lineRule="exact"/>
        <w:ind w:left="630" w:hanging="630"/>
        <w:jc w:val="both"/>
      </w:pPr>
      <w:r w:rsidRPr="008A1A6B">
        <w:t>資訊作業韌性：資訊作業面臨損害、異常或中斷服務時的處理能力與應變彈性。</w:t>
      </w:r>
    </w:p>
    <w:p w14:paraId="3FD644FD" w14:textId="2B050F6E" w:rsidR="00E17E1F" w:rsidRPr="008A1A6B" w:rsidRDefault="00E17E1F" w:rsidP="008A1A6B">
      <w:pPr>
        <w:pStyle w:val="a3"/>
        <w:numPr>
          <w:ilvl w:val="0"/>
          <w:numId w:val="3"/>
        </w:numPr>
        <w:spacing w:before="0" w:line="440" w:lineRule="exact"/>
        <w:ind w:left="630" w:hanging="630"/>
        <w:jc w:val="both"/>
      </w:pPr>
      <w:r w:rsidRPr="008A1A6B">
        <w:t>核心業務：係指直接提供客戶交易或支持交易業務持續運作之必要業務。</w:t>
      </w:r>
    </w:p>
    <w:p w14:paraId="1A216206" w14:textId="7C2DBDC8" w:rsidR="00E17E1F" w:rsidRPr="008A1A6B" w:rsidRDefault="00E17E1F" w:rsidP="008A1A6B">
      <w:pPr>
        <w:pStyle w:val="a3"/>
        <w:numPr>
          <w:ilvl w:val="0"/>
          <w:numId w:val="3"/>
        </w:numPr>
        <w:spacing w:before="0" w:line="440" w:lineRule="exact"/>
        <w:ind w:left="630" w:hanging="630"/>
        <w:jc w:val="both"/>
      </w:pPr>
      <w:r w:rsidRPr="008A1A6B">
        <w:t>核心系統：係指直接提供客戶交易或支持交易業務持續運作之必要系統，其餘皆為非核心系統。</w:t>
      </w:r>
    </w:p>
    <w:p w14:paraId="0DBA37EE" w14:textId="01D6A529" w:rsidR="00E17E1F" w:rsidRPr="008A1A6B" w:rsidRDefault="00E17E1F" w:rsidP="008A1A6B">
      <w:pPr>
        <w:pStyle w:val="a3"/>
        <w:numPr>
          <w:ilvl w:val="0"/>
          <w:numId w:val="3"/>
        </w:numPr>
        <w:spacing w:before="0" w:line="440" w:lineRule="exact"/>
        <w:ind w:left="630" w:hanging="630"/>
        <w:jc w:val="both"/>
      </w:pPr>
      <w:r w:rsidRPr="008A1A6B">
        <w:t>營運衝擊分析(Business Impact Analysis，BIA)：評估核心系統中斷時可能對組織造成之衝擊。</w:t>
      </w:r>
    </w:p>
    <w:p w14:paraId="3C005E55" w14:textId="228AC0FB" w:rsidR="00E17E1F" w:rsidRPr="008A1A6B" w:rsidRDefault="00E17E1F" w:rsidP="008A1A6B">
      <w:pPr>
        <w:pStyle w:val="a3"/>
        <w:numPr>
          <w:ilvl w:val="0"/>
          <w:numId w:val="3"/>
        </w:numPr>
        <w:spacing w:before="0" w:line="440" w:lineRule="exact"/>
        <w:ind w:left="630" w:hanging="630"/>
        <w:jc w:val="both"/>
      </w:pPr>
      <w:r w:rsidRPr="008A1A6B">
        <w:t>復原時間目標(Recovery Time Objective，RTO)：中斷事故發生後，核心系統從中斷事故發生到回復至最小可接受服務水準之目標時間。</w:t>
      </w:r>
    </w:p>
    <w:p w14:paraId="752FB78C" w14:textId="401A21AC" w:rsidR="00E17E1F" w:rsidRPr="008A1A6B" w:rsidRDefault="00E17E1F" w:rsidP="008A1A6B">
      <w:pPr>
        <w:pStyle w:val="a3"/>
        <w:numPr>
          <w:ilvl w:val="0"/>
          <w:numId w:val="3"/>
        </w:numPr>
        <w:spacing w:before="0" w:line="440" w:lineRule="exact"/>
        <w:ind w:left="630" w:hanging="630"/>
        <w:jc w:val="both"/>
      </w:pPr>
      <w:r w:rsidRPr="008A1A6B">
        <w:t>資料復原點目標(Recovery Point Objective，RPO)：中斷事故發生時，核心系統可承受之資料損失量所訂之值。</w:t>
      </w:r>
    </w:p>
    <w:p w14:paraId="42A15970" w14:textId="458A8EB6" w:rsidR="00E17E1F" w:rsidRPr="008A1A6B" w:rsidRDefault="00E17E1F" w:rsidP="008A1A6B">
      <w:pPr>
        <w:pStyle w:val="a3"/>
        <w:numPr>
          <w:ilvl w:val="0"/>
          <w:numId w:val="3"/>
        </w:numPr>
        <w:spacing w:before="0" w:line="440" w:lineRule="exact"/>
        <w:ind w:left="630" w:hanging="630"/>
        <w:jc w:val="both"/>
      </w:pPr>
      <w:r w:rsidRPr="008A1A6B">
        <w:t>最小可接受服務水準：核心業務於復原時間目標(RTO)內回復之最低限度運作水準。</w:t>
      </w:r>
    </w:p>
    <w:p w14:paraId="42F106F6" w14:textId="6DA5749C" w:rsidR="00E17E1F" w:rsidRPr="008A1A6B" w:rsidRDefault="00E17E1F" w:rsidP="008A1A6B">
      <w:pPr>
        <w:pStyle w:val="a3"/>
        <w:numPr>
          <w:ilvl w:val="0"/>
          <w:numId w:val="3"/>
        </w:numPr>
        <w:spacing w:before="0" w:line="440" w:lineRule="exact"/>
        <w:ind w:left="630" w:hanging="630"/>
        <w:jc w:val="both"/>
      </w:pPr>
      <w:r w:rsidRPr="008A1A6B">
        <w:t>第一類證券商：係指依「證券暨期貨市場各服務事業建立內部控制制度處理準則」第三十六條之二條文指派資訊安全長之證券商。</w:t>
      </w:r>
    </w:p>
    <w:p w14:paraId="33A4ED13" w14:textId="461AB15D" w:rsidR="00E17E1F" w:rsidRPr="008A1A6B" w:rsidRDefault="00E17E1F" w:rsidP="008A1A6B">
      <w:pPr>
        <w:pStyle w:val="a3"/>
        <w:numPr>
          <w:ilvl w:val="0"/>
          <w:numId w:val="3"/>
        </w:numPr>
        <w:spacing w:before="0" w:line="440" w:lineRule="exact"/>
        <w:ind w:left="630" w:hanging="630"/>
        <w:jc w:val="both"/>
      </w:pPr>
      <w:r w:rsidRPr="008A1A6B">
        <w:t>第二類證券商：係指非屬第一類證券商之證券商。</w:t>
      </w:r>
    </w:p>
    <w:p w14:paraId="10E47452" w14:textId="09130ED6" w:rsidR="00E17E1F" w:rsidRPr="008A1A6B" w:rsidRDefault="00E17E1F" w:rsidP="008A1A6B">
      <w:pPr>
        <w:pStyle w:val="a3"/>
        <w:numPr>
          <w:ilvl w:val="0"/>
          <w:numId w:val="3"/>
        </w:numPr>
        <w:spacing w:before="0" w:line="440" w:lineRule="exact"/>
        <w:ind w:left="630" w:hanging="630"/>
        <w:jc w:val="both"/>
        <w:rPr>
          <w:sz w:val="25"/>
        </w:rPr>
      </w:pPr>
      <w:r w:rsidRPr="008A1A6B">
        <w:t>外國證券商：係指外資集團在台子公司或分公司。外國證券商如有標準較佳之規範則從其規範；若無，則應遵守本國的規範。</w:t>
      </w:r>
    </w:p>
    <w:p w14:paraId="274F31D3" w14:textId="748763FB" w:rsidR="00E17E1F" w:rsidRPr="008A1A6B" w:rsidRDefault="00E17E1F" w:rsidP="008A1A6B">
      <w:pPr>
        <w:pStyle w:val="1"/>
        <w:spacing w:beforeLines="50" w:before="180" w:line="440" w:lineRule="exact"/>
        <w:ind w:left="0"/>
      </w:pPr>
      <w:r w:rsidRPr="008A1A6B">
        <w:lastRenderedPageBreak/>
        <w:t>第三條 營運持續管理</w:t>
      </w:r>
      <w:r w:rsidR="008A1A6B" w:rsidRPr="008A1A6B">
        <w:rPr>
          <w:rFonts w:hint="eastAsia"/>
          <w:u w:val="single"/>
        </w:rPr>
        <w:t>及營運持續計畫演練</w:t>
      </w:r>
    </w:p>
    <w:p w14:paraId="7AFBF1EE" w14:textId="5E21D133" w:rsidR="008A1A6B" w:rsidRPr="008A1A6B" w:rsidRDefault="008A1A6B" w:rsidP="008A1A6B">
      <w:pPr>
        <w:pStyle w:val="a3"/>
        <w:numPr>
          <w:ilvl w:val="0"/>
          <w:numId w:val="4"/>
        </w:numPr>
        <w:spacing w:line="440" w:lineRule="exact"/>
        <w:ind w:left="630" w:hanging="630"/>
      </w:pPr>
      <w:r w:rsidRPr="008A1A6B">
        <w:rPr>
          <w:rFonts w:hint="eastAsia"/>
        </w:rPr>
        <w:t>證券商營運持續管理應參考證交所「建立證券商資通安全檢查機制」之營運持續管理相關規定辦理。</w:t>
      </w:r>
    </w:p>
    <w:p w14:paraId="2E7D3F3B" w14:textId="4E83D282" w:rsidR="008A1A6B" w:rsidRPr="00072861" w:rsidRDefault="008A1A6B" w:rsidP="008A1A6B">
      <w:pPr>
        <w:pStyle w:val="a3"/>
        <w:numPr>
          <w:ilvl w:val="0"/>
          <w:numId w:val="4"/>
        </w:numPr>
        <w:spacing w:line="440" w:lineRule="exact"/>
        <w:ind w:left="630" w:hanging="630"/>
        <w:rPr>
          <w:b/>
          <w:bCs/>
          <w:u w:val="single" w:color="FF0000"/>
        </w:rPr>
      </w:pPr>
      <w:r w:rsidRPr="00072861">
        <w:rPr>
          <w:rFonts w:hint="eastAsia"/>
          <w:b/>
          <w:bCs/>
          <w:u w:val="single" w:color="FF0000"/>
        </w:rPr>
        <w:t>證券商應針對各情境、各業務狀況進行演練並可參考「核心系統備援演練參考程序」</w:t>
      </w:r>
      <w:r w:rsidRPr="00072861">
        <w:rPr>
          <w:b/>
          <w:bCs/>
          <w:u w:val="single" w:color="FF0000"/>
        </w:rPr>
        <w:t>(附件)，進行事前準備、演練實施及演練後檢討之各階段檢核作業，以確認演練及測試程序之有效運作，並依據「建立證券商資通安全檢查機制－分級防護應辦事項附表」第十四項所規定之業務持續運作演練辦理。</w:t>
      </w:r>
    </w:p>
    <w:p w14:paraId="15EF995F" w14:textId="77777777" w:rsidR="008A1A6B" w:rsidRPr="00072861" w:rsidRDefault="008A1A6B" w:rsidP="008A1A6B">
      <w:pPr>
        <w:pStyle w:val="a3"/>
        <w:spacing w:line="440" w:lineRule="exact"/>
        <w:ind w:leftChars="244" w:left="1078" w:hangingChars="193" w:hanging="541"/>
        <w:rPr>
          <w:b/>
          <w:bCs/>
          <w:u w:val="single" w:color="FF0000"/>
        </w:rPr>
      </w:pPr>
      <w:r w:rsidRPr="00072861">
        <w:rPr>
          <w:b/>
          <w:bCs/>
          <w:u w:val="single" w:color="FF0000"/>
        </w:rPr>
        <w:t>(</w:t>
      </w:r>
      <w:proofErr w:type="gramStart"/>
      <w:r w:rsidRPr="00072861">
        <w:rPr>
          <w:b/>
          <w:bCs/>
          <w:u w:val="single" w:color="FF0000"/>
        </w:rPr>
        <w:t>一</w:t>
      </w:r>
      <w:proofErr w:type="gramEnd"/>
      <w:r w:rsidRPr="00072861">
        <w:rPr>
          <w:b/>
          <w:bCs/>
          <w:u w:val="single" w:color="FF0000"/>
        </w:rPr>
        <w:t>)應針對已辨識可能造成核心業務中斷之風險情境(包含天然災害、人為災害與資通訊安全事件)設計演練情境並宜規劃針對所有情境或輪流針對部分情境進行演練。</w:t>
      </w:r>
    </w:p>
    <w:p w14:paraId="23DB8A4F" w14:textId="77777777" w:rsidR="008A1A6B" w:rsidRPr="00072861" w:rsidRDefault="008A1A6B" w:rsidP="008A1A6B">
      <w:pPr>
        <w:pStyle w:val="a3"/>
        <w:spacing w:line="440" w:lineRule="exact"/>
        <w:ind w:leftChars="244" w:left="1078" w:hangingChars="193" w:hanging="541"/>
        <w:rPr>
          <w:b/>
          <w:bCs/>
          <w:u w:val="single" w:color="FF0000"/>
        </w:rPr>
      </w:pPr>
      <w:r w:rsidRPr="00072861">
        <w:rPr>
          <w:b/>
          <w:bCs/>
          <w:u w:val="single" w:color="FF0000"/>
        </w:rPr>
        <w:t>(二)應進行模擬災害或意外發生時之情境操作，考量納入核心系統復原負責人員、核心業務執行人員與復原所需供應商；並規劃演練之系統相關資訊。</w:t>
      </w:r>
    </w:p>
    <w:p w14:paraId="3855C667" w14:textId="77777777" w:rsidR="008A1A6B" w:rsidRPr="00072861" w:rsidRDefault="008A1A6B" w:rsidP="008A1A6B">
      <w:pPr>
        <w:pStyle w:val="a3"/>
        <w:spacing w:line="440" w:lineRule="exact"/>
        <w:ind w:leftChars="244" w:left="1078" w:hangingChars="193" w:hanging="541"/>
        <w:rPr>
          <w:b/>
          <w:bCs/>
          <w:u w:val="single" w:color="FF0000"/>
        </w:rPr>
      </w:pPr>
      <w:r w:rsidRPr="00072861">
        <w:rPr>
          <w:b/>
          <w:bCs/>
          <w:u w:val="single" w:color="FF0000"/>
        </w:rPr>
        <w:t>(三)應於演練前辨識可能造成之風險，並事先擬定保護措施。</w:t>
      </w:r>
    </w:p>
    <w:p w14:paraId="4DA91EC1" w14:textId="77777777" w:rsidR="008A1A6B" w:rsidRPr="00072861" w:rsidRDefault="008A1A6B" w:rsidP="008A1A6B">
      <w:pPr>
        <w:pStyle w:val="a3"/>
        <w:spacing w:line="440" w:lineRule="exact"/>
        <w:ind w:leftChars="244" w:left="1078" w:hangingChars="193" w:hanging="541"/>
        <w:rPr>
          <w:b/>
          <w:bCs/>
          <w:u w:val="single" w:color="FF0000"/>
        </w:rPr>
      </w:pPr>
      <w:r w:rsidRPr="00072861">
        <w:rPr>
          <w:b/>
          <w:bCs/>
          <w:u w:val="single" w:color="FF0000"/>
        </w:rPr>
        <w:t>(四)演練內容應驗證各項核心系統所制定之標準作業程序。</w:t>
      </w:r>
    </w:p>
    <w:p w14:paraId="6C0DBAF0" w14:textId="77777777" w:rsidR="008A1A6B" w:rsidRPr="00072861" w:rsidRDefault="008A1A6B" w:rsidP="008A1A6B">
      <w:pPr>
        <w:pStyle w:val="a3"/>
        <w:spacing w:line="440" w:lineRule="exact"/>
        <w:ind w:leftChars="244" w:left="1078" w:hangingChars="193" w:hanging="541"/>
        <w:rPr>
          <w:b/>
          <w:bCs/>
          <w:u w:val="single" w:color="FF0000"/>
        </w:rPr>
      </w:pPr>
      <w:r w:rsidRPr="00072861">
        <w:rPr>
          <w:b/>
          <w:bCs/>
          <w:u w:val="single" w:color="FF0000"/>
        </w:rPr>
        <w:t>(五)應定期演練並驗證其核心系統可用性，依需求規劃為同異地系統備援演練或同異地資料備份回存測試，以確保人員熟悉程度與程序有效性，並應留存相關演練紀錄。</w:t>
      </w:r>
    </w:p>
    <w:p w14:paraId="65C96772" w14:textId="77777777" w:rsidR="008A1A6B" w:rsidRPr="00072861" w:rsidRDefault="008A1A6B" w:rsidP="008A1A6B">
      <w:pPr>
        <w:pStyle w:val="a3"/>
        <w:spacing w:line="440" w:lineRule="exact"/>
        <w:ind w:leftChars="244" w:left="1078" w:hangingChars="193" w:hanging="541"/>
        <w:rPr>
          <w:b/>
          <w:bCs/>
          <w:u w:val="single" w:color="FF0000"/>
        </w:rPr>
      </w:pPr>
      <w:r w:rsidRPr="00072861">
        <w:rPr>
          <w:b/>
          <w:bCs/>
          <w:u w:val="single" w:color="FF0000"/>
        </w:rPr>
        <w:t>(六)第一類證券商應於異地系統備援演練時，納入實際業務運作驗證，以實證最小可接受服務水準所仰賴之內部資源配置及人力調度、外部夥伴之協同作業及資訊網路調整</w:t>
      </w:r>
      <w:proofErr w:type="gramStart"/>
      <w:r w:rsidRPr="00072861">
        <w:rPr>
          <w:b/>
          <w:bCs/>
          <w:u w:val="single" w:color="FF0000"/>
        </w:rPr>
        <w:t>介</w:t>
      </w:r>
      <w:proofErr w:type="gramEnd"/>
      <w:r w:rsidRPr="00072861">
        <w:rPr>
          <w:b/>
          <w:bCs/>
          <w:u w:val="single" w:color="FF0000"/>
        </w:rPr>
        <w:t>接等作業，於關鍵時刻皆能有效運作。並鼓勵第二類證券商執行。</w:t>
      </w:r>
    </w:p>
    <w:p w14:paraId="770A4919" w14:textId="7A926DBB" w:rsidR="00E17E1F" w:rsidRPr="00072861" w:rsidRDefault="008A1A6B" w:rsidP="008A1A6B">
      <w:pPr>
        <w:pStyle w:val="a3"/>
        <w:spacing w:before="0" w:line="440" w:lineRule="exact"/>
        <w:ind w:leftChars="244" w:left="1078" w:hangingChars="193" w:hanging="541"/>
        <w:rPr>
          <w:b/>
          <w:bCs/>
          <w:u w:val="single" w:color="FF0000"/>
        </w:rPr>
      </w:pPr>
      <w:r w:rsidRPr="00072861">
        <w:rPr>
          <w:b/>
          <w:bCs/>
          <w:u w:val="single" w:color="FF0000"/>
        </w:rPr>
        <w:t>(七)應於演練後召開檢討會議，確認復原機制與演練結果是否符合所制定的復原時間目標(RTO)及資料復原點目標(RPO)要求，並檢視核心系統現有同異地系統備援機制與同異地資料備份機制是否符合核心業務之需求。</w:t>
      </w:r>
    </w:p>
    <w:p w14:paraId="60A33EBD" w14:textId="77777777" w:rsidR="00E17E1F" w:rsidRPr="008A1A6B" w:rsidRDefault="00E17E1F" w:rsidP="008A1A6B">
      <w:pPr>
        <w:pStyle w:val="1"/>
        <w:spacing w:beforeLines="50" w:before="180" w:line="440" w:lineRule="exact"/>
        <w:ind w:left="0"/>
      </w:pPr>
      <w:r w:rsidRPr="008A1A6B">
        <w:lastRenderedPageBreak/>
        <w:t>第四條 資訊作業韌性管理組織</w:t>
      </w:r>
    </w:p>
    <w:p w14:paraId="3A258825" w14:textId="77777777" w:rsidR="00E17E1F" w:rsidRPr="008A1A6B" w:rsidRDefault="00E17E1F" w:rsidP="00E17E1F">
      <w:pPr>
        <w:pStyle w:val="a3"/>
        <w:spacing w:before="0" w:line="440" w:lineRule="exact"/>
      </w:pPr>
      <w:r w:rsidRPr="008A1A6B">
        <w:t xml:space="preserve">證券商就資訊作業韌性進行任務編組及配置適當人力，辦理下列事項： </w:t>
      </w:r>
    </w:p>
    <w:p w14:paraId="71AABFD5" w14:textId="039D0716" w:rsidR="00E17E1F" w:rsidRPr="008A1A6B" w:rsidRDefault="00E17E1F" w:rsidP="00E17E1F">
      <w:pPr>
        <w:pStyle w:val="a3"/>
        <w:spacing w:before="0" w:line="440" w:lineRule="exact"/>
        <w:ind w:left="468" w:hangingChars="167" w:hanging="468"/>
      </w:pPr>
      <w:r w:rsidRPr="008A1A6B">
        <w:t>一、識別核心業務及其對應之核心系統。</w:t>
      </w:r>
    </w:p>
    <w:p w14:paraId="3E8E5327" w14:textId="77777777" w:rsidR="00E17E1F" w:rsidRPr="008A1A6B" w:rsidRDefault="00E17E1F" w:rsidP="00E17E1F">
      <w:pPr>
        <w:pStyle w:val="a3"/>
        <w:spacing w:before="0" w:line="440" w:lineRule="exact"/>
        <w:ind w:left="487" w:hangingChars="174" w:hanging="487"/>
        <w:jc w:val="both"/>
      </w:pPr>
      <w:r w:rsidRPr="008A1A6B">
        <w:t>二、執行營運衝擊分析，評估核心系統中斷造成之衝擊程度，並依核心系統之復原時間目標</w:t>
      </w:r>
      <w:r w:rsidRPr="008A1A6B">
        <w:rPr>
          <w:rFonts w:ascii="Times New Roman" w:eastAsia="Times New Roman"/>
        </w:rPr>
        <w:t>(RTO)</w:t>
      </w:r>
      <w:r w:rsidRPr="008A1A6B">
        <w:t>、資料復原點目標</w:t>
      </w:r>
      <w:r w:rsidRPr="008A1A6B">
        <w:rPr>
          <w:rFonts w:ascii="Times New Roman" w:eastAsia="Times New Roman"/>
        </w:rPr>
        <w:t>(RPO)</w:t>
      </w:r>
      <w:r w:rsidRPr="008A1A6B">
        <w:t>，作為恢復核心系統、備份備援規劃及執行復原作業之依據。</w:t>
      </w:r>
    </w:p>
    <w:p w14:paraId="7518D3E9" w14:textId="77777777" w:rsidR="00E17E1F" w:rsidRPr="008A1A6B" w:rsidRDefault="00E17E1F" w:rsidP="00E17E1F">
      <w:pPr>
        <w:pStyle w:val="a3"/>
        <w:spacing w:before="0" w:line="440" w:lineRule="exact"/>
        <w:rPr>
          <w:sz w:val="25"/>
        </w:rPr>
      </w:pPr>
    </w:p>
    <w:p w14:paraId="54867C31" w14:textId="77777777" w:rsidR="00E17E1F" w:rsidRPr="008A1A6B" w:rsidRDefault="00E17E1F" w:rsidP="00E17E1F">
      <w:pPr>
        <w:pStyle w:val="1"/>
        <w:spacing w:line="440" w:lineRule="exact"/>
        <w:ind w:left="0"/>
      </w:pPr>
      <w:r w:rsidRPr="008A1A6B">
        <w:t>第五條 備份備援機制</w:t>
      </w:r>
    </w:p>
    <w:p w14:paraId="46574907" w14:textId="77777777" w:rsidR="00E17E1F" w:rsidRPr="008A1A6B" w:rsidRDefault="00E17E1F" w:rsidP="00E17E1F">
      <w:pPr>
        <w:pStyle w:val="a3"/>
        <w:spacing w:before="0" w:line="440" w:lineRule="exact"/>
      </w:pPr>
      <w:r w:rsidRPr="008A1A6B">
        <w:t>一、制定資料備份機制時，宜考量「3-2-1 備份原則」。</w:t>
      </w:r>
    </w:p>
    <w:p w14:paraId="1D997A98" w14:textId="1C87CE2F" w:rsidR="00E17E1F" w:rsidRPr="008A1A6B" w:rsidRDefault="00E17E1F" w:rsidP="00E17E1F">
      <w:pPr>
        <w:pStyle w:val="a3"/>
        <w:spacing w:before="0" w:line="440" w:lineRule="exact"/>
        <w:ind w:firstLineChars="192" w:firstLine="538"/>
      </w:pPr>
      <w:r w:rsidRPr="008A1A6B">
        <w:t>(</w:t>
      </w:r>
      <w:proofErr w:type="gramStart"/>
      <w:r w:rsidRPr="008A1A6B">
        <w:t>一</w:t>
      </w:r>
      <w:proofErr w:type="gramEnd"/>
      <w:r w:rsidRPr="008A1A6B">
        <w:t>)至少製作三份備份。</w:t>
      </w:r>
    </w:p>
    <w:p w14:paraId="2400E606" w14:textId="20FD8F75" w:rsidR="00E17E1F" w:rsidRPr="008A1A6B" w:rsidRDefault="00E17E1F" w:rsidP="00E17E1F">
      <w:pPr>
        <w:pStyle w:val="a3"/>
        <w:spacing w:before="0" w:line="440" w:lineRule="exact"/>
        <w:ind w:firstLineChars="192" w:firstLine="538"/>
      </w:pPr>
      <w:r w:rsidRPr="008A1A6B">
        <w:t>(二)將備份分別存放在兩種不同儲存媒體。</w:t>
      </w:r>
    </w:p>
    <w:p w14:paraId="51852E9F" w14:textId="63861BB8" w:rsidR="00E17E1F" w:rsidRPr="008A1A6B" w:rsidRDefault="00E17E1F" w:rsidP="00E17E1F">
      <w:pPr>
        <w:pStyle w:val="a3"/>
        <w:spacing w:before="0" w:line="440" w:lineRule="exact"/>
        <w:ind w:firstLineChars="192" w:firstLine="538"/>
      </w:pPr>
      <w:r w:rsidRPr="008A1A6B">
        <w:t>(三)至少一份放在異地保存。</w:t>
      </w:r>
    </w:p>
    <w:p w14:paraId="7D5A7DAC" w14:textId="2AE241E7" w:rsidR="00E17E1F" w:rsidRPr="008A1A6B" w:rsidRDefault="00E17E1F" w:rsidP="00E17E1F">
      <w:pPr>
        <w:pStyle w:val="a3"/>
        <w:spacing w:before="0" w:line="440" w:lineRule="exact"/>
        <w:ind w:left="538" w:hangingChars="192" w:hanging="538"/>
      </w:pPr>
      <w:r w:rsidRPr="008A1A6B">
        <w:t>二、依據核心系統特性、業務單位需求與復原時間目標(RTO)，制定適當之系統備援架構。</w:t>
      </w:r>
    </w:p>
    <w:p w14:paraId="3AEAF134" w14:textId="62341ED9" w:rsidR="008A1A6B" w:rsidRPr="00072861" w:rsidRDefault="008A1A6B" w:rsidP="00E17E1F">
      <w:pPr>
        <w:pStyle w:val="a3"/>
        <w:spacing w:before="0" w:line="440" w:lineRule="exact"/>
        <w:ind w:left="538" w:hangingChars="192" w:hanging="538"/>
        <w:rPr>
          <w:b/>
          <w:bCs/>
          <w:u w:val="single" w:color="FF0000"/>
        </w:rPr>
      </w:pPr>
      <w:r w:rsidRPr="00072861">
        <w:rPr>
          <w:rFonts w:hint="eastAsia"/>
          <w:b/>
          <w:bCs/>
          <w:u w:val="single" w:color="FF0000"/>
        </w:rPr>
        <w:t>三、應針對機密與敏感性資料，實施妥善之防護措施。</w:t>
      </w:r>
    </w:p>
    <w:p w14:paraId="36F364E4" w14:textId="77777777" w:rsidR="00E17E1F" w:rsidRPr="008A1A6B" w:rsidRDefault="00E17E1F" w:rsidP="008A1A6B">
      <w:pPr>
        <w:pStyle w:val="1"/>
        <w:spacing w:beforeLines="50" w:before="180" w:line="440" w:lineRule="exact"/>
        <w:ind w:left="0"/>
      </w:pPr>
      <w:r w:rsidRPr="008A1A6B">
        <w:t>第六條 機房設置規劃</w:t>
      </w:r>
    </w:p>
    <w:p w14:paraId="327243EA" w14:textId="46162D5E" w:rsidR="00E17E1F" w:rsidRPr="008A1A6B" w:rsidRDefault="00E17E1F" w:rsidP="008A1A6B">
      <w:pPr>
        <w:pStyle w:val="a3"/>
        <w:spacing w:before="0" w:line="440" w:lineRule="exact"/>
        <w:ind w:left="538" w:hangingChars="192" w:hanging="538"/>
      </w:pPr>
      <w:r w:rsidRPr="008A1A6B">
        <w:t>一</w:t>
      </w:r>
      <w:r w:rsidRPr="008A1A6B">
        <w:rPr>
          <w:rFonts w:ascii="新細明體" w:eastAsia="新細明體" w:hint="eastAsia"/>
        </w:rPr>
        <w:t>、</w:t>
      </w:r>
      <w:r w:rsidRPr="008A1A6B">
        <w:t>規劃備援機房時應遵循政府建築及消防相關法令法規，考量支援設施包含電力供給、空調配置、環境監控與告警等配置。</w:t>
      </w:r>
    </w:p>
    <w:p w14:paraId="64A42D9D" w14:textId="77777777" w:rsidR="00E17E1F" w:rsidRPr="008A1A6B" w:rsidRDefault="00E17E1F" w:rsidP="00E17E1F">
      <w:pPr>
        <w:pStyle w:val="a3"/>
        <w:spacing w:before="0" w:line="440" w:lineRule="exact"/>
        <w:ind w:left="700" w:hangingChars="250" w:hanging="700"/>
      </w:pPr>
      <w:r w:rsidRPr="008A1A6B">
        <w:t>二、第一類證券商應設置異地備援機房。</w:t>
      </w:r>
    </w:p>
    <w:p w14:paraId="0976D66D" w14:textId="77777777" w:rsidR="00E17E1F" w:rsidRPr="008A1A6B" w:rsidRDefault="00E17E1F" w:rsidP="00E17E1F">
      <w:pPr>
        <w:pStyle w:val="a3"/>
        <w:spacing w:before="0" w:line="440" w:lineRule="exact"/>
        <w:ind w:leftChars="-1" w:left="538" w:hangingChars="193" w:hanging="540"/>
        <w:jc w:val="both"/>
      </w:pPr>
      <w:r w:rsidRPr="008A1A6B">
        <w:t>三、證券商規劃主/備援中心搬移或新建規劃時，異地備援機房地點與場所之選擇，宜考量與主機房非同一災難或失效影響之地理位置為原則。</w:t>
      </w:r>
    </w:p>
    <w:p w14:paraId="772E592E" w14:textId="77777777" w:rsidR="00443998" w:rsidRPr="008A1A6B" w:rsidRDefault="00443998" w:rsidP="00E17E1F">
      <w:pPr>
        <w:spacing w:line="440" w:lineRule="exact"/>
      </w:pPr>
    </w:p>
    <w:p w14:paraId="62BB0AF2" w14:textId="77777777" w:rsidR="00E17E1F" w:rsidRPr="008A1A6B" w:rsidRDefault="00E17E1F" w:rsidP="00E17E1F">
      <w:pPr>
        <w:pStyle w:val="1"/>
        <w:spacing w:line="440" w:lineRule="exact"/>
        <w:ind w:left="0"/>
        <w:jc w:val="both"/>
      </w:pPr>
      <w:r w:rsidRPr="008A1A6B">
        <w:t>第七條 災害應變機制</w:t>
      </w:r>
    </w:p>
    <w:p w14:paraId="3C9FDD6D" w14:textId="77777777" w:rsidR="00E17E1F" w:rsidRPr="008A1A6B" w:rsidRDefault="00E17E1F" w:rsidP="00E17E1F">
      <w:pPr>
        <w:pStyle w:val="a3"/>
        <w:spacing w:before="0" w:line="440" w:lineRule="exact"/>
        <w:jc w:val="both"/>
      </w:pPr>
      <w:r w:rsidRPr="008A1A6B">
        <w:t>當災害發生造成資訊作業異常或中斷時，應辨識風險情境，就各項風險情境擬定各系統之應變、</w:t>
      </w:r>
      <w:proofErr w:type="gramStart"/>
      <w:r w:rsidRPr="008A1A6B">
        <w:t>減災或復原</w:t>
      </w:r>
      <w:proofErr w:type="gramEnd"/>
      <w:r w:rsidRPr="008A1A6B">
        <w:t>措施相關作業流程。</w:t>
      </w:r>
    </w:p>
    <w:p w14:paraId="5BFE6D92" w14:textId="2CEBF085" w:rsidR="00E17E1F" w:rsidRPr="008A1A6B" w:rsidRDefault="00E17E1F" w:rsidP="008A1A6B">
      <w:pPr>
        <w:pStyle w:val="a3"/>
        <w:spacing w:before="0" w:line="440" w:lineRule="exact"/>
        <w:ind w:leftChars="-1" w:left="538" w:hangingChars="193" w:hanging="540"/>
        <w:jc w:val="both"/>
      </w:pPr>
      <w:r w:rsidRPr="008A1A6B">
        <w:t>一、應辨識可能造成中斷之風險情境，依據證交所「天然災害侵襲處理措施」、證交所「建立證券商資通安全檢查機制」及「證券期貨市場資通安全事件通報應變作業注意事項」制定緊急應變措施及緊急處理程序。</w:t>
      </w:r>
    </w:p>
    <w:p w14:paraId="4ABE651C" w14:textId="2DB1B09E" w:rsidR="00E17E1F" w:rsidRPr="008A1A6B" w:rsidRDefault="00E17E1F" w:rsidP="008A1A6B">
      <w:pPr>
        <w:pStyle w:val="a3"/>
        <w:spacing w:before="0" w:line="440" w:lineRule="exact"/>
        <w:ind w:left="538" w:hangingChars="192" w:hanging="538"/>
        <w:jc w:val="both"/>
      </w:pPr>
      <w:r w:rsidRPr="008A1A6B">
        <w:t>二、針對與資訊系統有關之資訊安全或服務異常事件，依據「證券期貨市場資通安全事件通報應變作業注意事項」制定緊急通報程序。</w:t>
      </w:r>
    </w:p>
    <w:p w14:paraId="1653A864" w14:textId="77777777" w:rsidR="00E17E1F" w:rsidRPr="008A1A6B" w:rsidRDefault="00E17E1F" w:rsidP="008A1A6B">
      <w:pPr>
        <w:pStyle w:val="1"/>
        <w:spacing w:beforeLines="50" w:before="180" w:line="440" w:lineRule="exact"/>
        <w:ind w:left="0"/>
        <w:jc w:val="both"/>
      </w:pPr>
      <w:r w:rsidRPr="008A1A6B">
        <w:lastRenderedPageBreak/>
        <w:t>第八條 資訊作業韌性之認知及能力訓練</w:t>
      </w:r>
    </w:p>
    <w:p w14:paraId="226FB5A2" w14:textId="77777777" w:rsidR="00E17E1F" w:rsidRPr="008A1A6B" w:rsidRDefault="00E17E1F" w:rsidP="00E17E1F">
      <w:pPr>
        <w:pStyle w:val="a3"/>
        <w:spacing w:before="0" w:line="440" w:lineRule="exact"/>
        <w:jc w:val="both"/>
        <w:rPr>
          <w:rFonts w:ascii="新細明體" w:eastAsia="新細明體"/>
        </w:rPr>
      </w:pPr>
      <w:r w:rsidRPr="008A1A6B">
        <w:t>證券商就資訊作業韌性之任務編組人員，依據證交所「建立證券商資通安全檢查機制」</w:t>
      </w:r>
      <w:proofErr w:type="gramStart"/>
      <w:r w:rsidRPr="008A1A6B">
        <w:t>所屬資安分級</w:t>
      </w:r>
      <w:proofErr w:type="gramEnd"/>
      <w:r w:rsidRPr="008A1A6B">
        <w:t>，應定期辦理資訊作業演練並留存紀錄</w:t>
      </w:r>
      <w:r w:rsidRPr="008A1A6B">
        <w:rPr>
          <w:rFonts w:ascii="新細明體" w:eastAsia="新細明體" w:hint="eastAsia"/>
        </w:rPr>
        <w:t>。</w:t>
      </w:r>
    </w:p>
    <w:p w14:paraId="0829881B" w14:textId="77777777" w:rsidR="008A1A6B" w:rsidRPr="00072861" w:rsidRDefault="008A1A6B" w:rsidP="008A1A6B">
      <w:pPr>
        <w:pStyle w:val="1"/>
        <w:spacing w:beforeLines="50" w:before="180" w:line="440" w:lineRule="exact"/>
        <w:ind w:left="0"/>
        <w:jc w:val="both"/>
        <w:rPr>
          <w:u w:val="single" w:color="FF0000"/>
        </w:rPr>
      </w:pPr>
      <w:r w:rsidRPr="00072861">
        <w:rPr>
          <w:rFonts w:hint="eastAsia"/>
          <w:u w:val="single" w:color="FF0000"/>
        </w:rPr>
        <w:t>第九條</w:t>
      </w:r>
      <w:r w:rsidRPr="00072861">
        <w:rPr>
          <w:u w:val="single" w:color="FF0000"/>
        </w:rPr>
        <w:t xml:space="preserve"> 核心系統委外之管理</w:t>
      </w:r>
    </w:p>
    <w:p w14:paraId="3C571826" w14:textId="77777777" w:rsidR="008A1A6B" w:rsidRPr="00072861" w:rsidRDefault="008A1A6B" w:rsidP="008A1A6B">
      <w:pPr>
        <w:pStyle w:val="a3"/>
        <w:spacing w:before="0" w:line="440" w:lineRule="exact"/>
        <w:ind w:leftChars="-1" w:left="539" w:hangingChars="193" w:hanging="541"/>
        <w:jc w:val="both"/>
        <w:rPr>
          <w:b/>
          <w:bCs/>
          <w:u w:val="single" w:color="FF0000"/>
        </w:rPr>
      </w:pPr>
      <w:r w:rsidRPr="00072861">
        <w:rPr>
          <w:rFonts w:hint="eastAsia"/>
          <w:b/>
          <w:bCs/>
          <w:u w:val="single" w:color="FF0000"/>
        </w:rPr>
        <w:t>一、核心系統委外時，證券商應依委外服務範圍及特性確保供應商因下列原因而造成營運中斷後，核心系統之復原水準可滿足系統復原時間目標</w:t>
      </w:r>
      <w:r w:rsidRPr="00072861">
        <w:rPr>
          <w:b/>
          <w:bCs/>
          <w:u w:val="single" w:color="FF0000"/>
        </w:rPr>
        <w:t>(RTO)及資料復原點目標(RPO)，以支持核心業務回復至最小可接受服務水準，並要求供應商配合證券商或自行辦理演練以驗證核心系統可用性。</w:t>
      </w:r>
    </w:p>
    <w:p w14:paraId="74464750" w14:textId="77777777" w:rsidR="008A1A6B" w:rsidRPr="00072861" w:rsidRDefault="008A1A6B" w:rsidP="008A1A6B">
      <w:pPr>
        <w:pStyle w:val="a3"/>
        <w:spacing w:before="0" w:line="440" w:lineRule="exact"/>
        <w:ind w:firstLineChars="192" w:firstLine="538"/>
        <w:rPr>
          <w:b/>
          <w:bCs/>
          <w:u w:val="single" w:color="FF0000"/>
        </w:rPr>
      </w:pPr>
      <w:r w:rsidRPr="00072861">
        <w:rPr>
          <w:b/>
          <w:bCs/>
          <w:u w:val="single" w:color="FF0000"/>
        </w:rPr>
        <w:t>(</w:t>
      </w:r>
      <w:proofErr w:type="gramStart"/>
      <w:r w:rsidRPr="00072861">
        <w:rPr>
          <w:b/>
          <w:bCs/>
          <w:u w:val="single" w:color="FF0000"/>
        </w:rPr>
        <w:t>一</w:t>
      </w:r>
      <w:proofErr w:type="gramEnd"/>
      <w:r w:rsidRPr="00072861">
        <w:rPr>
          <w:b/>
          <w:bCs/>
          <w:u w:val="single" w:color="FF0000"/>
        </w:rPr>
        <w:t>)因天然災害、人為災害與資通訊安全事件而中斷。</w:t>
      </w:r>
    </w:p>
    <w:p w14:paraId="472ABC47" w14:textId="77777777" w:rsidR="008A1A6B" w:rsidRPr="00072861" w:rsidRDefault="008A1A6B" w:rsidP="008A1A6B">
      <w:pPr>
        <w:pStyle w:val="a3"/>
        <w:spacing w:before="0" w:line="440" w:lineRule="exact"/>
        <w:ind w:firstLineChars="192" w:firstLine="538"/>
        <w:rPr>
          <w:b/>
          <w:bCs/>
          <w:u w:val="single" w:color="FF0000"/>
        </w:rPr>
      </w:pPr>
      <w:r w:rsidRPr="00072861">
        <w:rPr>
          <w:b/>
          <w:bCs/>
          <w:u w:val="single" w:color="FF0000"/>
        </w:rPr>
        <w:t>(二)未預期之設備故障或變更。</w:t>
      </w:r>
    </w:p>
    <w:p w14:paraId="4D85BF24" w14:textId="77777777" w:rsidR="008A1A6B" w:rsidRPr="00072861" w:rsidRDefault="008A1A6B" w:rsidP="008A1A6B">
      <w:pPr>
        <w:pStyle w:val="a3"/>
        <w:spacing w:before="0" w:line="440" w:lineRule="exact"/>
        <w:ind w:firstLineChars="192" w:firstLine="538"/>
        <w:rPr>
          <w:b/>
          <w:bCs/>
          <w:u w:val="single" w:color="FF0000"/>
        </w:rPr>
      </w:pPr>
      <w:r w:rsidRPr="00072861">
        <w:rPr>
          <w:b/>
          <w:bCs/>
          <w:u w:val="single" w:color="FF0000"/>
        </w:rPr>
        <w:t>(三)系統功能調整或重大性架構變更 。</w:t>
      </w:r>
    </w:p>
    <w:p w14:paraId="1F02AFA2" w14:textId="77777777" w:rsidR="008A1A6B" w:rsidRPr="00072861" w:rsidRDefault="008A1A6B" w:rsidP="008A1A6B">
      <w:pPr>
        <w:pStyle w:val="a3"/>
        <w:spacing w:before="0" w:line="440" w:lineRule="exact"/>
        <w:ind w:firstLineChars="192" w:firstLine="538"/>
        <w:rPr>
          <w:b/>
          <w:bCs/>
          <w:u w:val="single" w:color="FF0000"/>
        </w:rPr>
      </w:pPr>
      <w:r w:rsidRPr="00072861">
        <w:rPr>
          <w:b/>
          <w:bCs/>
          <w:u w:val="single" w:color="FF0000"/>
        </w:rPr>
        <w:t>(四)產品生命週期結束且不再提供技術協助服務，或不具可用性。</w:t>
      </w:r>
    </w:p>
    <w:p w14:paraId="28D3E7E0" w14:textId="45188E60" w:rsidR="008A1A6B" w:rsidRPr="001849EE" w:rsidRDefault="008A1A6B" w:rsidP="008A1A6B">
      <w:pPr>
        <w:pStyle w:val="a3"/>
        <w:spacing w:before="0" w:line="440" w:lineRule="exact"/>
        <w:ind w:leftChars="-1" w:left="539" w:hangingChars="193" w:hanging="541"/>
        <w:jc w:val="both"/>
        <w:rPr>
          <w:u w:val="single" w:color="FF0000"/>
        </w:rPr>
      </w:pPr>
      <w:r w:rsidRPr="00072861">
        <w:rPr>
          <w:rFonts w:hint="eastAsia"/>
          <w:b/>
          <w:bCs/>
          <w:u w:val="single" w:color="FF0000"/>
        </w:rPr>
        <w:t>二、證券商應將上述營運持續管理相關要求納入委外契約。</w:t>
      </w:r>
    </w:p>
    <w:p w14:paraId="04F6F4CA" w14:textId="50D0342E" w:rsidR="00E17E1F" w:rsidRPr="008A1A6B" w:rsidRDefault="00E17E1F" w:rsidP="008A1A6B">
      <w:pPr>
        <w:pStyle w:val="1"/>
        <w:spacing w:beforeLines="50" w:before="180" w:line="440" w:lineRule="exact"/>
        <w:ind w:left="0"/>
        <w:jc w:val="both"/>
      </w:pPr>
      <w:r w:rsidRPr="008A1A6B">
        <w:t>第</w:t>
      </w:r>
      <w:r w:rsidR="008A1A6B" w:rsidRPr="001849EE">
        <w:rPr>
          <w:rFonts w:hint="eastAsia"/>
          <w:u w:val="single" w:color="FF0000"/>
        </w:rPr>
        <w:t>十</w:t>
      </w:r>
      <w:r w:rsidRPr="008A1A6B">
        <w:t>條 施行程序</w:t>
      </w:r>
    </w:p>
    <w:p w14:paraId="1119ACBF" w14:textId="77777777" w:rsidR="00E17E1F" w:rsidRPr="008A1A6B" w:rsidRDefault="00E17E1F" w:rsidP="00E17E1F">
      <w:pPr>
        <w:pStyle w:val="a3"/>
        <w:spacing w:before="0" w:line="440" w:lineRule="exact"/>
        <w:jc w:val="both"/>
      </w:pPr>
      <w:r w:rsidRPr="008A1A6B">
        <w:t>本自律規範經本公會理事會會議通過，並報奉主管機關備查後實施， 修正時亦同。</w:t>
      </w:r>
    </w:p>
    <w:p w14:paraId="41909543" w14:textId="77777777" w:rsidR="00E17E1F" w:rsidRPr="008A1A6B" w:rsidRDefault="00E17E1F" w:rsidP="00E17E1F">
      <w:pPr>
        <w:spacing w:line="440" w:lineRule="exact"/>
        <w:jc w:val="both"/>
      </w:pPr>
    </w:p>
    <w:sectPr w:rsidR="00E17E1F" w:rsidRPr="008A1A6B" w:rsidSect="00E17E1F">
      <w:pgSz w:w="11906" w:h="16838"/>
      <w:pgMar w:top="1440" w:right="1440" w:bottom="1440" w:left="1440"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04BF0" w14:textId="77777777" w:rsidR="002C7365" w:rsidRDefault="002C7365" w:rsidP="007C5A01">
      <w:r>
        <w:separator/>
      </w:r>
    </w:p>
  </w:endnote>
  <w:endnote w:type="continuationSeparator" w:id="0">
    <w:p w14:paraId="39499DA9" w14:textId="77777777" w:rsidR="002C7365" w:rsidRDefault="002C7365" w:rsidP="007C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4CCF" w14:textId="77777777" w:rsidR="002C7365" w:rsidRDefault="002C7365" w:rsidP="007C5A01">
      <w:r>
        <w:separator/>
      </w:r>
    </w:p>
  </w:footnote>
  <w:footnote w:type="continuationSeparator" w:id="0">
    <w:p w14:paraId="65ED7044" w14:textId="77777777" w:rsidR="002C7365" w:rsidRDefault="002C7365" w:rsidP="007C5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334D"/>
    <w:multiLevelType w:val="hybridMultilevel"/>
    <w:tmpl w:val="53C2CEEA"/>
    <w:lvl w:ilvl="0" w:tplc="04090015">
      <w:start w:val="1"/>
      <w:numFmt w:val="taiwaneseCountingThousand"/>
      <w:lvlText w:val="%1、"/>
      <w:lvlJc w:val="left"/>
      <w:pPr>
        <w:ind w:left="680" w:hanging="6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1226756C"/>
    <w:multiLevelType w:val="hybridMultilevel"/>
    <w:tmpl w:val="464C31F2"/>
    <w:lvl w:ilvl="0" w:tplc="8264B272">
      <w:start w:val="1"/>
      <w:numFmt w:val="taiwaneseCountingThousand"/>
      <w:lvlText w:val="%1、"/>
      <w:lvlJc w:val="left"/>
      <w:pPr>
        <w:ind w:left="560" w:hanging="5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0B39DA"/>
    <w:multiLevelType w:val="hybridMultilevel"/>
    <w:tmpl w:val="7D800AFE"/>
    <w:lvl w:ilvl="0" w:tplc="344CCD02">
      <w:start w:val="1"/>
      <w:numFmt w:val="taiwaneseCountingThousand"/>
      <w:lvlText w:val="%1、"/>
      <w:lvlJc w:val="left"/>
      <w:pPr>
        <w:ind w:left="480" w:hanging="480"/>
      </w:pPr>
      <w:rPr>
        <w:b/>
        <w:bCs/>
        <w:color w:val="auto"/>
        <w:u w:val="single"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2C345F"/>
    <w:multiLevelType w:val="hybridMultilevel"/>
    <w:tmpl w:val="C7A0CA96"/>
    <w:lvl w:ilvl="0" w:tplc="DBD2A5F2">
      <w:start w:val="1"/>
      <w:numFmt w:val="taiwaneseCountingThousand"/>
      <w:lvlText w:val="%1、"/>
      <w:lvlJc w:val="left"/>
      <w:pPr>
        <w:ind w:left="680" w:hanging="6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6968C4"/>
    <w:multiLevelType w:val="hybridMultilevel"/>
    <w:tmpl w:val="E0BE5E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77702404">
    <w:abstractNumId w:val="4"/>
  </w:num>
  <w:num w:numId="2" w16cid:durableId="1839688917">
    <w:abstractNumId w:val="3"/>
  </w:num>
  <w:num w:numId="3" w16cid:durableId="1485269326">
    <w:abstractNumId w:val="0"/>
  </w:num>
  <w:num w:numId="4" w16cid:durableId="1550145122">
    <w:abstractNumId w:val="2"/>
  </w:num>
  <w:num w:numId="5" w16cid:durableId="1960526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1F"/>
    <w:rsid w:val="00072861"/>
    <w:rsid w:val="001849EE"/>
    <w:rsid w:val="002C7365"/>
    <w:rsid w:val="003F6232"/>
    <w:rsid w:val="00443998"/>
    <w:rsid w:val="004A6073"/>
    <w:rsid w:val="007C5A01"/>
    <w:rsid w:val="008A1A6B"/>
    <w:rsid w:val="009D62EB"/>
    <w:rsid w:val="00B7056C"/>
    <w:rsid w:val="00D1011E"/>
    <w:rsid w:val="00E17E1F"/>
    <w:rsid w:val="00EB69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E7689"/>
  <w15:chartTrackingRefBased/>
  <w15:docId w15:val="{1B70807A-3BB9-4B5C-A981-90C857C5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E1F"/>
    <w:pPr>
      <w:widowControl w:val="0"/>
      <w:autoSpaceDE w:val="0"/>
      <w:autoSpaceDN w:val="0"/>
    </w:pPr>
    <w:rPr>
      <w:rFonts w:ascii="標楷體" w:eastAsia="標楷體" w:hAnsi="標楷體" w:cs="標楷體"/>
      <w:kern w:val="0"/>
      <w:sz w:val="22"/>
      <w:lang w:val="zh-TW" w:bidi="zh-TW"/>
    </w:rPr>
  </w:style>
  <w:style w:type="paragraph" w:styleId="1">
    <w:name w:val="heading 1"/>
    <w:basedOn w:val="a"/>
    <w:link w:val="10"/>
    <w:uiPriority w:val="9"/>
    <w:qFormat/>
    <w:rsid w:val="00E17E1F"/>
    <w:pPr>
      <w:ind w:left="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17E1F"/>
    <w:rPr>
      <w:rFonts w:ascii="標楷體" w:eastAsia="標楷體" w:hAnsi="標楷體" w:cs="標楷體"/>
      <w:b/>
      <w:bCs/>
      <w:kern w:val="0"/>
      <w:sz w:val="28"/>
      <w:szCs w:val="28"/>
      <w:lang w:val="zh-TW" w:bidi="zh-TW"/>
    </w:rPr>
  </w:style>
  <w:style w:type="paragraph" w:styleId="a3">
    <w:name w:val="Body Text"/>
    <w:basedOn w:val="a"/>
    <w:link w:val="a4"/>
    <w:uiPriority w:val="1"/>
    <w:qFormat/>
    <w:rsid w:val="00E17E1F"/>
    <w:pPr>
      <w:spacing w:before="189"/>
    </w:pPr>
    <w:rPr>
      <w:sz w:val="28"/>
      <w:szCs w:val="28"/>
    </w:rPr>
  </w:style>
  <w:style w:type="character" w:customStyle="1" w:styleId="a4">
    <w:name w:val="本文 字元"/>
    <w:basedOn w:val="a0"/>
    <w:link w:val="a3"/>
    <w:uiPriority w:val="1"/>
    <w:rsid w:val="00E17E1F"/>
    <w:rPr>
      <w:rFonts w:ascii="標楷體" w:eastAsia="標楷體" w:hAnsi="標楷體" w:cs="標楷體"/>
      <w:kern w:val="0"/>
      <w:sz w:val="28"/>
      <w:szCs w:val="28"/>
      <w:lang w:val="zh-TW" w:bidi="zh-TW"/>
    </w:rPr>
  </w:style>
  <w:style w:type="paragraph" w:styleId="a5">
    <w:name w:val="header"/>
    <w:basedOn w:val="a"/>
    <w:link w:val="a6"/>
    <w:uiPriority w:val="99"/>
    <w:unhideWhenUsed/>
    <w:rsid w:val="007C5A01"/>
    <w:pPr>
      <w:tabs>
        <w:tab w:val="center" w:pos="4153"/>
        <w:tab w:val="right" w:pos="8306"/>
      </w:tabs>
      <w:snapToGrid w:val="0"/>
    </w:pPr>
    <w:rPr>
      <w:sz w:val="20"/>
      <w:szCs w:val="20"/>
    </w:rPr>
  </w:style>
  <w:style w:type="character" w:customStyle="1" w:styleId="a6">
    <w:name w:val="頁首 字元"/>
    <w:basedOn w:val="a0"/>
    <w:link w:val="a5"/>
    <w:uiPriority w:val="99"/>
    <w:rsid w:val="007C5A01"/>
    <w:rPr>
      <w:rFonts w:ascii="標楷體" w:eastAsia="標楷體" w:hAnsi="標楷體" w:cs="標楷體"/>
      <w:kern w:val="0"/>
      <w:sz w:val="20"/>
      <w:szCs w:val="20"/>
      <w:lang w:val="zh-TW" w:bidi="zh-TW"/>
    </w:rPr>
  </w:style>
  <w:style w:type="paragraph" w:styleId="a7">
    <w:name w:val="footer"/>
    <w:basedOn w:val="a"/>
    <w:link w:val="a8"/>
    <w:uiPriority w:val="99"/>
    <w:unhideWhenUsed/>
    <w:rsid w:val="007C5A01"/>
    <w:pPr>
      <w:tabs>
        <w:tab w:val="center" w:pos="4153"/>
        <w:tab w:val="right" w:pos="8306"/>
      </w:tabs>
      <w:snapToGrid w:val="0"/>
    </w:pPr>
    <w:rPr>
      <w:sz w:val="20"/>
      <w:szCs w:val="20"/>
    </w:rPr>
  </w:style>
  <w:style w:type="character" w:customStyle="1" w:styleId="a8">
    <w:name w:val="頁尾 字元"/>
    <w:basedOn w:val="a0"/>
    <w:link w:val="a7"/>
    <w:uiPriority w:val="99"/>
    <w:rsid w:val="007C5A01"/>
    <w:rPr>
      <w:rFonts w:ascii="標楷體" w:eastAsia="標楷體" w:hAnsi="標楷體" w:cs="標楷體"/>
      <w:kern w:val="0"/>
      <w:sz w:val="20"/>
      <w:szCs w:val="20"/>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710 TWSA</dc:creator>
  <cp:keywords/>
  <dc:description/>
  <cp:lastModifiedBy>710 TWSA</cp:lastModifiedBy>
  <cp:revision>2</cp:revision>
  <dcterms:created xsi:type="dcterms:W3CDTF">2025-06-30T07:24:00Z</dcterms:created>
  <dcterms:modified xsi:type="dcterms:W3CDTF">2025-06-30T07:24:00Z</dcterms:modified>
</cp:coreProperties>
</file>